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Keeper of Hours</w:t>
      </w:r>
    </w:p>
    <w:p>
      <w:r>
        <w:t xml:space="preserve">The library kept its own hours, and the hours kept their own counsel.</w:t>
      </w:r>
    </w:p>
    <w:p>
      <w:r>
        <w:rPr>
          <w:b/>
        </w:rPr>
        <w:t xml:space="preserve">Bold words</w:t>
      </w:r>
      <w:r>
        <w:t xml:space="preserve"> and plain ones.</w:t>
      </w:r>
    </w:p>
    <w:p>
      <w:pPr>
        <w:pStyle w:val="Heading1"/>
      </w:pPr>
      <w:r>
        <w:t xml:space="preserve">A Second Door</w:t>
      </w:r>
    </w:p>
    <w:p>
      <w:r>
        <w:t xml:space="preserve">Behind it, the shelves went on for longer than the building did.</w:t>
      </w:r>
    </w:p>
  </w:body>
</w:document>
</file>