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0"/>
              <w:left w:type="dxa" w:w="400"/>
              <w:bottom w:type="dxa" w:w="600"/>
              <w:right w:type="dxa" w:w="400"/>
            </w:tcMar>
          </w:tcPr>
          <w:p>
            <w:pPr>
              <w:spacing w:after="80" w:before="0"/>
              <w:jc w:val="left"/>
            </w:pPr>
            <w:r>
              <w:rPr>
                <w:rFonts w:ascii="Arial" w:cs="Arial" w:eastAsia="Arial" w:hAnsi="Arial"/>
                <w:b/>
                <w:bCs/>
                <w:color w:val="4F6AF5"/>
                <w:spacing w:val="80"/>
                <w:sz w:val="20"/>
                <w:szCs w:val="20"/>
              </w:rPr>
              <w:t xml:space="preserve">AHM PLATFORM</w:t>
            </w:r>
          </w:p>
          <w:p>
            <w:pPr>
              <w:spacing w:after="200" w:before="0"/>
              <w:jc w:val="left"/>
            </w:pPr>
            <w:r>
              <w:rPr>
                <w:rFonts w:ascii="Arial" w:cs="Arial" w:eastAsia="Arial" w:hAnsi="Arial"/>
                <w:b/>
                <w:bCs/>
                <w:color w:val="FFFFFF"/>
                <w:sz w:val="48"/>
                <w:szCs w:val="48"/>
              </w:rPr>
              <w:t xml:space="preserve">AI Intelligence Infrastructure</w:t>
            </w:r>
          </w:p>
          <w:p>
            <w:pPr>
              <w:spacing w:after="80" w:before="0"/>
              <w:jc w:val="left"/>
            </w:pPr>
            <w:r>
              <w:rPr>
                <w:rFonts w:ascii="Arial" w:cs="Arial" w:eastAsia="Arial" w:hAnsi="Arial"/>
                <w:color w:val="CBD5E1"/>
                <w:sz w:val="26"/>
                <w:szCs w:val="26"/>
              </w:rPr>
              <w:t xml:space="preserve">Sprint 6 — Production Architecture Proposal</w:t>
            </w:r>
          </w:p>
          <w:p>
            <w:pPr>
              <w:spacing w:after="0" w:before="160"/>
              <w:jc w:val="left"/>
            </w:pPr>
            <w:r>
              <w:rPr>
                <w:rFonts w:ascii="Arial" w:cs="Arial" w:eastAsia="Arial" w:hAnsi="Arial"/>
                <w:color w:val="64748B"/>
                <w:sz w:val="18"/>
                <w:szCs w:val="18"/>
              </w:rPr>
              <w:t xml:space="preserve">Version 1.0  |  May 2026  |  Confidential</w:t>
            </w:r>
          </w:p>
        </w:tc>
      </w:tr>
    </w:tbl>
    <w:p>
      <w:pPr>
        <w:spacing w:after="240" w:before="0"/>
      </w:pPr>
    </w:p>
    <w:p>
      <w:pPr>
        <w:spacing w:after="100" w:before="0"/>
      </w:pPr>
      <w:r>
        <w:rPr>
          <w:rFonts w:ascii="Arial" w:cs="Arial" w:eastAsia="Arial" w:hAnsi="Arial"/>
          <w:b/>
          <w:bCs/>
          <w:color w:val="64748B"/>
          <w:sz w:val="18"/>
          <w:szCs w:val="18"/>
        </w:rPr>
        <w:t xml:space="preserve">Classification</w:t>
      </w:r>
    </w:p>
    <w:p>
      <w:pPr>
        <w:spacing w:after="60" w:before="0"/>
      </w:pPr>
      <w:r>
        <w:rPr>
          <w:rFonts w:ascii="Arial" w:cs="Arial" w:eastAsia="Arial" w:hAnsi="Arial"/>
          <w:color w:val="334155"/>
          <w:sz w:val="18"/>
          <w:szCs w:val="18"/>
        </w:rPr>
        <w:t xml:space="preserve">Internal Development Document. Not for distribution.</w:t>
      </w:r>
    </w:p>
    <w:p>
      <w:pPr>
        <w:spacing w:after="80" w:before="0"/>
      </w:pPr>
    </w:p>
    <w:p>
      <w:pPr>
        <w:pBdr>
          <w:bottom w:val="single" w:color="CBD5E1" w:sz="4" w:space="1"/>
        </w:pBdr>
        <w:spacing w:after="60" w:before="60"/>
      </w:pPr>
    </w:p>
    <w:p>
      <w:pPr>
        <w:spacing w:after="80" w:before="0"/>
      </w:pPr>
    </w:p>
    <w:p>
      <w:pPr>
        <w:spacing w:after="80" w:before="0"/>
      </w:pPr>
      <w:r>
        <w:rPr>
          <w:rFonts w:ascii="Arial" w:cs="Arial" w:eastAsia="Arial" w:hAnsi="Arial"/>
          <w:b/>
          <w:bCs/>
          <w:color w:val="0A0F1E"/>
          <w:sz w:val="20"/>
          <w:szCs w:val="20"/>
        </w:rPr>
        <w:t xml:space="preserve">Platform Philosophy</w:t>
      </w:r>
    </w:p>
    <w:p>
      <w:pPr>
        <w:spacing w:after="60" w:before="0"/>
      </w:pPr>
      <w:r>
        <w:rPr>
          <w:rFonts w:ascii="Arial" w:cs="Arial" w:eastAsia="Arial" w:hAnsi="Arial"/>
          <w:color w:val="334155"/>
          <w:sz w:val="20"/>
          <w:szCs w:val="20"/>
        </w:rPr>
        <w:t xml:space="preserve">Fundamental analysis determines </w:t>
      </w:r>
      <w:r>
        <w:rPr>
          <w:rFonts w:ascii="Arial" w:cs="Arial" w:eastAsia="Arial" w:hAnsi="Arial"/>
          <w:b/>
          <w:bCs/>
          <w:color w:val="0A0F1E"/>
          <w:sz w:val="20"/>
          <w:szCs w:val="20"/>
        </w:rPr>
        <w:t xml:space="preserve">WHAT</w:t>
      </w:r>
      <w:r>
        <w:rPr>
          <w:rFonts w:ascii="Arial" w:cs="Arial" w:eastAsia="Arial" w:hAnsi="Arial"/>
          <w:color w:val="334155"/>
          <w:sz w:val="20"/>
          <w:szCs w:val="20"/>
        </w:rPr>
        <w:t xml:space="preserve"> to own.  Technical analysis determines </w:t>
      </w:r>
      <w:r>
        <w:rPr>
          <w:rFonts w:ascii="Arial" w:cs="Arial" w:eastAsia="Arial" w:hAnsi="Arial"/>
          <w:b/>
          <w:bCs/>
          <w:color w:val="0A0F1E"/>
          <w:sz w:val="20"/>
          <w:szCs w:val="20"/>
        </w:rPr>
        <w:t xml:space="preserve">WHEN</w:t>
      </w:r>
      <w:r>
        <w:rPr>
          <w:rFonts w:ascii="Arial" w:cs="Arial" w:eastAsia="Arial" w:hAnsi="Arial"/>
          <w:color w:val="334155"/>
          <w:sz w:val="20"/>
          <w:szCs w:val="20"/>
        </w:rPr>
        <w:t xml:space="preserve"> to enter.  Structured data is the moat.  AI is the interpreter.  The user makes the investment decision.</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A0F1E"/>
          <w:sz w:val="32"/>
          <w:szCs w:val="32"/>
        </w:rPr>
        <w:t xml:space="preserve">Executive Summary</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Sprint 6 delivers the AI Intelligence Infrastructure layer for the AHM PSX Intelligence Platform. This architecture is not a signals engine, a recommendation system, or a retail indicator platform. It is a structured interpretation and synthesis system built on top of analyst-curated, database-validated intelligence.</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The core architectural principle governing every design decision in this document is: the LLM interprets structured intelligence outputs. It does not generate investment conclusions from raw financial data. All scores are deterministic, reproducible, and auditable. All narratives are produced from structured inputs, never from open-ended inference over unvalidated data.</w:t>
      </w:r>
    </w:p>
    <w:p>
      <w:pPr>
        <w:spacing w:after="80" w:before="0"/>
      </w:pPr>
    </w:p>
    <w:p>
      <w:pPr>
        <w:spacing w:after="80" w:before="320"/>
      </w:pPr>
      <w:r>
        <w:rPr>
          <w:rFonts w:ascii="Arial" w:cs="Arial" w:eastAsia="Arial" w:hAnsi="Arial"/>
          <w:b/>
          <w:bCs/>
          <w:color w:val="4F6AF5"/>
          <w:spacing w:val="40"/>
          <w:sz w:val="16"/>
          <w:szCs w:val="16"/>
        </w:rPr>
        <w:t xml:space="preserve">TWELVE-SECTION ARCHITECTURE</w:t>
      </w:r>
    </w:p>
    <w:p>
      <w:pPr>
        <w:pStyle w:val="ListParagraph"/>
        <w:numPr>
          <w:ilvl w:val="0"/>
          <w:numId w:val="2"/>
        </w:numPr>
        <w:spacing w:after="60" w:before="40"/>
      </w:pPr>
      <w:r>
        <w:rPr>
          <w:rFonts w:ascii="Arial" w:cs="Arial" w:eastAsia="Arial" w:hAnsi="Arial"/>
          <w:color w:val="334155"/>
          <w:sz w:val="20"/>
          <w:szCs w:val="20"/>
        </w:rPr>
        <w:t xml:space="preserve">Section 1 — Conviction Scoring Engine: deterministic 11-component algorithmic scoring system</w:t>
      </w:r>
    </w:p>
    <w:p>
      <w:pPr>
        <w:pStyle w:val="ListParagraph"/>
        <w:numPr>
          <w:ilvl w:val="0"/>
          <w:numId w:val="2"/>
        </w:numPr>
        <w:spacing w:after="60" w:before="40"/>
      </w:pPr>
      <w:r>
        <w:rPr>
          <w:rFonts w:ascii="Arial" w:cs="Arial" w:eastAsia="Arial" w:hAnsi="Arial"/>
          <w:color w:val="334155"/>
          <w:sz w:val="20"/>
          <w:szCs w:val="20"/>
        </w:rPr>
        <w:t xml:space="preserve">Section 2 — Contextual Company Intelligence: LLM-powered narrative generation from structured inputs</w:t>
      </w:r>
    </w:p>
    <w:p>
      <w:pPr>
        <w:pStyle w:val="ListParagraph"/>
        <w:numPr>
          <w:ilvl w:val="0"/>
          <w:numId w:val="2"/>
        </w:numPr>
        <w:spacing w:after="60" w:before="40"/>
      </w:pPr>
      <w:r>
        <w:rPr>
          <w:rFonts w:ascii="Arial" w:cs="Arial" w:eastAsia="Arial" w:hAnsi="Arial"/>
          <w:color w:val="334155"/>
          <w:sz w:val="20"/>
          <w:szCs w:val="20"/>
        </w:rPr>
        <w:t xml:space="preserve">Section 3 — Sector Intelligence Engine: macro-to-sector driver mapping and sector commentary</w:t>
      </w:r>
    </w:p>
    <w:p>
      <w:pPr>
        <w:pStyle w:val="ListParagraph"/>
        <w:numPr>
          <w:ilvl w:val="0"/>
          <w:numId w:val="2"/>
        </w:numPr>
        <w:spacing w:after="60" w:before="40"/>
      </w:pPr>
      <w:r>
        <w:rPr>
          <w:rFonts w:ascii="Arial" w:cs="Arial" w:eastAsia="Arial" w:hAnsi="Arial"/>
          <w:color w:val="334155"/>
          <w:sz w:val="20"/>
          <w:szCs w:val="20"/>
        </w:rPr>
        <w:t xml:space="preserve">Section 4 — Daily AI Snapshot System: market summaries, briefings, and WhatsApp output</w:t>
      </w:r>
    </w:p>
    <w:p>
      <w:pPr>
        <w:pStyle w:val="ListParagraph"/>
        <w:numPr>
          <w:ilvl w:val="0"/>
          <w:numId w:val="2"/>
        </w:numPr>
        <w:spacing w:after="60" w:before="40"/>
      </w:pPr>
      <w:r>
        <w:rPr>
          <w:rFonts w:ascii="Arial" w:cs="Arial" w:eastAsia="Arial" w:hAnsi="Arial"/>
          <w:color w:val="334155"/>
          <w:sz w:val="20"/>
          <w:szCs w:val="20"/>
        </w:rPr>
        <w:t xml:space="preserve">Section 5 — AI Output Caching System: versioned, cost-managed, invalidation-aware cache layer</w:t>
      </w:r>
    </w:p>
    <w:p>
      <w:pPr>
        <w:pStyle w:val="ListParagraph"/>
        <w:numPr>
          <w:ilvl w:val="0"/>
          <w:numId w:val="2"/>
        </w:numPr>
        <w:spacing w:after="60" w:before="40"/>
      </w:pPr>
      <w:r>
        <w:rPr>
          <w:rFonts w:ascii="Arial" w:cs="Arial" w:eastAsia="Arial" w:hAnsi="Arial"/>
          <w:color w:val="334155"/>
          <w:sz w:val="20"/>
          <w:szCs w:val="20"/>
        </w:rPr>
        <w:t xml:space="preserve">Section 6 — Event-Driven Intelligence: trigger-based alert and notification architecture</w:t>
      </w:r>
    </w:p>
    <w:p>
      <w:pPr>
        <w:pStyle w:val="ListParagraph"/>
        <w:numPr>
          <w:ilvl w:val="0"/>
          <w:numId w:val="2"/>
        </w:numPr>
        <w:spacing w:after="60" w:before="40"/>
      </w:pPr>
      <w:r>
        <w:rPr>
          <w:rFonts w:ascii="Arial" w:cs="Arial" w:eastAsia="Arial" w:hAnsi="Arial"/>
          <w:color w:val="334155"/>
          <w:sz w:val="20"/>
          <w:szCs w:val="20"/>
        </w:rPr>
        <w:t xml:space="preserve">Section 7 — Prompt Orchestration: versioned prompt templates, A/B testing, auditability</w:t>
      </w:r>
    </w:p>
    <w:p>
      <w:pPr>
        <w:pStyle w:val="ListParagraph"/>
        <w:numPr>
          <w:ilvl w:val="0"/>
          <w:numId w:val="2"/>
        </w:numPr>
        <w:spacing w:after="60" w:before="40"/>
      </w:pPr>
      <w:r>
        <w:rPr>
          <w:rFonts w:ascii="Arial" w:cs="Arial" w:eastAsia="Arial" w:hAnsi="Arial"/>
          <w:color w:val="334155"/>
          <w:sz w:val="20"/>
          <w:szCs w:val="20"/>
        </w:rPr>
        <w:t xml:space="preserve">Section 8 — Database Architecture: all new tables with fields, indexes, and relationships</w:t>
      </w:r>
    </w:p>
    <w:p>
      <w:pPr>
        <w:pStyle w:val="ListParagraph"/>
        <w:numPr>
          <w:ilvl w:val="0"/>
          <w:numId w:val="2"/>
        </w:numPr>
        <w:spacing w:after="60" w:before="40"/>
      </w:pPr>
      <w:r>
        <w:rPr>
          <w:rFonts w:ascii="Arial" w:cs="Arial" w:eastAsia="Arial" w:hAnsi="Arial"/>
          <w:color w:val="334155"/>
          <w:sz w:val="20"/>
          <w:szCs w:val="20"/>
        </w:rPr>
        <w:t xml:space="preserve">Section 9 — Technical Intelligence Integration: future-ready architecture for DMA, trend, and timing</w:t>
      </w:r>
    </w:p>
    <w:p>
      <w:pPr>
        <w:pStyle w:val="ListParagraph"/>
        <w:numPr>
          <w:ilvl w:val="0"/>
          <w:numId w:val="2"/>
        </w:numPr>
        <w:spacing w:after="60" w:before="40"/>
      </w:pPr>
      <w:r>
        <w:rPr>
          <w:rFonts w:ascii="Arial" w:cs="Arial" w:eastAsia="Arial" w:hAnsi="Arial"/>
          <w:color w:val="334155"/>
          <w:sz w:val="20"/>
          <w:szCs w:val="20"/>
        </w:rPr>
        <w:t xml:space="preserve">Section 10 — UI Integration: intelligence surface points across the platform</w:t>
      </w:r>
    </w:p>
    <w:p>
      <w:pPr>
        <w:pStyle w:val="ListParagraph"/>
        <w:numPr>
          <w:ilvl w:val="0"/>
          <w:numId w:val="2"/>
        </w:numPr>
        <w:spacing w:after="60" w:before="40"/>
      </w:pPr>
      <w:r>
        <w:rPr>
          <w:rFonts w:ascii="Arial" w:cs="Arial" w:eastAsia="Arial" w:hAnsi="Arial"/>
          <w:color w:val="334155"/>
          <w:sz w:val="20"/>
          <w:szCs w:val="20"/>
        </w:rPr>
        <w:t xml:space="preserve">Section 11 — Scope Boundaries: explicit list of what is not built in this sprint</w:t>
      </w:r>
    </w:p>
    <w:p>
      <w:pPr>
        <w:pStyle w:val="ListParagraph"/>
        <w:numPr>
          <w:ilvl w:val="0"/>
          <w:numId w:val="2"/>
        </w:numPr>
        <w:spacing w:after="60" w:before="40"/>
      </w:pPr>
      <w:r>
        <w:rPr>
          <w:rFonts w:ascii="Arial" w:cs="Arial" w:eastAsia="Arial" w:hAnsi="Arial"/>
          <w:color w:val="334155"/>
          <w:sz w:val="20"/>
          <w:szCs w:val="20"/>
        </w:rPr>
        <w:t xml:space="preserve">Section 12 — Execution Plan: 6-week developer roadmap with success criteria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Architectural Constraint — Enforced Throughout</w:t>
            </w:r>
          </w:p>
          <w:p>
            <w:pPr>
              <w:spacing w:after="0" w:before="0"/>
            </w:pPr>
            <w:r>
              <w:rPr>
                <w:rFonts w:ascii="Arial" w:cs="Arial" w:eastAsia="Arial" w:hAnsi="Arial"/>
                <w:color w:val="334155"/>
                <w:sz w:val="19"/>
                <w:szCs w:val="19"/>
              </w:rPr>
              <w:t xml:space="preserve">The LLM never receives raw financial statements or unvalidated market data as primary inputs. Every AI narrative is seeded with deterministic scoring outputs, curated intelligence blocks, and validated DB metrics. Hallucination risk is controlled at the input layer, not the prompt layer.</w:t>
            </w:r>
          </w:p>
        </w:tc>
      </w:tr>
    </w:tbl>
    <w:p>
      <w:r>
        <w:br w:type="page"/>
      </w:r>
    </w:p>
    <w:p>
      <w:pPr>
        <w:pStyle w:val="Heading1"/>
        <w:spacing w:after="120" w:before="360"/>
      </w:pPr>
      <w:r>
        <w:rPr>
          <w:rFonts w:ascii="Arial" w:cs="Arial" w:eastAsia="Arial" w:hAnsi="Arial"/>
          <w:b/>
          <w:bCs/>
          <w:color w:val="0A0F1E"/>
          <w:sz w:val="32"/>
          <w:szCs w:val="32"/>
        </w:rPr>
        <w:t xml:space="preserve">Section 1 — Conviction Scoring Engine</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Conviction Scoring Engine is the analytical backbone of the AI Intelligence Layer. It produces a single composite score (0–100) for every company in the platform, derived from eleven deterministic sub-scores. No LLM is involved in score calculation. Scores are reproducible, auditable, and fully traceable back to their source data rows.</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This separation is deliberate. Scores are facts derived from data. Narratives are interpretations of those facts. The two systems are architecturally distinct and serve different purposes.</w:t>
      </w:r>
    </w:p>
    <w:p>
      <w:pPr>
        <w:spacing w:after="80" w:before="0"/>
      </w:pPr>
    </w:p>
    <w:p>
      <w:pPr>
        <w:pStyle w:val="Heading2"/>
        <w:spacing w:after="100" w:before="280"/>
      </w:pPr>
      <w:r>
        <w:rPr>
          <w:rFonts w:ascii="Arial" w:cs="Arial" w:eastAsia="Arial" w:hAnsi="Arial"/>
          <w:b/>
          <w:bCs/>
          <w:color w:val="4F6AF5"/>
          <w:sz w:val="26"/>
          <w:szCs w:val="26"/>
        </w:rPr>
        <w:t xml:space="preserve">1.1 Composite Score Design</w:t>
      </w:r>
    </w:p>
    <w:p>
      <w:pPr>
        <w:spacing w:after="120" w:before="60"/>
      </w:pPr>
      <w:r>
        <w:rPr>
          <w:rFonts w:ascii="Arial" w:cs="Arial" w:eastAsia="Arial" w:hAnsi="Arial"/>
          <w:b w:val="false"/>
          <w:bCs w:val="false"/>
          <w:i w:val="false"/>
          <w:iCs w:val="false"/>
          <w:color w:val="334155"/>
          <w:sz w:val="20"/>
          <w:szCs w:val="20"/>
        </w:rPr>
        <w:t xml:space="preserve">The conviction score is a weighted linear combination of eleven sub-scores, each normalized to a 0–100 range. The composite applies a data confidence multiplier as a final adjustment — a company with incomplete or stale financial data cannot achieve a top conviction score regardless of how strong its available metrics appear.</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Phase 1 weights are designed for the current data availability (no live technical data). Phase 2 weights are reserved for when the technical intelligence layer is activated, at which point the other sub-scores are proportionally reduced.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100"/>
        <w:gridCol w:w="3360"/>
        <w:gridCol w:w="1700"/>
      </w:tblGrid>
      <w:tr>
        <w:trPr>
          <w:tblHeader/>
        </w:trPr>
        <w:tc>
          <w:tcPr>
            <w:tcW w:type="dxa" w:w="22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Sub-Score</w:t>
            </w:r>
          </w:p>
        </w:tc>
        <w:tc>
          <w:tcPr>
            <w:tcW w:type="dxa" w:w="1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 1 Weight</w:t>
            </w:r>
          </w:p>
        </w:tc>
        <w:tc>
          <w:tcPr>
            <w:tcW w:type="dxa" w:w="11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 2 Weight</w:t>
            </w:r>
          </w:p>
        </w:tc>
        <w:tc>
          <w:tcPr>
            <w:tcW w:type="dxa" w:w="33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Data Source</w:t>
            </w:r>
          </w:p>
        </w:tc>
        <w:tc>
          <w:tcPr>
            <w:tcW w:type="dxa" w:w="17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Update Frequency</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Valuation Score</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20%</w:t>
            </w:r>
          </w:p>
        </w:tc>
        <w:tc>
          <w:tcPr>
            <w:tcW w:type="dxa" w:w="11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17%</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financial_metrics (pe, pb, ev_ebitda)</w:t>
            </w:r>
          </w:p>
        </w:tc>
        <w:tc>
          <w:tcPr>
            <w:tcW w:type="dxa" w:w="17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Quarterly + on update</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Profitability Score</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18%</w:t>
            </w:r>
          </w:p>
        </w:tc>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15%</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financial_metrics (roe, net_margin, roce)</w:t>
            </w:r>
          </w:p>
        </w:tc>
        <w:tc>
          <w:tcPr>
            <w:tcW w:type="dxa" w:w="1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Quarterly + on update</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Growth Score</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15%</w:t>
            </w:r>
          </w:p>
        </w:tc>
        <w:tc>
          <w:tcPr>
            <w:tcW w:type="dxa" w:w="11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13%</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financial_metrics (eps_growth, rev_growth)</w:t>
            </w:r>
          </w:p>
        </w:tc>
        <w:tc>
          <w:tcPr>
            <w:tcW w:type="dxa" w:w="17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Quarterly + on update</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Balance Sheet Score</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12%</w:t>
            </w:r>
          </w:p>
        </w:tc>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financial_metrics (debt_to_equity, interest_cover)</w:t>
            </w:r>
          </w:p>
        </w:tc>
        <w:tc>
          <w:tcPr>
            <w:tcW w:type="dxa" w:w="1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Quarterly + on update</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Momentum Score</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11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8%</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sector_drivers trends + daily_prices</w:t>
            </w:r>
          </w:p>
        </w:tc>
        <w:tc>
          <w:tcPr>
            <w:tcW w:type="dxa" w:w="17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Weekly</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Macro Sensitivity Score</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8%</w:t>
            </w:r>
          </w:p>
        </w:tc>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7%</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sector_macro_drivers, intel blocks</w:t>
            </w:r>
          </w:p>
        </w:tc>
        <w:tc>
          <w:tcPr>
            <w:tcW w:type="dxa" w:w="1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driver update</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Catalyst Score</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7%</w:t>
            </w:r>
          </w:p>
        </w:tc>
        <w:tc>
          <w:tcPr>
            <w:tcW w:type="dxa" w:w="11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company_intelligence_blocks (catalyst)</w:t>
            </w:r>
          </w:p>
        </w:tc>
        <w:tc>
          <w:tcPr>
            <w:tcW w:type="dxa" w:w="17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 block insert/update</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Risk Score (inverted)</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7%</w:t>
            </w:r>
          </w:p>
        </w:tc>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company_intelligence_blocks (risk)</w:t>
            </w:r>
          </w:p>
        </w:tc>
        <w:tc>
          <w:tcPr>
            <w:tcW w:type="dxa" w:w="1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block insert/update</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 Relative Strength</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11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peer rankings vs sector median</w:t>
            </w:r>
          </w:p>
        </w:tc>
        <w:tc>
          <w:tcPr>
            <w:tcW w:type="dxa" w:w="17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Weekly</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Technical Timing Score</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w:t>
            </w:r>
          </w:p>
        </w:tc>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technical_indicators (future table)</w:t>
            </w:r>
          </w:p>
        </w:tc>
        <w:tc>
          <w:tcPr>
            <w:tcW w:type="dxa" w:w="17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Daily (Phase 2)</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Data Confidence Multiplier</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Applied after composite</w:t>
            </w:r>
          </w:p>
        </w:tc>
        <w:tc>
          <w:tcPr>
            <w:tcW w:type="dxa" w:w="11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financial_metrics completeness + recency</w:t>
            </w:r>
          </w:p>
        </w:tc>
        <w:tc>
          <w:tcPr>
            <w:tcW w:type="dxa" w:w="17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 ingestion</w:t>
            </w:r>
          </w:p>
        </w:tc>
      </w:tr>
    </w:tbl>
    <w:p>
      <w:pPr>
        <w:spacing w:after="80" w:before="0"/>
      </w:pPr>
    </w:p>
    <w:p>
      <w:pPr>
        <w:pStyle w:val="Heading2"/>
        <w:spacing w:after="100" w:before="280"/>
      </w:pPr>
      <w:r>
        <w:rPr>
          <w:rFonts w:ascii="Arial" w:cs="Arial" w:eastAsia="Arial" w:hAnsi="Arial"/>
          <w:b/>
          <w:bCs/>
          <w:color w:val="4F6AF5"/>
          <w:sz w:val="26"/>
          <w:szCs w:val="26"/>
        </w:rPr>
        <w:t xml:space="preserve">1.2 Sub-Score Definitions</w:t>
      </w:r>
    </w:p>
    <w:p>
      <w:pPr>
        <w:pStyle w:val="Heading3"/>
        <w:spacing w:after="80" w:before="200"/>
      </w:pPr>
      <w:r>
        <w:rPr>
          <w:rFonts w:ascii="Arial" w:cs="Arial" w:eastAsia="Arial" w:hAnsi="Arial"/>
          <w:b/>
          <w:bCs/>
          <w:color w:val="334155"/>
          <w:sz w:val="22"/>
          <w:szCs w:val="22"/>
        </w:rPr>
        <w:t xml:space="preserve">Valuation Score</w:t>
      </w:r>
    </w:p>
    <w:p>
      <w:pPr>
        <w:spacing w:after="120" w:before="60"/>
      </w:pPr>
      <w:r>
        <w:rPr>
          <w:rFonts w:ascii="Arial" w:cs="Arial" w:eastAsia="Arial" w:hAnsi="Arial"/>
          <w:b w:val="false"/>
          <w:bCs w:val="false"/>
          <w:i w:val="false"/>
          <w:iCs w:val="false"/>
          <w:color w:val="334155"/>
          <w:sz w:val="20"/>
          <w:szCs w:val="20"/>
        </w:rPr>
        <w:t xml:space="preserve">Measures how attractively a company is priced relative to its own history and sector peers. Uses P/E, P/B, and EV/EBITDA from the financial_metrics table. Each ratio is normalized against a sector-adjusted 5-percentile-to-95-percentile range. A company trading at the cheapest decile of its sector on two or more ratios scores near 100. A company trading at a historical premium with no earnings support scores near 20.</w:t>
      </w:r>
    </w:p>
    <w:p>
      <w:pPr>
        <w:spacing w:after="120" w:before="60"/>
      </w:pPr>
      <w:r>
        <w:rPr>
          <w:rFonts w:ascii="Arial" w:cs="Arial" w:eastAsia="Arial" w:hAnsi="Arial"/>
          <w:b w:val="false"/>
          <w:bCs w:val="false"/>
          <w:i w:val="false"/>
          <w:iCs w:val="false"/>
          <w:color w:val="334155"/>
          <w:sz w:val="20"/>
          <w:szCs w:val="20"/>
        </w:rPr>
        <w:t xml:space="preserve">Sector adjustment is critical: a 10x P/E in Oil &amp; Gas is expensive, while the same multiple in Banking is moderate. Percentile normalization handles this automatically by ranking within sector cohorts.</w:t>
      </w:r>
    </w:p>
    <w:p>
      <w:pPr>
        <w:spacing w:after="60" w:before="0"/>
      </w:pPr>
    </w:p>
    <w:p>
      <w:pPr>
        <w:spacing w:after="80" w:before="40"/>
      </w:pPr>
      <w:r>
        <w:rPr>
          <w:rFonts w:ascii="Arial" w:cs="Arial" w:eastAsia="Arial" w:hAnsi="Arial"/>
          <w:b/>
          <w:bCs/>
          <w:color w:val="0A0F1E"/>
          <w:sz w:val="20"/>
          <w:szCs w:val="20"/>
        </w:rPr>
        <w:t xml:space="preserve">Signal direction: </w:t>
      </w:r>
      <w:r>
        <w:rPr>
          <w:rFonts w:ascii="Arial" w:cs="Arial" w:eastAsia="Arial" w:hAnsi="Arial"/>
          <w:color w:val="334155"/>
          <w:sz w:val="20"/>
          <w:szCs w:val="20"/>
        </w:rPr>
        <w:t xml:space="preserve">Lower valuation = higher score</w:t>
      </w:r>
    </w:p>
    <w:p>
      <w:pPr>
        <w:spacing w:after="80" w:before="40"/>
      </w:pPr>
      <w:r>
        <w:rPr>
          <w:rFonts w:ascii="Arial" w:cs="Arial" w:eastAsia="Arial" w:hAnsi="Arial"/>
          <w:b/>
          <w:bCs/>
          <w:color w:val="0A0F1E"/>
          <w:sz w:val="20"/>
          <w:szCs w:val="20"/>
        </w:rPr>
        <w:t xml:space="preserve">Sector adjustment: </w:t>
      </w:r>
      <w:r>
        <w:rPr>
          <w:rFonts w:ascii="Arial" w:cs="Arial" w:eastAsia="Arial" w:hAnsi="Arial"/>
          <w:color w:val="334155"/>
          <w:sz w:val="20"/>
          <w:szCs w:val="20"/>
        </w:rPr>
        <w:t xml:space="preserve">Percentile rank within sector cohort</w:t>
      </w:r>
    </w:p>
    <w:p>
      <w:pPr>
        <w:spacing w:after="80" w:before="40"/>
      </w:pPr>
      <w:r>
        <w:rPr>
          <w:rFonts w:ascii="Arial" w:cs="Arial" w:eastAsia="Arial" w:hAnsi="Arial"/>
          <w:b/>
          <w:bCs/>
          <w:color w:val="0A0F1E"/>
          <w:sz w:val="20"/>
          <w:szCs w:val="20"/>
        </w:rPr>
        <w:t xml:space="preserve">Confidence penalty: </w:t>
      </w:r>
      <w:r>
        <w:rPr>
          <w:rFonts w:ascii="Arial" w:cs="Arial" w:eastAsia="Arial" w:hAnsi="Arial"/>
          <w:color w:val="334155"/>
          <w:sz w:val="20"/>
          <w:szCs w:val="20"/>
        </w:rPr>
        <w:t xml:space="preserve">Score capped at 60 if pe_ratio or pb_ratio is null</w:t>
      </w:r>
    </w:p>
    <w:p>
      <w:pPr>
        <w:spacing w:after="80" w:before="0"/>
      </w:pPr>
    </w:p>
    <w:p>
      <w:pPr>
        <w:pStyle w:val="Heading3"/>
        <w:spacing w:after="80" w:before="200"/>
      </w:pPr>
      <w:r>
        <w:rPr>
          <w:rFonts w:ascii="Arial" w:cs="Arial" w:eastAsia="Arial" w:hAnsi="Arial"/>
          <w:b/>
          <w:bCs/>
          <w:color w:val="334155"/>
          <w:sz w:val="22"/>
          <w:szCs w:val="22"/>
        </w:rPr>
        <w:t xml:space="preserve">Profitability Score</w:t>
      </w:r>
    </w:p>
    <w:p>
      <w:pPr>
        <w:spacing w:after="120" w:before="60"/>
      </w:pPr>
      <w:r>
        <w:rPr>
          <w:rFonts w:ascii="Arial" w:cs="Arial" w:eastAsia="Arial" w:hAnsi="Arial"/>
          <w:b w:val="false"/>
          <w:bCs w:val="false"/>
          <w:i w:val="false"/>
          <w:iCs w:val="false"/>
          <w:color w:val="334155"/>
          <w:sz w:val="20"/>
          <w:szCs w:val="20"/>
        </w:rPr>
        <w:t xml:space="preserve">Measures the quality of earnings generation. Inputs are ROE, net margin, EBITDA margin, and ROCE. Each metric is ranked within its sector quartile. A bank with ROE above the 75th sector percentile, cost-to-income below median, and positive NIM trend scores near 90. Profitability is given the second-highest weight because it is the most persistent predictor of long-term value.</w:t>
      </w:r>
    </w:p>
    <w:p>
      <w:pPr>
        <w:spacing w:after="80" w:before="40"/>
      </w:pPr>
      <w:r>
        <w:rPr>
          <w:rFonts w:ascii="Arial" w:cs="Arial" w:eastAsia="Arial" w:hAnsi="Arial"/>
          <w:b/>
          <w:bCs/>
          <w:color w:val="0A0F1E"/>
          <w:sz w:val="20"/>
          <w:szCs w:val="20"/>
        </w:rPr>
        <w:t xml:space="preserve">Sector-specific metrics: </w:t>
      </w:r>
      <w:r>
        <w:rPr>
          <w:rFonts w:ascii="Arial" w:cs="Arial" w:eastAsia="Arial" w:hAnsi="Arial"/>
          <w:color w:val="334155"/>
          <w:sz w:val="20"/>
          <w:szCs w:val="20"/>
        </w:rPr>
        <w:t xml:space="preserve">Banking uses NIM and cost_to_income in place of EBITDA margin</w:t>
      </w:r>
    </w:p>
    <w:p>
      <w:pPr>
        <w:spacing w:after="80" w:before="40"/>
      </w:pPr>
      <w:r>
        <w:rPr>
          <w:rFonts w:ascii="Arial" w:cs="Arial" w:eastAsia="Arial" w:hAnsi="Arial"/>
          <w:b/>
          <w:bCs/>
          <w:color w:val="0A0F1E"/>
          <w:sz w:val="20"/>
          <w:szCs w:val="20"/>
        </w:rPr>
        <w:t xml:space="preserve">Growth bonus: </w:t>
      </w:r>
      <w:r>
        <w:rPr>
          <w:rFonts w:ascii="Arial" w:cs="Arial" w:eastAsia="Arial" w:hAnsi="Arial"/>
          <w:color w:val="334155"/>
          <w:sz w:val="20"/>
          <w:szCs w:val="20"/>
        </w:rPr>
        <w:t xml:space="preserve">+5 points if profitability metrics improved YoY across at least 2 indicators</w:t>
      </w:r>
    </w:p>
    <w:p>
      <w:pPr>
        <w:spacing w:after="80" w:before="0"/>
      </w:pPr>
    </w:p>
    <w:p>
      <w:pPr>
        <w:pStyle w:val="Heading3"/>
        <w:spacing w:after="80" w:before="200"/>
      </w:pPr>
      <w:r>
        <w:rPr>
          <w:rFonts w:ascii="Arial" w:cs="Arial" w:eastAsia="Arial" w:hAnsi="Arial"/>
          <w:b/>
          <w:bCs/>
          <w:color w:val="334155"/>
          <w:sz w:val="22"/>
          <w:szCs w:val="22"/>
        </w:rPr>
        <w:t xml:space="preserve">Growth Score</w:t>
      </w:r>
    </w:p>
    <w:p>
      <w:pPr>
        <w:spacing w:after="120" w:before="60"/>
      </w:pPr>
      <w:r>
        <w:rPr>
          <w:rFonts w:ascii="Arial" w:cs="Arial" w:eastAsia="Arial" w:hAnsi="Arial"/>
          <w:b w:val="false"/>
          <w:bCs w:val="false"/>
          <w:i w:val="false"/>
          <w:iCs w:val="false"/>
          <w:color w:val="334155"/>
          <w:sz w:val="20"/>
          <w:szCs w:val="20"/>
        </w:rPr>
        <w:t xml:space="preserve">Measures earnings and revenue trajectory. Uses EPS growth, revenue growth, and PAT growth from financial_metrics over 1-year and 3-year periods. Positive growth is necessary but not sufficient for a high score — the system rewards acceleration (growth rate increasing) more than deceleration (growth rate declining off a high base). A company with decelerating EPS growth is penalized even if absolute growth is positive.</w:t>
      </w:r>
    </w:p>
    <w:p>
      <w:pPr>
        <w:spacing w:after="80" w:before="40"/>
      </w:pPr>
      <w:r>
        <w:rPr>
          <w:rFonts w:ascii="Arial" w:cs="Arial" w:eastAsia="Arial" w:hAnsi="Arial"/>
          <w:b/>
          <w:bCs/>
          <w:color w:val="0A0F1E"/>
          <w:sz w:val="20"/>
          <w:szCs w:val="20"/>
        </w:rPr>
        <w:t xml:space="preserve">Acceleration bonus: </w:t>
      </w:r>
      <w:r>
        <w:rPr>
          <w:rFonts w:ascii="Arial" w:cs="Arial" w:eastAsia="Arial" w:hAnsi="Arial"/>
          <w:color w:val="334155"/>
          <w:sz w:val="20"/>
          <w:szCs w:val="20"/>
        </w:rPr>
        <w:t xml:space="preserve">+8 points if current period growth &gt; prior period growth on EPS</w:t>
      </w:r>
    </w:p>
    <w:p>
      <w:pPr>
        <w:spacing w:after="80" w:before="40"/>
      </w:pPr>
      <w:r>
        <w:rPr>
          <w:rFonts w:ascii="Arial" w:cs="Arial" w:eastAsia="Arial" w:hAnsi="Arial"/>
          <w:b/>
          <w:bCs/>
          <w:color w:val="0A0F1E"/>
          <w:sz w:val="20"/>
          <w:szCs w:val="20"/>
        </w:rPr>
        <w:t xml:space="preserve">Negative growth floor: </w:t>
      </w:r>
      <w:r>
        <w:rPr>
          <w:rFonts w:ascii="Arial" w:cs="Arial" w:eastAsia="Arial" w:hAnsi="Arial"/>
          <w:color w:val="334155"/>
          <w:sz w:val="20"/>
          <w:szCs w:val="20"/>
        </w:rPr>
        <w:t xml:space="preserve">Score cannot exceed 35 if PAT growth is negative YoY</w:t>
      </w:r>
    </w:p>
    <w:p>
      <w:pPr>
        <w:spacing w:after="80" w:before="0"/>
      </w:pPr>
    </w:p>
    <w:p>
      <w:pPr>
        <w:pStyle w:val="Heading3"/>
        <w:spacing w:after="80" w:before="200"/>
      </w:pPr>
      <w:r>
        <w:rPr>
          <w:rFonts w:ascii="Arial" w:cs="Arial" w:eastAsia="Arial" w:hAnsi="Arial"/>
          <w:b/>
          <w:bCs/>
          <w:color w:val="334155"/>
          <w:sz w:val="22"/>
          <w:szCs w:val="22"/>
        </w:rPr>
        <w:t xml:space="preserve">Balance Sheet Score</w:t>
      </w:r>
    </w:p>
    <w:p>
      <w:pPr>
        <w:spacing w:after="120" w:before="60"/>
      </w:pPr>
      <w:r>
        <w:rPr>
          <w:rFonts w:ascii="Arial" w:cs="Arial" w:eastAsia="Arial" w:hAnsi="Arial"/>
          <w:b w:val="false"/>
          <w:bCs w:val="false"/>
          <w:i w:val="false"/>
          <w:iCs w:val="false"/>
          <w:color w:val="334155"/>
          <w:sz w:val="20"/>
          <w:szCs w:val="20"/>
        </w:rPr>
        <w:t xml:space="preserve">Measures financial resilience. Primary inputs are debt_to_equity ratio and interest_cover. A company with interest cover above 3x and debt/equity below sector median scores above 70. A company with interest cover below 1.5x receives a structural risk flag regardless of other scores, capping the balance sheet score at 40 and applying a 0.85 multiplier to the composite conviction score.</w:t>
      </w:r>
    </w:p>
    <w:p>
      <w:pPr>
        <w:spacing w:after="80" w:before="40"/>
      </w:pPr>
      <w:r>
        <w:rPr>
          <w:rFonts w:ascii="Arial" w:cs="Arial" w:eastAsia="Arial" w:hAnsi="Arial"/>
          <w:b/>
          <w:bCs/>
          <w:color w:val="0A0F1E"/>
          <w:sz w:val="20"/>
          <w:szCs w:val="20"/>
        </w:rPr>
        <w:t xml:space="preserve">Hard cap: </w:t>
      </w:r>
      <w:r>
        <w:rPr>
          <w:rFonts w:ascii="Arial" w:cs="Arial" w:eastAsia="Arial" w:hAnsi="Arial"/>
          <w:color w:val="334155"/>
          <w:sz w:val="20"/>
          <w:szCs w:val="20"/>
        </w:rPr>
        <w:t xml:space="preserve">Interest cover &lt; 1.5x: balance sheet score capped at 40, composite multiplied by 0.85</w:t>
      </w:r>
    </w:p>
    <w:p>
      <w:pPr>
        <w:spacing w:after="80" w:before="40"/>
      </w:pPr>
      <w:r>
        <w:rPr>
          <w:rFonts w:ascii="Arial" w:cs="Arial" w:eastAsia="Arial" w:hAnsi="Arial"/>
          <w:b/>
          <w:bCs/>
          <w:color w:val="0A0F1E"/>
          <w:sz w:val="20"/>
          <w:szCs w:val="20"/>
        </w:rPr>
        <w:t xml:space="preserve">Sector adjustment: </w:t>
      </w:r>
      <w:r>
        <w:rPr>
          <w:rFonts w:ascii="Arial" w:cs="Arial" w:eastAsia="Arial" w:hAnsi="Arial"/>
          <w:color w:val="334155"/>
          <w:sz w:val="20"/>
          <w:szCs w:val="20"/>
        </w:rPr>
        <w:t xml:space="preserve">Leverage thresholds differ: banks are naturally high-leverage, scored differently</w:t>
      </w:r>
    </w:p>
    <w:p>
      <w:pPr>
        <w:spacing w:after="80" w:before="0"/>
      </w:pPr>
    </w:p>
    <w:p>
      <w:pPr>
        <w:pStyle w:val="Heading3"/>
        <w:spacing w:after="80" w:before="200"/>
      </w:pPr>
      <w:r>
        <w:rPr>
          <w:rFonts w:ascii="Arial" w:cs="Arial" w:eastAsia="Arial" w:hAnsi="Arial"/>
          <w:b/>
          <w:bCs/>
          <w:color w:val="334155"/>
          <w:sz w:val="22"/>
          <w:szCs w:val="22"/>
        </w:rPr>
        <w:t xml:space="preserve">Momentum Score</w:t>
      </w:r>
    </w:p>
    <w:p>
      <w:pPr>
        <w:spacing w:after="120" w:before="60"/>
      </w:pPr>
      <w:r>
        <w:rPr>
          <w:rFonts w:ascii="Arial" w:cs="Arial" w:eastAsia="Arial" w:hAnsi="Arial"/>
          <w:b w:val="false"/>
          <w:bCs w:val="false"/>
          <w:i w:val="false"/>
          <w:iCs w:val="false"/>
          <w:color w:val="334155"/>
          <w:sz w:val="20"/>
          <w:szCs w:val="20"/>
        </w:rPr>
        <w:t xml:space="preserve">Measures the direction of market and sector forces. Pulls from two sources: the trend distribution of sector_drivers for the company's sector (positive, negative, neutral, watch count), and the 30-day and 90-day price trend direction from daily_prices. This is intentionally the fifth-highest weighted sub-score to prevent momentum from overwhelming fundamental conviction.</w:t>
      </w:r>
    </w:p>
    <w:p>
      <w:pPr>
        <w:spacing w:after="120" w:before="60"/>
      </w:pPr>
      <w:r>
        <w:rPr>
          <w:rFonts w:ascii="Arial" w:cs="Arial" w:eastAsia="Arial" w:hAnsi="Arial"/>
          <w:b w:val="false"/>
          <w:bCs w:val="false"/>
          <w:i w:val="false"/>
          <w:iCs w:val="false"/>
          <w:color w:val="334155"/>
          <w:sz w:val="20"/>
          <w:szCs w:val="20"/>
        </w:rPr>
        <w:t xml:space="preserve">Sector driver aggregation: (positive drivers / total drivers) x 60 + price trend component x 40. Price trend is binary directional (positive or negative) measured using a 30-day simple slope. This score is recalculated weekly, not daily, to reduce noise.</w:t>
      </w:r>
    </w:p>
    <w:p>
      <w:pPr>
        <w:spacing w:after="80" w:before="0"/>
      </w:pPr>
    </w:p>
    <w:p>
      <w:pPr>
        <w:pStyle w:val="Heading3"/>
        <w:spacing w:after="80" w:before="200"/>
      </w:pPr>
      <w:r>
        <w:rPr>
          <w:rFonts w:ascii="Arial" w:cs="Arial" w:eastAsia="Arial" w:hAnsi="Arial"/>
          <w:b/>
          <w:bCs/>
          <w:color w:val="334155"/>
          <w:sz w:val="22"/>
          <w:szCs w:val="22"/>
        </w:rPr>
        <w:t xml:space="preserve">Macro Sensitivity Score</w:t>
      </w:r>
    </w:p>
    <w:p>
      <w:pPr>
        <w:spacing w:after="120" w:before="60"/>
      </w:pPr>
      <w:r>
        <w:rPr>
          <w:rFonts w:ascii="Arial" w:cs="Arial" w:eastAsia="Arial" w:hAnsi="Arial"/>
          <w:b w:val="false"/>
          <w:bCs w:val="false"/>
          <w:i w:val="false"/>
          <w:iCs w:val="false"/>
          <w:color w:val="334155"/>
          <w:sz w:val="20"/>
          <w:szCs w:val="20"/>
        </w:rPr>
        <w:t xml:space="preserve">Unlike other sub-scores, this measures resilience rather than performance. A high Macro Sensitivity Score means the company is LESS sensitive to adverse macro conditions — it is a defensive quality indicator, not a return predictor. Data sources are the sector_macro_drivers table and macro_link intelligence blocks. Companies in sectors with multiple negative macro driver exposures (PKR weakness, rising rates, energy cost pressure) score lower.</w:t>
      </w:r>
    </w:p>
    <w:p>
      <w:pPr>
        <w:spacing w:after="80" w:before="40"/>
      </w:pPr>
      <w:r>
        <w:rPr>
          <w:rFonts w:ascii="Arial" w:cs="Arial" w:eastAsia="Arial" w:hAnsi="Arial"/>
          <w:b/>
          <w:bCs/>
          <w:color w:val="0A0F1E"/>
          <w:sz w:val="20"/>
          <w:szCs w:val="20"/>
        </w:rPr>
        <w:t xml:space="preserve">Score direction: </w:t>
      </w:r>
      <w:r>
        <w:rPr>
          <w:rFonts w:ascii="Arial" w:cs="Arial" w:eastAsia="Arial" w:hAnsi="Arial"/>
          <w:color w:val="334155"/>
          <w:sz w:val="20"/>
          <w:szCs w:val="20"/>
        </w:rPr>
        <w:t xml:space="preserve">Lower macro sensitivity = higher score</w:t>
      </w:r>
    </w:p>
    <w:p>
      <w:pPr>
        <w:spacing w:after="80" w:before="40"/>
      </w:pPr>
      <w:r>
        <w:rPr>
          <w:rFonts w:ascii="Arial" w:cs="Arial" w:eastAsia="Arial" w:hAnsi="Arial"/>
          <w:b/>
          <w:bCs/>
          <w:color w:val="0A0F1E"/>
          <w:sz w:val="20"/>
          <w:szCs w:val="20"/>
        </w:rPr>
        <w:t xml:space="preserve">Override: </w:t>
      </w:r>
      <w:r>
        <w:rPr>
          <w:rFonts w:ascii="Arial" w:cs="Arial" w:eastAsia="Arial" w:hAnsi="Arial"/>
          <w:color w:val="334155"/>
          <w:sz w:val="20"/>
          <w:szCs w:val="20"/>
        </w:rPr>
        <w:t xml:space="preserve">If sector has &gt; 3 macro drivers trending negative simultaneously: cap score at 45</w:t>
      </w:r>
    </w:p>
    <w:p>
      <w:pPr>
        <w:spacing w:after="80" w:before="0"/>
      </w:pPr>
    </w:p>
    <w:p>
      <w:pPr>
        <w:pStyle w:val="Heading3"/>
        <w:spacing w:after="80" w:before="200"/>
      </w:pPr>
      <w:r>
        <w:rPr>
          <w:rFonts w:ascii="Arial" w:cs="Arial" w:eastAsia="Arial" w:hAnsi="Arial"/>
          <w:b/>
          <w:bCs/>
          <w:color w:val="334155"/>
          <w:sz w:val="22"/>
          <w:szCs w:val="22"/>
        </w:rPr>
        <w:t xml:space="preserve">Catalyst Score</w:t>
      </w:r>
    </w:p>
    <w:p>
      <w:pPr>
        <w:spacing w:after="120" w:before="60"/>
      </w:pPr>
      <w:r>
        <w:rPr>
          <w:rFonts w:ascii="Arial" w:cs="Arial" w:eastAsia="Arial" w:hAnsi="Arial"/>
          <w:b w:val="false"/>
          <w:bCs w:val="false"/>
          <w:i w:val="false"/>
          <w:iCs w:val="false"/>
          <w:color w:val="334155"/>
          <w:sz w:val="20"/>
          <w:szCs w:val="20"/>
        </w:rPr>
        <w:t xml:space="preserve">Reads company_intelligence_blocks of type catalyst. Near-horizon catalysts are weighted at 3x, medium-horizon at 1.5x, and long-horizon at 0.5x. Each catalyst contributes to a raw total which is normalized to 0–100 with a ceiling at 5 catalysts (additional catalysts beyond 5 have diminishing weight to prevent gaming by adding marginal catalysts). The score reflects the near-term opportunity set identified by analysts and encoded in the intelligence block layer.</w:t>
      </w:r>
    </w:p>
    <w:p>
      <w:pPr>
        <w:spacing w:after="80" w:before="0"/>
      </w:pPr>
    </w:p>
    <w:p>
      <w:pPr>
        <w:pStyle w:val="Heading3"/>
        <w:spacing w:after="80" w:before="200"/>
      </w:pPr>
      <w:r>
        <w:rPr>
          <w:rFonts w:ascii="Arial" w:cs="Arial" w:eastAsia="Arial" w:hAnsi="Arial"/>
          <w:b/>
          <w:bCs/>
          <w:color w:val="334155"/>
          <w:sz w:val="22"/>
          <w:szCs w:val="22"/>
        </w:rPr>
        <w:t xml:space="preserve">Risk Score (Inverted)</w:t>
      </w:r>
    </w:p>
    <w:p>
      <w:pPr>
        <w:spacing w:after="120" w:before="60"/>
      </w:pPr>
      <w:r>
        <w:rPr>
          <w:rFonts w:ascii="Arial" w:cs="Arial" w:eastAsia="Arial" w:hAnsi="Arial"/>
          <w:b w:val="false"/>
          <w:bCs w:val="false"/>
          <w:i w:val="false"/>
          <w:iCs w:val="false"/>
          <w:color w:val="334155"/>
          <w:sz w:val="20"/>
          <w:szCs w:val="20"/>
        </w:rPr>
        <w:t xml:space="preserve">Reads company_intelligence_blocks of type risk. High-severity risks are penalized at 3x, medium at 1.5x, low at 0.5x. The raw penalty total is inverted so that high raw penalties produce low Risk Scores. A company with two high-severity risks scores below 30 on this sub-score regardless of the absolute number of risks. The score reflects the current downside exposure in the structured risk register.</w:t>
      </w:r>
    </w:p>
    <w:p>
      <w:pPr>
        <w:spacing w:after="80" w:before="40"/>
      </w:pPr>
      <w:r>
        <w:rPr>
          <w:rFonts w:ascii="Arial" w:cs="Arial" w:eastAsia="Arial" w:hAnsi="Arial"/>
          <w:b/>
          <w:bCs/>
          <w:color w:val="0A0F1E"/>
          <w:sz w:val="20"/>
          <w:szCs w:val="20"/>
        </w:rPr>
        <w:t xml:space="preserve">Hard floor: </w:t>
      </w:r>
      <w:r>
        <w:rPr>
          <w:rFonts w:ascii="Arial" w:cs="Arial" w:eastAsia="Arial" w:hAnsi="Arial"/>
          <w:color w:val="334155"/>
          <w:sz w:val="20"/>
          <w:szCs w:val="20"/>
        </w:rPr>
        <w:t xml:space="preserve">Two or more high-severity risks: Risk Score cannot exceed 25</w:t>
      </w:r>
    </w:p>
    <w:p>
      <w:pPr>
        <w:spacing w:after="80" w:before="0"/>
      </w:pPr>
    </w:p>
    <w:p>
      <w:pPr>
        <w:pStyle w:val="Heading3"/>
        <w:spacing w:after="80" w:before="200"/>
      </w:pPr>
      <w:r>
        <w:rPr>
          <w:rFonts w:ascii="Arial" w:cs="Arial" w:eastAsia="Arial" w:hAnsi="Arial"/>
          <w:b/>
          <w:bCs/>
          <w:color w:val="334155"/>
          <w:sz w:val="22"/>
          <w:szCs w:val="22"/>
        </w:rPr>
        <w:t xml:space="preserve">Sector Relative Strength Score</w:t>
      </w:r>
    </w:p>
    <w:p>
      <w:pPr>
        <w:spacing w:after="120" w:before="60"/>
      </w:pPr>
      <w:r>
        <w:rPr>
          <w:rFonts w:ascii="Arial" w:cs="Arial" w:eastAsia="Arial" w:hAnsi="Arial"/>
          <w:b w:val="false"/>
          <w:bCs w:val="false"/>
          <w:i w:val="false"/>
          <w:iCs w:val="false"/>
          <w:color w:val="334155"/>
          <w:sz w:val="20"/>
          <w:szCs w:val="20"/>
        </w:rPr>
        <w:t xml:space="preserve">Ranks the company against all companies in the same sector on a composite of 5 key metrics: ROE, net margin, EPS growth, dividend yield, and P/E ratio. The rank position (1 = best in sector) is normalized to 0–100. A company ranked 1st in its sector scores 100; ranked last scores 0. This sub-score is deliberately low-weighted (3%) because it is already partially captured by the profitability, valuation, and growth sub-scores — it exists to reward consistent sector leadership, not to double-count individual metrics.</w:t>
      </w:r>
    </w:p>
    <w:p>
      <w:pPr>
        <w:spacing w:after="80" w:before="0"/>
      </w:pPr>
    </w:p>
    <w:p>
      <w:pPr>
        <w:pStyle w:val="Heading3"/>
        <w:spacing w:after="80" w:before="200"/>
      </w:pPr>
      <w:r>
        <w:rPr>
          <w:rFonts w:ascii="Arial" w:cs="Arial" w:eastAsia="Arial" w:hAnsi="Arial"/>
          <w:b/>
          <w:bCs/>
          <w:color w:val="334155"/>
          <w:sz w:val="22"/>
          <w:szCs w:val="22"/>
        </w:rPr>
        <w:t xml:space="preserve">Data Confidence Multiplier</w:t>
      </w:r>
    </w:p>
    <w:p>
      <w:pPr>
        <w:spacing w:after="120" w:before="60"/>
      </w:pPr>
      <w:r>
        <w:rPr>
          <w:rFonts w:ascii="Arial" w:cs="Arial" w:eastAsia="Arial" w:hAnsi="Arial"/>
          <w:b w:val="false"/>
          <w:bCs w:val="false"/>
          <w:i w:val="false"/>
          <w:iCs w:val="false"/>
          <w:color w:val="334155"/>
          <w:sz w:val="20"/>
          <w:szCs w:val="20"/>
        </w:rPr>
        <w:t xml:space="preserve">Applied after the composite score is calculated. Measures the completeness and recency of financial data. A company with all key financial_metrics fields populated and updated within the last 90 days receives a multiplier of 1.0. Missing fields reduce the multiplier proportionally. Data older than 270 days caps the multiplier at 0.65. This prevents the scoring engine from producing high-confidence scores from stale or incomplete data.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33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Multiplier</w:t>
            </w:r>
          </w:p>
        </w:tc>
      </w:tr>
      <w:tr>
        <w:tc>
          <w:tcPr>
            <w:tcW w:type="dxa" w:w="6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fields present, updated &lt; 90 days</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1.00</w:t>
            </w:r>
          </w:p>
        </w:tc>
      </w:tr>
      <w:tr>
        <w:tc>
          <w:tcPr>
            <w:tcW w:type="dxa" w:w="6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fields present, updated 90–180 days</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0.90</w:t>
            </w:r>
          </w:p>
        </w:tc>
      </w:tr>
      <w:tr>
        <w:tc>
          <w:tcPr>
            <w:tcW w:type="dxa" w:w="6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1–2 key fields missing, updated &lt; 90 days</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0.85</w:t>
            </w:r>
          </w:p>
        </w:tc>
      </w:tr>
      <w:tr>
        <w:tc>
          <w:tcPr>
            <w:tcW w:type="dxa" w:w="6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Multiple fields missing OR updated 180–270 days</w:t>
            </w:r>
          </w:p>
        </w:tc>
        <w:tc>
          <w:tcPr>
            <w:tcW w:type="dxa" w:w="33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0.75</w:t>
            </w:r>
          </w:p>
        </w:tc>
      </w:tr>
      <w:tr>
        <w:tc>
          <w:tcPr>
            <w:tcW w:type="dxa" w:w="6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Significant fields missing OR updated &gt; 270 days</w:t>
            </w:r>
          </w:p>
        </w:tc>
        <w:tc>
          <w:tcPr>
            <w:tcW w:type="dxa" w:w="33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0.65</w:t>
            </w:r>
          </w:p>
        </w:tc>
      </w:tr>
    </w:tbl>
    <w:p>
      <w:pPr>
        <w:spacing w:after="80" w:before="0"/>
      </w:pPr>
    </w:p>
    <w:p>
      <w:pPr>
        <w:pStyle w:val="Heading2"/>
        <w:spacing w:after="100" w:before="280"/>
      </w:pPr>
      <w:r>
        <w:rPr>
          <w:rFonts w:ascii="Arial" w:cs="Arial" w:eastAsia="Arial" w:hAnsi="Arial"/>
          <w:b/>
          <w:bCs/>
          <w:color w:val="4F6AF5"/>
          <w:sz w:val="26"/>
          <w:szCs w:val="26"/>
        </w:rPr>
        <w:t xml:space="preserve">1.3 Conviction Tiers</w:t>
      </w:r>
    </w:p>
    <w:p>
      <w:pPr>
        <w:spacing w:after="120" w:before="60"/>
      </w:pPr>
      <w:r>
        <w:rPr>
          <w:rFonts w:ascii="Arial" w:cs="Arial" w:eastAsia="Arial" w:hAnsi="Arial"/>
          <w:b w:val="false"/>
          <w:bCs w:val="false"/>
          <w:i w:val="false"/>
          <w:iCs w:val="false"/>
          <w:color w:val="334155"/>
          <w:sz w:val="20"/>
          <w:szCs w:val="20"/>
        </w:rPr>
        <w:t xml:space="preserve">The composite conviction score maps to four tiers. Tier boundaries are fixed (not percentile-based) so that the system does not mechanically produce a fixed distribution. It is entirely possible for all companies in a sector to be in the Watchlist tier during a period of sector stress, or for multiple companies to be in the High Conviction tier during a sector upswing.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15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 Range</w:t>
            </w:r>
          </w:p>
        </w:tc>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Label</w:t>
            </w:r>
          </w:p>
        </w:tc>
        <w:tc>
          <w:tcPr>
            <w:tcW w:type="dxa" w:w="38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AI Narrative Tone</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HIGH_CONVICTION</w:t>
            </w:r>
          </w:p>
        </w:tc>
        <w:tc>
          <w:tcPr>
            <w:tcW w:type="dxa" w:w="15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75 – 100</w:t>
            </w:r>
          </w:p>
        </w:tc>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High Conviction</w:t>
            </w:r>
          </w:p>
        </w:tc>
        <w:tc>
          <w:tcPr>
            <w:tcW w:type="dxa" w:w="38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Constructive — strong fundamental case, risks noted</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MODERATE</w:t>
            </w:r>
          </w:p>
        </w:tc>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55 – 74</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Moderate</w:t>
            </w:r>
          </w:p>
        </w:tc>
        <w:tc>
          <w:tcPr>
            <w:tcW w:type="dxa" w:w="3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Balanced — clear opportunity with identified headwinds</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WATCHLIST</w:t>
            </w:r>
          </w:p>
        </w:tc>
        <w:tc>
          <w:tcPr>
            <w:tcW w:type="dxa" w:w="15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35 – 54</w:t>
            </w:r>
          </w:p>
        </w:tc>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Watchlist</w:t>
            </w:r>
          </w:p>
        </w:tc>
        <w:tc>
          <w:tcPr>
            <w:tcW w:type="dxa" w:w="38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Cautious — monitor for improvement catalysts</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MONITOR</w:t>
            </w:r>
          </w:p>
        </w:tc>
        <w:tc>
          <w:tcPr>
            <w:tcW w:type="dxa" w:w="1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 – 34</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Monitor</w:t>
            </w:r>
          </w:p>
        </w:tc>
        <w:tc>
          <w:tcPr>
            <w:tcW w:type="dxa" w:w="3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Risk-aware — material headwinds dominate</w:t>
            </w:r>
          </w:p>
        </w:tc>
      </w:tr>
    </w:tbl>
    <w:p>
      <w:pPr>
        <w:spacing w:after="80" w:before="0"/>
      </w:pPr>
    </w:p>
    <w:p>
      <w:pPr>
        <w:pStyle w:val="Heading2"/>
        <w:spacing w:after="100" w:before="280"/>
      </w:pPr>
      <w:r>
        <w:rPr>
          <w:rFonts w:ascii="Arial" w:cs="Arial" w:eastAsia="Arial" w:hAnsi="Arial"/>
          <w:b/>
          <w:bCs/>
          <w:color w:val="4F6AF5"/>
          <w:sz w:val="26"/>
          <w:szCs w:val="26"/>
        </w:rPr>
        <w:t xml:space="preserve">1.4 Score Storage and Auditability</w:t>
      </w:r>
    </w:p>
    <w:p>
      <w:pPr>
        <w:spacing w:after="120" w:before="60"/>
      </w:pPr>
      <w:r>
        <w:rPr>
          <w:rFonts w:ascii="Arial" w:cs="Arial" w:eastAsia="Arial" w:hAnsi="Arial"/>
          <w:b w:val="false"/>
          <w:bCs w:val="false"/>
          <w:i w:val="false"/>
          <w:iCs w:val="false"/>
          <w:color w:val="334155"/>
          <w:sz w:val="20"/>
          <w:szCs w:val="20"/>
        </w:rPr>
        <w:t xml:space="preserve">Every conviction score computation stores a complete audit trail. The inputs_snapshot field captures the exact metric values used at the time of scoring, so any score can be reconstructed and explained at any future point. The score_version field enables reproducibility: re-running the scoring engine at version 1.0.0 on the same snapshot will always produce the same output.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Auditability Requirement</w:t>
            </w:r>
          </w:p>
          <w:p>
            <w:pPr>
              <w:spacing w:after="0" w:before="0"/>
            </w:pPr>
            <w:r>
              <w:rPr>
                <w:rFonts w:ascii="Arial" w:cs="Arial" w:eastAsia="Arial" w:hAnsi="Arial"/>
                <w:color w:val="334155"/>
                <w:sz w:val="19"/>
                <w:szCs w:val="19"/>
              </w:rPr>
              <w:t xml:space="preserve">Any conviction score must be explainable: "MCB scores 72 because its Profitability sub-score is 84 (top-quartile ROE of 22.3%), offset by a Risk sub-score of 48 (one high-severity risk: NIM compression) and a moderate Valuation score of 61 (trading near historical median P/B)." This explanation must be generatable from the stored inputs_snapshot without any additional data lookups.</w:t>
            </w:r>
          </w:p>
        </w:tc>
      </w:tr>
    </w:tbl>
    <w:p>
      <w:r>
        <w:br w:type="page"/>
      </w:r>
    </w:p>
    <w:p>
      <w:pPr>
        <w:pStyle w:val="Heading1"/>
        <w:spacing w:after="120" w:before="360"/>
      </w:pPr>
      <w:r>
        <w:rPr>
          <w:rFonts w:ascii="Arial" w:cs="Arial" w:eastAsia="Arial" w:hAnsi="Arial"/>
          <w:b/>
          <w:bCs/>
          <w:color w:val="0A0F1E"/>
          <w:sz w:val="32"/>
          <w:szCs w:val="32"/>
        </w:rPr>
        <w:t xml:space="preserve">Section 2 — Contextual Company Intelligence Engine</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Company Intelligence Engine generates institutional-quality narrative commentary for each company. It is powered by the Anthropic API and operates strictly as an interpreter of structured intelligence outputs — it does not generate conclusions from raw financial data or market prices.</w:t>
      </w:r>
    </w:p>
    <w:p>
      <w:pPr>
        <w:spacing w:after="80" w:before="0"/>
      </w:pPr>
    </w:p>
    <w:p>
      <w:pPr>
        <w:pStyle w:val="Heading2"/>
        <w:spacing w:after="100" w:before="280"/>
      </w:pPr>
      <w:r>
        <w:rPr>
          <w:rFonts w:ascii="Arial" w:cs="Arial" w:eastAsia="Arial" w:hAnsi="Arial"/>
          <w:b/>
          <w:bCs/>
          <w:color w:val="4F6AF5"/>
          <w:sz w:val="26"/>
          <w:szCs w:val="26"/>
        </w:rPr>
        <w:t xml:space="preserve">2.1 Narrative Types</w:t>
      </w:r>
    </w:p>
    <w:p>
      <w:pPr>
        <w:spacing w:after="120" w:before="60"/>
      </w:pPr>
      <w:r>
        <w:rPr>
          <w:rFonts w:ascii="Arial" w:cs="Arial" w:eastAsia="Arial" w:hAnsi="Arial"/>
          <w:b w:val="false"/>
          <w:bCs w:val="false"/>
          <w:i w:val="false"/>
          <w:iCs w:val="false"/>
          <w:color w:val="334155"/>
          <w:sz w:val="20"/>
          <w:szCs w:val="20"/>
        </w:rPr>
        <w:t xml:space="preserve">Each company supports five distinct AI-generated narrative types, each cached independently with its own invalidation logic.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Narrative Type</w:t>
            </w:r>
          </w:p>
        </w:tc>
        <w:tc>
          <w:tcPr>
            <w:tcW w:type="dxa" w:w="32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17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Cache Duration</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Investment Thesis Narrative</w:t>
            </w:r>
          </w:p>
        </w:tc>
        <w:tc>
          <w:tcPr>
            <w:tcW w:type="dxa" w:w="3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Full investment case: thesis, drivers, positioning</w:t>
            </w:r>
          </w:p>
        </w:tc>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On-demand + block updates</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72 hours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 Interpretation</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Plain-English explanation of the conviction score breakdown</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Score tier change + on-demand</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48 hours</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Risk Summary</w:t>
            </w:r>
          </w:p>
        </w:tc>
        <w:tc>
          <w:tcPr>
            <w:tcW w:type="dxa" w:w="3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Synthesized risk register with severity context</w:t>
            </w:r>
          </w:p>
        </w:tc>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 risk block insert/update</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48 hours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Catalyst Summary</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Near-term opportunity summary across catalyst horizon</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catalyst block insert/update</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48 hours</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Peer Comparison Narrative</w:t>
            </w:r>
          </w:p>
        </w:tc>
        <w:tc>
          <w:tcPr>
            <w:tcW w:type="dxa" w:w="3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 vs 2-3 closest sector peers on key metrics</w:t>
            </w:r>
          </w:p>
        </w:tc>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Weekly refresh</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7 days</w:t>
            </w:r>
          </w:p>
        </w:tc>
      </w:tr>
    </w:tbl>
    <w:p>
      <w:pPr>
        <w:spacing w:after="80" w:before="0"/>
      </w:pPr>
    </w:p>
    <w:p>
      <w:pPr>
        <w:pStyle w:val="Heading2"/>
        <w:spacing w:after="100" w:before="280"/>
      </w:pPr>
      <w:r>
        <w:rPr>
          <w:rFonts w:ascii="Arial" w:cs="Arial" w:eastAsia="Arial" w:hAnsi="Arial"/>
          <w:b/>
          <w:bCs/>
          <w:color w:val="4F6AF5"/>
          <w:sz w:val="26"/>
          <w:szCs w:val="26"/>
        </w:rPr>
        <w:t xml:space="preserve">2.2 Structured Input Format</w:t>
      </w:r>
    </w:p>
    <w:p>
      <w:pPr>
        <w:spacing w:after="120" w:before="60"/>
      </w:pPr>
      <w:r>
        <w:rPr>
          <w:rFonts w:ascii="Arial" w:cs="Arial" w:eastAsia="Arial" w:hAnsi="Arial"/>
          <w:b w:val="false"/>
          <w:bCs w:val="false"/>
          <w:i w:val="false"/>
          <w:iCs w:val="false"/>
          <w:color w:val="334155"/>
          <w:sz w:val="20"/>
          <w:szCs w:val="20"/>
        </w:rPr>
        <w:t xml:space="preserve">Every AI narrative is seeded with a deterministic, structured context block assembled from DB queries. The LLM never receives free-form text or raw financial statements as input. The context block is assembled by the Edge Function before the API call and stored alongside the output for auditability.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Example: Company Intelligence Context Block (MCB)</w:t>
            </w:r>
          </w:p>
          <w:p>
            <w:pPr>
              <w:spacing w:after="0" w:before="0"/>
            </w:pPr>
            <w:r>
              <w:rPr>
                <w:rFonts w:ascii="Arial" w:cs="Arial" w:eastAsia="Arial" w:hAnsi="Arial"/>
                <w:color w:val="334155"/>
                <w:sz w:val="19"/>
                <w:szCs w:val="19"/>
              </w:rPr>
              <w:t xml:space="preserve">COMPANY: MCB Bank Limited (MCB) | SECTOR: Banking | DATE: 2026-05-19
CONVICTION: 72/100 (Moderate) | TIER: MODERATE | TREND: Improving (+4 from prior quarter)
SUB-SCORES: Valuation 68 (Fair) | Profitability 84 (Strong) | Growth 61 (Moderate)
            Balance Sheet 78 (Strong) | Catalyst 71 | Risk 52 | Sector Rel. Strength 79
THESIS THEMES: [CASA franchise strength] [Corporate banking depth] [Digital penetration]
KEY DRIVERS: [Rate cycle stabilisation (positive)] [Private credit recovery (watch)]
RISKS (2): [NIM compression — high severity] [NPL cycle — medium severity]
CATALYSTS (3): [Rate floor confirmation — near] [Dividend special — medium] [Credit recovery — long]
VALUATION: PE 6.2x (sector median 5.8x) | PB 0.92x (5yr range 0.7x–1.4x) | Signal: fair
SECTOR DRIVERS: 3 positive, 1 negative, 2 watch | Sector conviction: Moderate</w:t>
            </w:r>
          </w:p>
        </w:tc>
      </w:tr>
    </w:tbl>
    <w:p>
      <w:pPr>
        <w:spacing w:after="80" w:before="0"/>
      </w:pPr>
    </w:p>
    <w:p>
      <w:pPr>
        <w:pStyle w:val="Heading2"/>
        <w:spacing w:after="100" w:before="280"/>
      </w:pPr>
      <w:r>
        <w:rPr>
          <w:rFonts w:ascii="Arial" w:cs="Arial" w:eastAsia="Arial" w:hAnsi="Arial"/>
          <w:b/>
          <w:bCs/>
          <w:color w:val="4F6AF5"/>
          <w:sz w:val="26"/>
          <w:szCs w:val="26"/>
        </w:rPr>
        <w:t xml:space="preserve">2.3 Prompt Architecture</w:t>
      </w:r>
    </w:p>
    <w:p>
      <w:pPr>
        <w:spacing w:after="120" w:before="60"/>
      </w:pPr>
      <w:r>
        <w:rPr>
          <w:rFonts w:ascii="Arial" w:cs="Arial" w:eastAsia="Arial" w:hAnsi="Arial"/>
          <w:b w:val="false"/>
          <w:bCs w:val="false"/>
          <w:i w:val="false"/>
          <w:iCs w:val="false"/>
          <w:color w:val="334155"/>
          <w:sz w:val="20"/>
          <w:szCs w:val="20"/>
        </w:rPr>
        <w:t xml:space="preserve">All prompts follow a strict three-part structure: system identity, context block, and output instruction. The system prompt encodes the analytical persona and hard constraints. The context block is the structured intelligence input. The output instruction defines format, length, and prohibited language.</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System prompt core constraints (enforced in every company narrative prompt):</w:t>
      </w:r>
    </w:p>
    <w:p>
      <w:pPr>
        <w:pStyle w:val="ListParagraph"/>
        <w:numPr>
          <w:ilvl w:val="0"/>
          <w:numId w:val="2"/>
        </w:numPr>
        <w:spacing w:after="60" w:before="40"/>
      </w:pPr>
      <w:r>
        <w:rPr>
          <w:rFonts w:ascii="Arial" w:cs="Arial" w:eastAsia="Arial" w:hAnsi="Arial"/>
          <w:color w:val="334155"/>
          <w:sz w:val="20"/>
          <w:szCs w:val="20"/>
        </w:rPr>
        <w:t xml:space="preserve">You are an institutional equity research analyst interpreting structured data for sophisticated investors.</w:t>
      </w:r>
    </w:p>
    <w:p>
      <w:pPr>
        <w:pStyle w:val="ListParagraph"/>
        <w:numPr>
          <w:ilvl w:val="0"/>
          <w:numId w:val="2"/>
        </w:numPr>
        <w:spacing w:after="60" w:before="40"/>
      </w:pPr>
      <w:r>
        <w:rPr>
          <w:rFonts w:ascii="Arial" w:cs="Arial" w:eastAsia="Arial" w:hAnsi="Arial"/>
          <w:color w:val="334155"/>
          <w:sz w:val="20"/>
          <w:szCs w:val="20"/>
        </w:rPr>
        <w:t xml:space="preserve">You interpret scores, blocks, and validated metrics. You do not generate conclusions from raw market data.</w:t>
      </w:r>
    </w:p>
    <w:p>
      <w:pPr>
        <w:pStyle w:val="ListParagraph"/>
        <w:numPr>
          <w:ilvl w:val="0"/>
          <w:numId w:val="2"/>
        </w:numPr>
        <w:spacing w:after="60" w:before="40"/>
      </w:pPr>
      <w:r>
        <w:rPr>
          <w:rFonts w:ascii="Arial" w:cs="Arial" w:eastAsia="Arial" w:hAnsi="Arial"/>
          <w:color w:val="334155"/>
          <w:sz w:val="20"/>
          <w:szCs w:val="20"/>
        </w:rPr>
        <w:t xml:space="preserve">Never use Buy, Sell, Hold, or any variant thereof. Never state a target price. Never make return forecasts.</w:t>
      </w:r>
    </w:p>
    <w:p>
      <w:pPr>
        <w:pStyle w:val="ListParagraph"/>
        <w:numPr>
          <w:ilvl w:val="0"/>
          <w:numId w:val="2"/>
        </w:numPr>
        <w:spacing w:after="60" w:before="40"/>
      </w:pPr>
      <w:r>
        <w:rPr>
          <w:rFonts w:ascii="Arial" w:cs="Arial" w:eastAsia="Arial" w:hAnsi="Arial"/>
          <w:color w:val="334155"/>
          <w:sz w:val="20"/>
          <w:szCs w:val="20"/>
        </w:rPr>
        <w:t xml:space="preserve">Never invent financial figures. Every number you cite must appear in your structured context input.</w:t>
      </w:r>
    </w:p>
    <w:p>
      <w:pPr>
        <w:pStyle w:val="ListParagraph"/>
        <w:numPr>
          <w:ilvl w:val="0"/>
          <w:numId w:val="2"/>
        </w:numPr>
        <w:spacing w:after="60" w:before="40"/>
      </w:pPr>
      <w:r>
        <w:rPr>
          <w:rFonts w:ascii="Arial" w:cs="Arial" w:eastAsia="Arial" w:hAnsi="Arial"/>
          <w:color w:val="334155"/>
          <w:sz w:val="20"/>
          <w:szCs w:val="20"/>
        </w:rPr>
        <w:t xml:space="preserve">Write in clear, institutional prose. Avoid promotional language, superlatives, and speculative language.</w:t>
      </w:r>
    </w:p>
    <w:p>
      <w:pPr>
        <w:pStyle w:val="ListParagraph"/>
        <w:numPr>
          <w:ilvl w:val="0"/>
          <w:numId w:val="2"/>
        </w:numPr>
        <w:spacing w:after="60" w:before="40"/>
      </w:pPr>
      <w:r>
        <w:rPr>
          <w:rFonts w:ascii="Arial" w:cs="Arial" w:eastAsia="Arial" w:hAnsi="Arial"/>
          <w:color w:val="334155"/>
          <w:sz w:val="20"/>
          <w:szCs w:val="20"/>
        </w:rPr>
        <w:t xml:space="preserve">Output length: 3 to 4 paragraphs. No bullet points in output — prose only.</w:t>
      </w:r>
    </w:p>
    <w:p>
      <w:pPr>
        <w:spacing w:after="80" w:before="0"/>
      </w:pPr>
    </w:p>
    <w:p>
      <w:pPr>
        <w:pStyle w:val="Heading2"/>
        <w:spacing w:after="100" w:before="280"/>
      </w:pPr>
      <w:r>
        <w:rPr>
          <w:rFonts w:ascii="Arial" w:cs="Arial" w:eastAsia="Arial" w:hAnsi="Arial"/>
          <w:b/>
          <w:bCs/>
          <w:color w:val="4F6AF5"/>
          <w:sz w:val="26"/>
          <w:szCs w:val="26"/>
        </w:rPr>
        <w:t xml:space="preserve">2.4 Cache System</w:t>
      </w:r>
    </w:p>
    <w:p>
      <w:pPr>
        <w:spacing w:after="120" w:before="60"/>
      </w:pPr>
      <w:r>
        <w:rPr>
          <w:rFonts w:ascii="Arial" w:cs="Arial" w:eastAsia="Arial" w:hAnsi="Arial"/>
          <w:b w:val="false"/>
          <w:bCs w:val="false"/>
          <w:i w:val="false"/>
          <w:iCs w:val="false"/>
          <w:color w:val="334155"/>
          <w:sz w:val="20"/>
          <w:szCs w:val="20"/>
        </w:rPr>
        <w:t xml:space="preserve">Company narratives are cached in the ai_outputs table. The cache is keyed on (output_type, reference_key, is_current). A new generation does not overwrite the prior record — it creates a new row, sets is_current = true on the new record, and sets is_current = false on the prior record. This preserves the full generation history for auditability and A/B comparison.</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Cache invalidation is event-driven, not time-based for company narratives (time-based TTL is a backstop only). The primary invalidation triggers are: a new intelligence block inserted or updated for the company, the conviction score moving to a different tier, or the prompt version being incremented for this output type.</w:t>
      </w:r>
    </w:p>
    <w:p>
      <w:r>
        <w:br w:type="page"/>
      </w:r>
    </w:p>
    <w:p>
      <w:pPr>
        <w:pStyle w:val="Heading1"/>
        <w:spacing w:after="120" w:before="360"/>
      </w:pPr>
      <w:r>
        <w:rPr>
          <w:rFonts w:ascii="Arial" w:cs="Arial" w:eastAsia="Arial" w:hAnsi="Arial"/>
          <w:b/>
          <w:bCs/>
          <w:color w:val="0A0F1E"/>
          <w:sz w:val="32"/>
          <w:szCs w:val="32"/>
        </w:rPr>
        <w:t xml:space="preserve">Section 3 — Sector Intelligence Engine</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Sector Intelligence Engine is one of AHM's core structural moats. It maps macro variables to sector dynamics, sector dynamics to company-level impact, and synthesizes this chain into readable intelligence. It explains not just what is happening in a sector, but why — and how it flows through to earnings.</w:t>
      </w:r>
    </w:p>
    <w:p>
      <w:pPr>
        <w:spacing w:after="80" w:before="0"/>
      </w:pPr>
    </w:p>
    <w:p>
      <w:pPr>
        <w:pStyle w:val="Heading2"/>
        <w:spacing w:after="100" w:before="280"/>
      </w:pPr>
      <w:r>
        <w:rPr>
          <w:rFonts w:ascii="Arial" w:cs="Arial" w:eastAsia="Arial" w:hAnsi="Arial"/>
          <w:b/>
          <w:bCs/>
          <w:color w:val="4F6AF5"/>
          <w:sz w:val="26"/>
          <w:szCs w:val="26"/>
        </w:rPr>
        <w:t xml:space="preserve">3.1 Macro-to-Sector Driver Mapping</w:t>
      </w:r>
    </w:p>
    <w:p>
      <w:pPr>
        <w:spacing w:after="120" w:before="60"/>
      </w:pPr>
      <w:r>
        <w:rPr>
          <w:rFonts w:ascii="Arial" w:cs="Arial" w:eastAsia="Arial" w:hAnsi="Arial"/>
          <w:b w:val="false"/>
          <w:bCs w:val="false"/>
          <w:i w:val="false"/>
          <w:iCs w:val="false"/>
          <w:color w:val="334155"/>
          <w:sz w:val="20"/>
          <w:szCs w:val="20"/>
        </w:rPr>
        <w:t xml:space="preserve">Each sector has a defined set of macro drivers with a directional relationship (positive, negative, neutral) and an estimated earnings impact lag. These relationships are encoded in the sector_macro_drivers table and updated by analysts as macro conditions shift.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3000"/>
        <w:gridCol w:w="1760"/>
      </w:tblGrid>
      <w:tr>
        <w:trPr>
          <w:tblHeader/>
        </w:trPr>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Macro Driver</w:t>
            </w:r>
          </w:p>
        </w:tc>
        <w:tc>
          <w:tcPr>
            <w:tcW w:type="dxa" w:w="1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Sector</w:t>
            </w:r>
          </w:p>
        </w:tc>
        <w:tc>
          <w:tcPr>
            <w:tcW w:type="dxa" w:w="12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Relationship</w:t>
            </w:r>
          </w:p>
        </w:tc>
        <w:tc>
          <w:tcPr>
            <w:tcW w:type="dxa" w:w="3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17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Lag (months)</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Rising interest rates</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Banking</w:t>
            </w:r>
          </w:p>
        </w:tc>
        <w:tc>
          <w:tcPr>
            <w:tcW w:type="dxa" w:w="1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Positive</w:t>
            </w:r>
          </w:p>
        </w:tc>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NIM expansion on rate-sensitive assets</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1–3</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Rising interest rates</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Cement</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Higher cost of debt, weaker construction</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3–6</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PKR depreciation</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Textiles</w:t>
            </w:r>
          </w:p>
        </w:tc>
        <w:tc>
          <w:tcPr>
            <w:tcW w:type="dxa" w:w="1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Positive</w:t>
            </w:r>
          </w:p>
        </w:tc>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Export revenues rise in PKR terms</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1–2</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PKR depreciation</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Power IPP</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USD-denominated fuel cost increases</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0–1</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Coal price increase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Cement</w:t>
            </w:r>
          </w:p>
        </w:tc>
        <w:tc>
          <w:tcPr>
            <w:tcW w:type="dxa" w:w="1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Direct energy cost input</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1–2</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Coal price increase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Power</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Fuel cost per unit increases</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1–3</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Oil price increase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E&amp;P / O&amp;G</w:t>
            </w:r>
          </w:p>
        </w:tc>
        <w:tc>
          <w:tcPr>
            <w:tcW w:type="dxa" w:w="1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Positive</w:t>
            </w:r>
          </w:p>
        </w:tc>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Revenue uplift on extraction</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0–1</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Oil price increase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Fertiliser</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Feedstock cost (gas, naphtha) pressure</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2–4</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Inflation increase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Consumer</w:t>
            </w:r>
          </w:p>
        </w:tc>
        <w:tc>
          <w:tcPr>
            <w:tcW w:type="dxa" w:w="1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Real demand compression</w:t>
            </w:r>
          </w:p>
        </w:tc>
        <w:tc>
          <w:tcPr>
            <w:tcW w:type="dxa" w:w="1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2–6</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Circular debt increase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Power IPP</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Negative</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Receivable buildup, cash flow risk</w:t>
            </w:r>
          </w:p>
        </w:tc>
        <w:tc>
          <w:tcPr>
            <w:tcW w:type="dxa" w:w="1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0–3</w:t>
            </w:r>
          </w:p>
        </w:tc>
      </w:tr>
    </w:tbl>
    <w:p>
      <w:pPr>
        <w:spacing w:after="80" w:before="0"/>
      </w:pPr>
    </w:p>
    <w:p>
      <w:pPr>
        <w:pStyle w:val="Heading2"/>
        <w:spacing w:after="100" w:before="280"/>
      </w:pPr>
      <w:r>
        <w:rPr>
          <w:rFonts w:ascii="Arial" w:cs="Arial" w:eastAsia="Arial" w:hAnsi="Arial"/>
          <w:b/>
          <w:bCs/>
          <w:color w:val="4F6AF5"/>
          <w:sz w:val="26"/>
          <w:szCs w:val="26"/>
        </w:rPr>
        <w:t xml:space="preserve">3.2 Sector Intelligence Generation</w:t>
      </w:r>
    </w:p>
    <w:p>
      <w:pPr>
        <w:spacing w:after="120" w:before="60"/>
      </w:pPr>
      <w:r>
        <w:rPr>
          <w:rFonts w:ascii="Arial" w:cs="Arial" w:eastAsia="Arial" w:hAnsi="Arial"/>
          <w:b w:val="false"/>
          <w:bCs w:val="false"/>
          <w:i w:val="false"/>
          <w:iCs w:val="false"/>
          <w:color w:val="334155"/>
          <w:sz w:val="20"/>
          <w:szCs w:val="20"/>
        </w:rPr>
        <w:t xml:space="preserve">The Sector Intelligence Engine generates a weekly AI brief for each active sector. The brief synthesizes: current macro driver status, sector driver trends, relative sector performance, key company-level signals, and the outlook for sector earnings. Each brief replaces the static intelligence_summary field on the sectors table, making sector intelligence fully dynamic.</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The structured input for sector brief generation is assembled from: all sector_drivers records (with trend and current_reading), all sector_macro_drivers records (with current directional status), company metrics aggregated at sector level (average ROE, median P/E, sector PAT growth), and the top 3 near-term catalysts and top 3 active risks across all companies in the sector.</w:t>
      </w:r>
    </w:p>
    <w:p>
      <w:pPr>
        <w:spacing w:after="80" w:before="0"/>
      </w:pPr>
    </w:p>
    <w:p>
      <w:pPr>
        <w:pStyle w:val="Heading2"/>
        <w:spacing w:after="100" w:before="280"/>
      </w:pPr>
      <w:r>
        <w:rPr>
          <w:rFonts w:ascii="Arial" w:cs="Arial" w:eastAsia="Arial" w:hAnsi="Arial"/>
          <w:b/>
          <w:bCs/>
          <w:color w:val="4F6AF5"/>
          <w:sz w:val="26"/>
          <w:szCs w:val="26"/>
        </w:rPr>
        <w:t xml:space="preserve">3.3 Sector Conviction System</w:t>
      </w:r>
    </w:p>
    <w:p>
      <w:pPr>
        <w:spacing w:after="120" w:before="60"/>
      </w:pPr>
      <w:r>
        <w:rPr>
          <w:rFonts w:ascii="Arial" w:cs="Arial" w:eastAsia="Arial" w:hAnsi="Arial"/>
          <w:b w:val="false"/>
          <w:bCs w:val="false"/>
          <w:i w:val="false"/>
          <w:iCs w:val="false"/>
          <w:color w:val="334155"/>
          <w:sz w:val="20"/>
          <w:szCs w:val="20"/>
        </w:rPr>
        <w:t xml:space="preserve">Each sector receives a sector-level conviction score derived from the weighted average of constituent company conviction scores, adjusted by the macro driver balance and sector driver trend distribution. Sectors with more positive macro drivers and a higher proportion of constituent companies in the High Conviction tier score above 65. Sectors under macro headwinds with multiple negative sector drivers score below 45.</w:t>
      </w:r>
    </w:p>
    <w:p>
      <w:pPr>
        <w:spacing w:after="120" w:before="60"/>
      </w:pPr>
      <w:r>
        <w:rPr>
          <w:rFonts w:ascii="Arial" w:cs="Arial" w:eastAsia="Arial" w:hAnsi="Arial"/>
          <w:b w:val="false"/>
          <w:bCs w:val="false"/>
          <w:i w:val="false"/>
          <w:iCs w:val="false"/>
          <w:color w:val="334155"/>
          <w:sz w:val="20"/>
          <w:szCs w:val="20"/>
        </w:rPr>
        <w:t xml:space="preserve">The sector conviction score drives the sector heatmap on the market dashboard and the sector ranking card on the intelligence page. It is recalculated weekly alongside sector brief generation.</w:t>
      </w:r>
    </w:p>
    <w:p>
      <w:r>
        <w:br w:type="page"/>
      </w:r>
    </w:p>
    <w:p>
      <w:pPr>
        <w:pStyle w:val="Heading1"/>
        <w:spacing w:after="120" w:before="360"/>
      </w:pPr>
      <w:r>
        <w:rPr>
          <w:rFonts w:ascii="Arial" w:cs="Arial" w:eastAsia="Arial" w:hAnsi="Arial"/>
          <w:b/>
          <w:bCs/>
          <w:color w:val="0A0F1E"/>
          <w:sz w:val="32"/>
          <w:szCs w:val="32"/>
        </w:rPr>
        <w:t xml:space="preserve">Section 4 — Daily AI Snapshot System</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Daily AI Snapshot System generates structured market intelligence at three points during the trading day: pre-market, post-market, and an end-of-day institutional summary. Each snapshot is generated in two formats: a long-form analyst brief (800–1,200 words) and a short-form digest (150–200 words) designed for WhatsApp distribution.</w:t>
      </w:r>
    </w:p>
    <w:p>
      <w:pPr>
        <w:spacing w:after="80" w:before="0"/>
      </w:pPr>
    </w:p>
    <w:p>
      <w:pPr>
        <w:pStyle w:val="Heading2"/>
        <w:spacing w:after="100" w:before="280"/>
      </w:pPr>
      <w:r>
        <w:rPr>
          <w:rFonts w:ascii="Arial" w:cs="Arial" w:eastAsia="Arial" w:hAnsi="Arial"/>
          <w:b/>
          <w:bCs/>
          <w:color w:val="4F6AF5"/>
          <w:sz w:val="26"/>
          <w:szCs w:val="26"/>
        </w:rPr>
        <w:t xml:space="preserve">4.1 Generation Schedule (PKT)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rPr>
          <w:tblHeader/>
        </w:trPr>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(PKT)</w:t>
            </w:r>
          </w:p>
        </w:tc>
        <w:tc>
          <w:tcPr>
            <w:tcW w:type="dxa" w:w="25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Snapshot Type</w:t>
            </w:r>
          </w:p>
        </w:tc>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w:t>
            </w:r>
          </w:p>
        </w:tc>
        <w:tc>
          <w:tcPr>
            <w:tcW w:type="dxa" w:w="32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Consumer</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08:30</w:t>
            </w:r>
          </w:p>
        </w:tc>
        <w:tc>
          <w:tcPr>
            <w:tcW w:type="dxa" w:w="25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Pre-Market Brief</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Long + Short</w:t>
            </w:r>
          </w:p>
        </w:tc>
        <w:tc>
          <w:tcPr>
            <w:tcW w:type="dxa" w:w="32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Analyst dashboard, WhatsApp</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10:00</w:t>
            </w:r>
          </w:p>
        </w:tc>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Market Open Snapshot</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Short only</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Dashboard alert strip</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15:30</w:t>
            </w:r>
          </w:p>
        </w:tc>
        <w:tc>
          <w:tcPr>
            <w:tcW w:type="dxa" w:w="25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Market Close Summary</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Long + Short</w:t>
            </w:r>
          </w:p>
        </w:tc>
        <w:tc>
          <w:tcPr>
            <w:tcW w:type="dxa" w:w="32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Dashboard, WhatsApp</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18:00</w:t>
            </w:r>
          </w:p>
        </w:tc>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EOD Intelligence Summary</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Long only</w:t>
            </w:r>
          </w:p>
        </w:tc>
        <w:tc>
          <w:tcPr>
            <w:tcW w:type="dxa" w:w="32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Institutional briefing</w:t>
            </w:r>
          </w:p>
        </w:tc>
      </w:tr>
    </w:tbl>
    <w:p>
      <w:pPr>
        <w:spacing w:after="80" w:before="0"/>
      </w:pPr>
    </w:p>
    <w:p>
      <w:pPr>
        <w:pStyle w:val="Heading2"/>
        <w:spacing w:after="100" w:before="280"/>
      </w:pPr>
      <w:r>
        <w:rPr>
          <w:rFonts w:ascii="Arial" w:cs="Arial" w:eastAsia="Arial" w:hAnsi="Arial"/>
          <w:b/>
          <w:bCs/>
          <w:color w:val="4F6AF5"/>
          <w:sz w:val="26"/>
          <w:szCs w:val="26"/>
        </w:rPr>
        <w:t xml:space="preserve">4.2 Snapshot Components</w:t>
      </w:r>
    </w:p>
    <w:p>
      <w:pPr>
        <w:spacing w:after="120" w:before="60"/>
      </w:pPr>
      <w:r>
        <w:rPr>
          <w:rFonts w:ascii="Arial" w:cs="Arial" w:eastAsia="Arial" w:hAnsi="Arial"/>
          <w:b w:val="false"/>
          <w:bCs w:val="false"/>
          <w:i w:val="false"/>
          <w:iCs w:val="false"/>
          <w:color w:val="334155"/>
          <w:sz w:val="20"/>
          <w:szCs w:val="20"/>
        </w:rPr>
        <w:t xml:space="preserve">Every snapshot is assembled from a structured input package built before the AI call. The components are not generated freely — each pulls from a specific, validated DB source.</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Market Summary — KSE-100 level, change, advance/decline ratio from market_index table</w:t>
      </w:r>
    </w:p>
    <w:p>
      <w:pPr>
        <w:pStyle w:val="ListParagraph"/>
        <w:numPr>
          <w:ilvl w:val="0"/>
          <w:numId w:val="2"/>
        </w:numPr>
        <w:spacing w:after="60" w:before="40"/>
      </w:pPr>
      <w:r>
        <w:rPr>
          <w:rFonts w:ascii="Arial" w:cs="Arial" w:eastAsia="Arial" w:hAnsi="Arial"/>
          <w:color w:val="334155"/>
          <w:sz w:val="20"/>
          <w:szCs w:val="20"/>
        </w:rPr>
        <w:t xml:space="preserve">Sector Summary — sector conviction scores + 1-day sector average change</w:t>
      </w:r>
    </w:p>
    <w:p>
      <w:pPr>
        <w:pStyle w:val="ListParagraph"/>
        <w:numPr>
          <w:ilvl w:val="0"/>
          <w:numId w:val="2"/>
        </w:numPr>
        <w:spacing w:after="60" w:before="40"/>
      </w:pPr>
      <w:r>
        <w:rPr>
          <w:rFonts w:ascii="Arial" w:cs="Arial" w:eastAsia="Arial" w:hAnsi="Arial"/>
          <w:color w:val="334155"/>
          <w:sz w:val="20"/>
          <w:szCs w:val="20"/>
        </w:rPr>
        <w:t xml:space="preserve">Unusual Movers — companies with price change &gt; 3% cross-referenced against intelligence blocks for context</w:t>
      </w:r>
    </w:p>
    <w:p>
      <w:pPr>
        <w:pStyle w:val="ListParagraph"/>
        <w:numPr>
          <w:ilvl w:val="0"/>
          <w:numId w:val="2"/>
        </w:numPr>
        <w:spacing w:after="60" w:before="40"/>
      </w:pPr>
      <w:r>
        <w:rPr>
          <w:rFonts w:ascii="Arial" w:cs="Arial" w:eastAsia="Arial" w:hAnsi="Arial"/>
          <w:color w:val="334155"/>
          <w:sz w:val="20"/>
          <w:szCs w:val="20"/>
        </w:rPr>
        <w:t xml:space="preserve">Earnings and Events — announcements from the current day, categorized and summarized</w:t>
      </w:r>
    </w:p>
    <w:p>
      <w:pPr>
        <w:pStyle w:val="ListParagraph"/>
        <w:numPr>
          <w:ilvl w:val="0"/>
          <w:numId w:val="2"/>
        </w:numPr>
        <w:spacing w:after="60" w:before="40"/>
      </w:pPr>
      <w:r>
        <w:rPr>
          <w:rFonts w:ascii="Arial" w:cs="Arial" w:eastAsia="Arial" w:hAnsi="Arial"/>
          <w:color w:val="334155"/>
          <w:sz w:val="20"/>
          <w:szCs w:val="20"/>
        </w:rPr>
        <w:t xml:space="preserve">Macro Impact — active sector_macro_drivers with negative or watch status</w:t>
      </w:r>
    </w:p>
    <w:p>
      <w:pPr>
        <w:pStyle w:val="ListParagraph"/>
        <w:numPr>
          <w:ilvl w:val="0"/>
          <w:numId w:val="2"/>
        </w:numPr>
        <w:spacing w:after="60" w:before="40"/>
      </w:pPr>
      <w:r>
        <w:rPr>
          <w:rFonts w:ascii="Arial" w:cs="Arial" w:eastAsia="Arial" w:hAnsi="Arial"/>
          <w:color w:val="334155"/>
          <w:sz w:val="20"/>
          <w:szCs w:val="20"/>
        </w:rPr>
        <w:t xml:space="preserve">Risk Alerts — any high-severity risk blocks inserted or updated in the last 24 hours</w:t>
      </w:r>
    </w:p>
    <w:p>
      <w:pPr>
        <w:pStyle w:val="ListParagraph"/>
        <w:numPr>
          <w:ilvl w:val="0"/>
          <w:numId w:val="2"/>
        </w:numPr>
        <w:spacing w:after="60" w:before="40"/>
      </w:pPr>
      <w:r>
        <w:rPr>
          <w:rFonts w:ascii="Arial" w:cs="Arial" w:eastAsia="Arial" w:hAnsi="Arial"/>
          <w:color w:val="334155"/>
          <w:sz w:val="20"/>
          <w:szCs w:val="20"/>
        </w:rPr>
        <w:t xml:space="preserve">Conviction Changes — any company that moved conviction tiers in the last 24 hours</w:t>
      </w:r>
    </w:p>
    <w:p>
      <w:pPr>
        <w:pStyle w:val="ListParagraph"/>
        <w:numPr>
          <w:ilvl w:val="0"/>
          <w:numId w:val="2"/>
        </w:numPr>
        <w:spacing w:after="60" w:before="40"/>
      </w:pPr>
      <w:r>
        <w:rPr>
          <w:rFonts w:ascii="Arial" w:cs="Arial" w:eastAsia="Arial" w:hAnsi="Arial"/>
          <w:color w:val="334155"/>
          <w:sz w:val="20"/>
          <w:szCs w:val="20"/>
        </w:rPr>
        <w:t xml:space="preserve">Data Quality — any company with data_confidence multiplier below 0.75</w:t>
      </w:r>
    </w:p>
    <w:p>
      <w:pPr>
        <w:spacing w:after="80" w:before="0"/>
      </w:pPr>
    </w:p>
    <w:p>
      <w:pPr>
        <w:pStyle w:val="Heading2"/>
        <w:spacing w:after="100" w:before="280"/>
      </w:pPr>
      <w:r>
        <w:rPr>
          <w:rFonts w:ascii="Arial" w:cs="Arial" w:eastAsia="Arial" w:hAnsi="Arial"/>
          <w:b/>
          <w:bCs/>
          <w:color w:val="4F6AF5"/>
          <w:sz w:val="26"/>
          <w:szCs w:val="26"/>
        </w:rPr>
        <w:t xml:space="preserve">4.3 WhatsApp Output Format</w:t>
      </w:r>
    </w:p>
    <w:p>
      <w:pPr>
        <w:spacing w:after="120" w:before="60"/>
      </w:pPr>
      <w:r>
        <w:rPr>
          <w:rFonts w:ascii="Arial" w:cs="Arial" w:eastAsia="Arial" w:hAnsi="Arial"/>
          <w:b w:val="false"/>
          <w:bCs w:val="false"/>
          <w:i w:val="false"/>
          <w:iCs w:val="false"/>
          <w:color w:val="334155"/>
          <w:sz w:val="20"/>
          <w:szCs w:val="20"/>
        </w:rPr>
        <w:t xml:space="preserve">The short-form snapshot is constrained to 200 words maximum and structured for plain-text readability in a messaging context. The format uses no markdown, no tables, and no special characters. Section breaks use dashes. The language is plain and professional.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WhatsApp Short-Form Format Example</w:t>
            </w:r>
          </w:p>
          <w:p>
            <w:pPr>
              <w:spacing w:after="0" w:before="0"/>
            </w:pPr>
            <w:r>
              <w:rPr>
                <w:rFonts w:ascii="Arial" w:cs="Arial" w:eastAsia="Arial" w:hAnsi="Arial"/>
                <w:color w:val="334155"/>
                <w:sz w:val="19"/>
                <w:szCs w:val="19"/>
              </w:rPr>
              <w:t xml:space="preserve">AHM DAILY BRIEF — 19 May 2026 | Close
---
KSE-100 closed at 96,420 (+0.8%). Banking led gains, Cement under pressure.
---
MOVERS: MCB +2.1% (earnings outperformance). LUCK -1.8% (coal cost pressures flagged).
---
SECTOR WATCH: Banking sector conviction firm. Power sector macro risk elevated on circular debt.
---
CATALYST ALERT: HBL near-term dividend catalyst confirmed. Rate floor supports NIM outlook.
---
AHM Platform Intelligence. Not investment advice.</w:t>
            </w:r>
          </w:p>
        </w:tc>
      </w:tr>
    </w:tbl>
    <w:p>
      <w:r>
        <w:br w:type="page"/>
      </w:r>
    </w:p>
    <w:p>
      <w:pPr>
        <w:pStyle w:val="Heading1"/>
        <w:spacing w:after="120" w:before="360"/>
      </w:pPr>
      <w:r>
        <w:rPr>
          <w:rFonts w:ascii="Arial" w:cs="Arial" w:eastAsia="Arial" w:hAnsi="Arial"/>
          <w:b/>
          <w:bCs/>
          <w:color w:val="0A0F1E"/>
          <w:sz w:val="32"/>
          <w:szCs w:val="32"/>
        </w:rPr>
        <w:t xml:space="preserve">Section 5 — AI Output Caching System</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Every AI-generated output is stored, versioned, and managed through a centralized caching layer. The system is designed to minimize token costs, preserve output history, and enable prompt quality comparison across versions. No AI output is generated twice if a valid cached version exists.</w:t>
      </w:r>
    </w:p>
    <w:p>
      <w:pPr>
        <w:spacing w:after="80" w:before="0"/>
      </w:pPr>
    </w:p>
    <w:p>
      <w:pPr>
        <w:pStyle w:val="Heading2"/>
        <w:spacing w:after="100" w:before="280"/>
      </w:pPr>
      <w:r>
        <w:rPr>
          <w:rFonts w:ascii="Arial" w:cs="Arial" w:eastAsia="Arial" w:hAnsi="Arial"/>
          <w:b/>
          <w:bCs/>
          <w:color w:val="4F6AF5"/>
          <w:sz w:val="26"/>
          <w:szCs w:val="26"/>
        </w:rPr>
        <w:t xml:space="preserve">5.1 ai_outputs Table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5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id</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uuid (PK)</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Unique output record identifier</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output_type</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 (enum)</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company_narrative | sector_brief | market_summary | conviction_interpretation | alert_summary | peer_comparison | macro_commentary</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reference_key</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Symbol (MCB), sector slug (banking), or "market" for market-level outputs</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content</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jsonb</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Structured output: parsed sections, key statements, structured metadata</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raw_text</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The full prose output as returned by the API</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model_version</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e.g. claude-sonnet-4-6 — exact model string used for generation</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prompt_version</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Semver string e.g. 1.2.0 — matches ai_prompt_templates.version</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prompt_hash</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SHA-256 of the actual prompt sent — enables exact prompt reproducibility</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input_hash</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SHA-256 of the structured input data — cache invalidated when this changes</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input_snapshot</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jsonb</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Full structured input block sent to the model — stored for auditability</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token_cost</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Total tokens consumed (prompt + completion)</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generation_ms</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API latency in milliseconds</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created_at</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Generation timestamp</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valid_until</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Cache expiry timestamp — NULL means no time-based expiry</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invalidated_at</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Set when cache is invalidated before valid_until</w:t>
            </w:r>
          </w:p>
        </w:tc>
      </w:tr>
      <w:tr>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invalidation_reason</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e.g. block_update | tier_change | prompt_version_bump | manual</w:t>
            </w:r>
          </w:p>
        </w:tc>
      </w:tr>
      <w:tr>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is_current</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True on the most recent valid output for this (output_type, reference_key)</w:t>
            </w:r>
          </w:p>
        </w:tc>
      </w:tr>
    </w:tbl>
    <w:p>
      <w:pPr>
        <w:spacing w:after="80" w:before="0"/>
      </w:pPr>
    </w:p>
    <w:p>
      <w:pPr>
        <w:pStyle w:val="Heading2"/>
        <w:spacing w:after="100" w:before="280"/>
      </w:pPr>
      <w:r>
        <w:rPr>
          <w:rFonts w:ascii="Arial" w:cs="Arial" w:eastAsia="Arial" w:hAnsi="Arial"/>
          <w:b/>
          <w:bCs/>
          <w:color w:val="4F6AF5"/>
          <w:sz w:val="26"/>
          <w:szCs w:val="26"/>
        </w:rPr>
        <w:t xml:space="preserve">5.2 Cache Invalidation Logic</w:t>
      </w:r>
    </w:p>
    <w:p>
      <w:pPr>
        <w:spacing w:after="120" w:before="60"/>
      </w:pPr>
      <w:r>
        <w:rPr>
          <w:rFonts w:ascii="Arial" w:cs="Arial" w:eastAsia="Arial" w:hAnsi="Arial"/>
          <w:b w:val="false"/>
          <w:bCs w:val="false"/>
          <w:i w:val="false"/>
          <w:iCs w:val="false"/>
          <w:color w:val="334155"/>
          <w:sz w:val="20"/>
          <w:szCs w:val="20"/>
        </w:rPr>
        <w:t xml:space="preserve">Cache invalidation is event-driven and type-specific. The system uses Postgres triggers on source tables to set invalidated_at and is_current = false on affected ai_outputs rows. A separate regeneration queue picks up invalidated records and schedules new generation.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Event</w:t>
            </w:r>
          </w:p>
        </w:tc>
        <w:tc>
          <w:tcPr>
            <w:tcW w:type="dxa" w:w="2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Affected output_type</w:t>
            </w:r>
          </w:p>
        </w:tc>
        <w:tc>
          <w:tcPr>
            <w:tcW w:type="dxa" w:w="37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Invalidation Method</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company_intelligence_blocks INSERT/UPDATE</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company_narrative, risk_summary, catalyst_summary</w:t>
            </w:r>
          </w:p>
        </w:tc>
        <w:tc>
          <w:tcPr>
            <w:tcW w:type="dxa" w:w="3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Trigger on company_intelligence_blocks → mark is_current = false</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conviction_scores tier change</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conviction_interpretation</w:t>
            </w:r>
          </w:p>
        </w:tc>
        <w:tc>
          <w:tcPr>
            <w:tcW w:type="dxa" w:w="3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Trigger on conviction_scores → compare old/new tier</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sector_drivers UPDATE (trend change)</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sector_brief</w:t>
            </w:r>
          </w:p>
        </w:tc>
        <w:tc>
          <w:tcPr>
            <w:tcW w:type="dxa" w:w="3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Trigger on sector_drivers → invalidate sector slug</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prompt_version increment</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outputs with old prompt_version</w:t>
            </w:r>
          </w:p>
        </w:tc>
        <w:tc>
          <w:tcPr>
            <w:tcW w:type="dxa" w:w="3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Batch update via admin function</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financial_metrics INSERT (new period)</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company_narrative, peer_comparison</w:t>
            </w:r>
          </w:p>
        </w:tc>
        <w:tc>
          <w:tcPr>
            <w:tcW w:type="dxa" w:w="3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Trigger on financial_metrics → invalidate symbol</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Manual override</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Any</w:t>
            </w:r>
          </w:p>
        </w:tc>
        <w:tc>
          <w:tcPr>
            <w:tcW w:type="dxa" w:w="3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Admin API call with explicit invalidation_reason</w:t>
            </w:r>
          </w:p>
        </w:tc>
      </w:tr>
    </w:tbl>
    <w:p>
      <w:pPr>
        <w:spacing w:after="80" w:before="0"/>
      </w:pPr>
    </w:p>
    <w:p>
      <w:pPr>
        <w:pStyle w:val="Heading2"/>
        <w:spacing w:after="100" w:before="280"/>
      </w:pPr>
      <w:r>
        <w:rPr>
          <w:rFonts w:ascii="Arial" w:cs="Arial" w:eastAsia="Arial" w:hAnsi="Arial"/>
          <w:b/>
          <w:bCs/>
          <w:color w:val="4F6AF5"/>
          <w:sz w:val="26"/>
          <w:szCs w:val="26"/>
        </w:rPr>
        <w:t xml:space="preserve">5.3 Token Cost Management</w:t>
      </w:r>
    </w:p>
    <w:p>
      <w:pPr>
        <w:spacing w:after="120" w:before="60"/>
      </w:pPr>
      <w:r>
        <w:rPr>
          <w:rFonts w:ascii="Arial" w:cs="Arial" w:eastAsia="Arial" w:hAnsi="Arial"/>
          <w:b w:val="false"/>
          <w:bCs w:val="false"/>
          <w:i w:val="false"/>
          <w:iCs w:val="false"/>
          <w:color w:val="334155"/>
          <w:sz w:val="20"/>
          <w:szCs w:val="20"/>
        </w:rPr>
        <w:t xml:space="preserve">Token costs are tracked at the row level in ai_outputs.token_cost. A daily aggregate view computes total tokens consumed by output_type, enabling monitoring of which generation types are most expensive. The caching system targets a daily cache hit rate above 75% at scale — meaning at least 75% of frontend requests for AI content are served from cache without an API call.</w:t>
      </w:r>
    </w:p>
    <w:p>
      <w:pPr>
        <w:pStyle w:val="ListParagraph"/>
        <w:numPr>
          <w:ilvl w:val="0"/>
          <w:numId w:val="2"/>
        </w:numPr>
        <w:spacing w:after="60" w:before="40"/>
      </w:pPr>
      <w:r>
        <w:rPr>
          <w:rFonts w:ascii="Arial" w:cs="Arial" w:eastAsia="Arial" w:hAnsi="Arial"/>
          <w:color w:val="334155"/>
          <w:sz w:val="20"/>
          <w:szCs w:val="20"/>
        </w:rPr>
        <w:t xml:space="preserve">Company narratives: target &lt; 800 tokens per generation (structured input + prose output)</w:t>
      </w:r>
    </w:p>
    <w:p>
      <w:pPr>
        <w:pStyle w:val="ListParagraph"/>
        <w:numPr>
          <w:ilvl w:val="0"/>
          <w:numId w:val="2"/>
        </w:numPr>
        <w:spacing w:after="60" w:before="40"/>
      </w:pPr>
      <w:r>
        <w:rPr>
          <w:rFonts w:ascii="Arial" w:cs="Arial" w:eastAsia="Arial" w:hAnsi="Arial"/>
          <w:color w:val="334155"/>
          <w:sz w:val="20"/>
          <w:szCs w:val="20"/>
        </w:rPr>
        <w:t xml:space="preserve">Sector briefs: target &lt; 1,200 tokens per generation</w:t>
      </w:r>
    </w:p>
    <w:p>
      <w:pPr>
        <w:pStyle w:val="ListParagraph"/>
        <w:numPr>
          <w:ilvl w:val="0"/>
          <w:numId w:val="2"/>
        </w:numPr>
        <w:spacing w:after="60" w:before="40"/>
      </w:pPr>
      <w:r>
        <w:rPr>
          <w:rFonts w:ascii="Arial" w:cs="Arial" w:eastAsia="Arial" w:hAnsi="Arial"/>
          <w:color w:val="334155"/>
          <w:sz w:val="20"/>
          <w:szCs w:val="20"/>
        </w:rPr>
        <w:t xml:space="preserve">Market summaries: target &lt; 1,500 tokens per generation</w:t>
      </w:r>
    </w:p>
    <w:p>
      <w:pPr>
        <w:pStyle w:val="ListParagraph"/>
        <w:numPr>
          <w:ilvl w:val="0"/>
          <w:numId w:val="2"/>
        </w:numPr>
        <w:spacing w:after="60" w:before="40"/>
      </w:pPr>
      <w:r>
        <w:rPr>
          <w:rFonts w:ascii="Arial" w:cs="Arial" w:eastAsia="Arial" w:hAnsi="Arial"/>
          <w:color w:val="334155"/>
          <w:sz w:val="20"/>
          <w:szCs w:val="20"/>
        </w:rPr>
        <w:t xml:space="preserve">Alert synthesis: target &lt; 200 tokens per generation</w:t>
      </w:r>
    </w:p>
    <w:p>
      <w:r>
        <w:br w:type="page"/>
      </w:r>
    </w:p>
    <w:p>
      <w:pPr>
        <w:pStyle w:val="Heading1"/>
        <w:spacing w:after="120" w:before="360"/>
      </w:pPr>
      <w:r>
        <w:rPr>
          <w:rFonts w:ascii="Arial" w:cs="Arial" w:eastAsia="Arial" w:hAnsi="Arial"/>
          <w:b/>
          <w:bCs/>
          <w:color w:val="0A0F1E"/>
          <w:sz w:val="32"/>
          <w:szCs w:val="32"/>
        </w:rPr>
        <w:t xml:space="preserve">Section 6 — Event-Driven Intelligence System</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Event-Driven Intelligence System generates intelligence automatically when significant events occur in the data layer. It is implemented as a combination of Postgres triggers, a processing queue table, and Supabase Edge Functions. The system distinguishes between events that require immediate AI generation (high-severity risks, conviction upgrades) and events that can be batched (weekly sector driver changes).</w:t>
      </w:r>
    </w:p>
    <w:p>
      <w:pPr>
        <w:spacing w:after="80" w:before="0"/>
      </w:pPr>
    </w:p>
    <w:p>
      <w:pPr>
        <w:pStyle w:val="Heading2"/>
        <w:spacing w:after="100" w:before="280"/>
      </w:pPr>
      <w:r>
        <w:rPr>
          <w:rFonts w:ascii="Arial" w:cs="Arial" w:eastAsia="Arial" w:hAnsi="Arial"/>
          <w:b/>
          <w:bCs/>
          <w:color w:val="4F6AF5"/>
          <w:sz w:val="26"/>
          <w:szCs w:val="26"/>
        </w:rPr>
        <w:t xml:space="preserve">6.1 Event Types and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800"/>
        <w:gridCol w:w="3160"/>
      </w:tblGrid>
      <w:tr>
        <w:trPr>
          <w:tblHeader/>
        </w:trPr>
        <w:tc>
          <w:tcPr>
            <w:tcW w:type="dxa" w:w="2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Type</w:t>
            </w:r>
          </w:p>
        </w:tc>
        <w:tc>
          <w:tcPr>
            <w:tcW w:type="dxa" w:w="1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Source</w:t>
            </w:r>
          </w:p>
        </w:tc>
        <w:tc>
          <w:tcPr>
            <w:tcW w:type="dxa" w:w="31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 Generated</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new_high_severity_risk</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Critical</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company_intelligence_blocks INSERT</w:t>
            </w:r>
          </w:p>
        </w:tc>
        <w:tc>
          <w:tcPr>
            <w:tcW w:type="dxa" w:w="3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Risk alert narrative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conviction_tier_upgrade</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High</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conviction_scores UPDATE (tier improved)</w:t>
            </w:r>
          </w:p>
        </w:tc>
        <w:tc>
          <w:tcPr>
            <w:tcW w:type="dxa" w:w="3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 update alert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conviction_tier_downgrade</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High</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conviction_scores UPDATE (tier worsened)</w:t>
            </w:r>
          </w:p>
        </w:tc>
        <w:tc>
          <w:tcPr>
            <w:tcW w:type="dxa" w:w="3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Conviction downgrade alert</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near_catalyst_added</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High</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company_intelligence_blocks INSERT (horizon=near)</w:t>
            </w:r>
          </w:p>
        </w:tc>
        <w:tc>
          <w:tcPr>
            <w:tcW w:type="dxa" w:w="3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Catalyst alert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sector_driver_turn_negative</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Medium</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sector_drivers UPDATE (trend → negative)</w:t>
            </w:r>
          </w:p>
        </w:tc>
        <w:tc>
          <w:tcPr>
            <w:tcW w:type="dxa" w:w="3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 risk alert</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unusual_price_move</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Medium</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daily_prices INSERT (|change_pct| &gt; 4)</w:t>
            </w:r>
          </w:p>
        </w:tc>
        <w:tc>
          <w:tcPr>
            <w:tcW w:type="dxa" w:w="3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Price context alert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data_confidence_drop</w:t>
            </w:r>
          </w:p>
        </w:tc>
        <w:tc>
          <w:tcPr>
            <w:tcW w:type="dxa" w:w="1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Low</w:t>
            </w:r>
          </w:p>
        </w:tc>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financial_metrics freshness check (cron)</w:t>
            </w:r>
          </w:p>
        </w:tc>
        <w:tc>
          <w:tcPr>
            <w:tcW w:type="dxa" w:w="3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Internal data warning</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new_macro_driver_flag</w:t>
            </w:r>
          </w:p>
        </w:tc>
        <w:tc>
          <w:tcPr>
            <w:tcW w:type="dxa" w:w="1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Medium</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sector_macro_drivers INSERT/UPDATE</w:t>
            </w:r>
          </w:p>
        </w:tc>
        <w:tc>
          <w:tcPr>
            <w:tcW w:type="dxa" w:w="3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Macro impact alert</w:t>
            </w:r>
          </w:p>
        </w:tc>
      </w:tr>
    </w:tbl>
    <w:p>
      <w:pPr>
        <w:spacing w:after="80" w:before="0"/>
      </w:pPr>
    </w:p>
    <w:p>
      <w:pPr>
        <w:pStyle w:val="Heading2"/>
        <w:spacing w:after="100" w:before="280"/>
      </w:pPr>
      <w:r>
        <w:rPr>
          <w:rFonts w:ascii="Arial" w:cs="Arial" w:eastAsia="Arial" w:hAnsi="Arial"/>
          <w:b/>
          <w:bCs/>
          <w:color w:val="4F6AF5"/>
          <w:sz w:val="26"/>
          <w:szCs w:val="26"/>
        </w:rPr>
        <w:t xml:space="preserve">6.2 Suppression Logic</w:t>
      </w:r>
    </w:p>
    <w:p>
      <w:pPr>
        <w:spacing w:after="120" w:before="60"/>
      </w:pPr>
      <w:r>
        <w:rPr>
          <w:rFonts w:ascii="Arial" w:cs="Arial" w:eastAsia="Arial" w:hAnsi="Arial"/>
          <w:b w:val="false"/>
          <w:bCs w:val="false"/>
          <w:i w:val="false"/>
          <w:iCs w:val="false"/>
          <w:color w:val="334155"/>
          <w:sz w:val="20"/>
          <w:szCs w:val="20"/>
        </w:rPr>
        <w:t xml:space="preserve">Without suppression, a volatile market session could generate hundreds of alerts in a single day, destroying the signal-to-noise ratio. The suppression system applies four rules before allowing any alert to be generated or published.</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Frequency cap: Maximum one alert per company per alert_type per 24-hour window.</w:t>
      </w:r>
    </w:p>
    <w:p>
      <w:pPr>
        <w:pStyle w:val="ListParagraph"/>
        <w:numPr>
          <w:ilvl w:val="0"/>
          <w:numId w:val="2"/>
        </w:numPr>
        <w:spacing w:after="60" w:before="40"/>
      </w:pPr>
      <w:r>
        <w:rPr>
          <w:rFonts w:ascii="Arial" w:cs="Arial" w:eastAsia="Arial" w:hAnsi="Arial"/>
          <w:color w:val="334155"/>
          <w:sz w:val="20"/>
          <w:szCs w:val="20"/>
        </w:rPr>
        <w:t xml:space="preserve">Price alert suppression: Unusual price move alerts are suppressed if a fundamental context alert (risk, catalyst, conviction change) was generated for the same company in the last 48 hours.</w:t>
      </w:r>
    </w:p>
    <w:p>
      <w:pPr>
        <w:pStyle w:val="ListParagraph"/>
        <w:numPr>
          <w:ilvl w:val="0"/>
          <w:numId w:val="2"/>
        </w:numPr>
        <w:spacing w:after="60" w:before="40"/>
      </w:pPr>
      <w:r>
        <w:rPr>
          <w:rFonts w:ascii="Arial" w:cs="Arial" w:eastAsia="Arial" w:hAnsi="Arial"/>
          <w:color w:val="334155"/>
          <w:sz w:val="20"/>
          <w:szCs w:val="20"/>
        </w:rPr>
        <w:t xml:space="preserve">Data alert suppression: Data confidence alerts are suppressed if the company's financial_metrics updated in the last 7 days (expected update window).</w:t>
      </w:r>
    </w:p>
    <w:p>
      <w:pPr>
        <w:pStyle w:val="ListParagraph"/>
        <w:numPr>
          <w:ilvl w:val="0"/>
          <w:numId w:val="2"/>
        </w:numPr>
        <w:spacing w:after="60" w:before="40"/>
      </w:pPr>
      <w:r>
        <w:rPr>
          <w:rFonts w:ascii="Arial" w:cs="Arial" w:eastAsia="Arial" w:hAnsi="Arial"/>
          <w:color w:val="334155"/>
          <w:sz w:val="20"/>
          <w:szCs w:val="20"/>
        </w:rPr>
        <w:t xml:space="preserve">Duplicate suppression: If an alert with identical title and reference_key was published within the past 7 days, the new alert is queued but not published until reviewed.</w:t>
      </w:r>
    </w:p>
    <w:p>
      <w:pPr>
        <w:spacing w:after="80" w:before="0"/>
      </w:pPr>
    </w:p>
    <w:p>
      <w:pPr>
        <w:pStyle w:val="Heading2"/>
        <w:spacing w:after="100" w:before="280"/>
      </w:pPr>
      <w:r>
        <w:rPr>
          <w:rFonts w:ascii="Arial" w:cs="Arial" w:eastAsia="Arial" w:hAnsi="Arial"/>
          <w:b/>
          <w:bCs/>
          <w:color w:val="4F6AF5"/>
          <w:sz w:val="26"/>
          <w:szCs w:val="26"/>
        </w:rPr>
        <w:t xml:space="preserve">6.3 Alert Architecture Tables</w:t>
      </w:r>
    </w:p>
    <w:p>
      <w:pPr>
        <w:pStyle w:val="Heading3"/>
        <w:spacing w:after="80" w:before="200"/>
      </w:pPr>
      <w:r>
        <w:rPr>
          <w:rFonts w:ascii="Arial" w:cs="Arial" w:eastAsia="Arial" w:hAnsi="Arial"/>
          <w:b/>
          <w:bCs/>
          <w:color w:val="334155"/>
          <w:sz w:val="22"/>
          <w:szCs w:val="22"/>
        </w:rPr>
        <w:t xml:space="preserve">ai_event_triggers</w:t>
      </w:r>
    </w:p>
    <w:p>
      <w:pPr>
        <w:pStyle w:val="ListParagraph"/>
        <w:numPr>
          <w:ilvl w:val="0"/>
          <w:numId w:val="2"/>
        </w:numPr>
        <w:spacing w:after="60" w:before="40"/>
      </w:pPr>
      <w:r>
        <w:rPr>
          <w:rFonts w:ascii="Arial" w:cs="Arial" w:eastAsia="Arial" w:hAnsi="Arial"/>
          <w:color w:val="334155"/>
          <w:sz w:val="20"/>
          <w:szCs w:val="20"/>
        </w:rPr>
        <w:t xml:space="preserve">id (uuid), event_type (text), reference_key (text), event_data (jsonb)</w:t>
      </w:r>
    </w:p>
    <w:p>
      <w:pPr>
        <w:pStyle w:val="ListParagraph"/>
        <w:numPr>
          <w:ilvl w:val="0"/>
          <w:numId w:val="2"/>
        </w:numPr>
        <w:spacing w:after="60" w:before="40"/>
      </w:pPr>
      <w:r>
        <w:rPr>
          <w:rFonts w:ascii="Arial" w:cs="Arial" w:eastAsia="Arial" w:hAnsi="Arial"/>
          <w:color w:val="334155"/>
          <w:sz w:val="20"/>
          <w:szCs w:val="20"/>
        </w:rPr>
        <w:t xml:space="preserve">triggered_at (timestamptz), processing_status (pending | processing | complete | suppressed | failed)</w:t>
      </w:r>
    </w:p>
    <w:p>
      <w:pPr>
        <w:pStyle w:val="ListParagraph"/>
        <w:numPr>
          <w:ilvl w:val="0"/>
          <w:numId w:val="2"/>
        </w:numPr>
        <w:spacing w:after="60" w:before="40"/>
      </w:pPr>
      <w:r>
        <w:rPr>
          <w:rFonts w:ascii="Arial" w:cs="Arial" w:eastAsia="Arial" w:hAnsi="Arial"/>
          <w:color w:val="334155"/>
          <w:sz w:val="20"/>
          <w:szCs w:val="20"/>
        </w:rPr>
        <w:t xml:space="preserve">alert_id (uuid FK → alerts), processed_at (timestamptz), suppression_reason (text)</w:t>
      </w:r>
    </w:p>
    <w:p>
      <w:pPr>
        <w:pStyle w:val="Heading3"/>
        <w:spacing w:after="80" w:before="200"/>
      </w:pPr>
      <w:r>
        <w:rPr>
          <w:rFonts w:ascii="Arial" w:cs="Arial" w:eastAsia="Arial" w:hAnsi="Arial"/>
          <w:b/>
          <w:bCs/>
          <w:color w:val="334155"/>
          <w:sz w:val="22"/>
          <w:szCs w:val="22"/>
        </w:rPr>
        <w:t xml:space="preserve">alerts</w:t>
      </w:r>
    </w:p>
    <w:p>
      <w:pPr>
        <w:pStyle w:val="ListParagraph"/>
        <w:numPr>
          <w:ilvl w:val="0"/>
          <w:numId w:val="2"/>
        </w:numPr>
        <w:spacing w:after="60" w:before="40"/>
      </w:pPr>
      <w:r>
        <w:rPr>
          <w:rFonts w:ascii="Arial" w:cs="Arial" w:eastAsia="Arial" w:hAnsi="Arial"/>
          <w:color w:val="334155"/>
          <w:sz w:val="20"/>
          <w:szCs w:val="20"/>
        </w:rPr>
        <w:t xml:space="preserve">id (uuid), alert_type (text), reference_key (text), title (text), body (text)</w:t>
      </w:r>
    </w:p>
    <w:p>
      <w:pPr>
        <w:pStyle w:val="ListParagraph"/>
        <w:numPr>
          <w:ilvl w:val="0"/>
          <w:numId w:val="2"/>
        </w:numPr>
        <w:spacing w:after="60" w:before="40"/>
      </w:pPr>
      <w:r>
        <w:rPr>
          <w:rFonts w:ascii="Arial" w:cs="Arial" w:eastAsia="Arial" w:hAnsi="Arial"/>
          <w:color w:val="334155"/>
          <w:sz w:val="20"/>
          <w:szCs w:val="20"/>
        </w:rPr>
        <w:t xml:space="preserve">severity (high | medium | low), audience (internal | retail | institutional)</w:t>
      </w:r>
    </w:p>
    <w:p>
      <w:pPr>
        <w:pStyle w:val="ListParagraph"/>
        <w:numPr>
          <w:ilvl w:val="0"/>
          <w:numId w:val="2"/>
        </w:numPr>
        <w:spacing w:after="60" w:before="40"/>
      </w:pPr>
      <w:r>
        <w:rPr>
          <w:rFonts w:ascii="Arial" w:cs="Arial" w:eastAsia="Arial" w:hAnsi="Arial"/>
          <w:color w:val="334155"/>
          <w:sz w:val="20"/>
          <w:szCs w:val="20"/>
        </w:rPr>
        <w:t xml:space="preserve">triggered_at (timestamptz), expires_at (timestamptz), is_read (boolean)</w:t>
      </w:r>
    </w:p>
    <w:p>
      <w:r>
        <w:br w:type="page"/>
      </w:r>
    </w:p>
    <w:p>
      <w:pPr>
        <w:pStyle w:val="Heading1"/>
        <w:spacing w:after="120" w:before="360"/>
      </w:pPr>
      <w:r>
        <w:rPr>
          <w:rFonts w:ascii="Arial" w:cs="Arial" w:eastAsia="Arial" w:hAnsi="Arial"/>
          <w:b/>
          <w:bCs/>
          <w:color w:val="0A0F1E"/>
          <w:sz w:val="32"/>
          <w:szCs w:val="32"/>
        </w:rPr>
        <w:t xml:space="preserve">Section 7 — AI Prompt Orchestration System</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All AI prompts are managed through a versioned template system stored in the ai_prompt_templates table. Prompt templates are never hardcoded in application logic — they are always loaded from the DB at runtime by the generating Edge Function. This enables prompt iteration, A/B testing, and rollback without any code deployment.</w:t>
      </w:r>
    </w:p>
    <w:p>
      <w:pPr>
        <w:spacing w:after="80" w:before="0"/>
      </w:pPr>
    </w:p>
    <w:p>
      <w:pPr>
        <w:pStyle w:val="Heading2"/>
        <w:spacing w:after="100" w:before="280"/>
      </w:pPr>
      <w:r>
        <w:rPr>
          <w:rFonts w:ascii="Arial" w:cs="Arial" w:eastAsia="Arial" w:hAnsi="Arial"/>
          <w:b/>
          <w:bCs/>
          <w:color w:val="4F6AF5"/>
          <w:sz w:val="26"/>
          <w:szCs w:val="26"/>
        </w:rPr>
        <w:t xml:space="preserve">7.1 Prompt Template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1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id</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uuid (PK)</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Template identifier</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prompt_type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Matches output_type in ai_outputs (company_narrative, sector_brief, etc.)</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version</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Semver string e.g. 1.0.0 — increment minor for improvements, major for breaking changes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system_prompt</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system role instruction — persona, constraints, output format</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user_template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User message template with {{variable}} placeholders for context injection</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variables</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jsonb</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Array of expected variable names for validation before generation</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is_active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Only one active version per prompt_type at any time</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model_target</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model for this prompt type e.g. claude-sonnet-4-6</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max_tokens</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Max completion tokens to request</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temperature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float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Sampling temperature — 0.3 for factual interpretation, 0.6 for summaries</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created_at</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Template creation timestamp</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deprecated_at</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Set when a version is superseded</w:t>
            </w:r>
          </w:p>
        </w:tc>
      </w:tr>
    </w:tbl>
    <w:p>
      <w:pPr>
        <w:spacing w:after="80" w:before="0"/>
      </w:pPr>
    </w:p>
    <w:p>
      <w:pPr>
        <w:pStyle w:val="Heading2"/>
        <w:spacing w:after="100" w:before="280"/>
      </w:pPr>
      <w:r>
        <w:rPr>
          <w:rFonts w:ascii="Arial" w:cs="Arial" w:eastAsia="Arial" w:hAnsi="Arial"/>
          <w:b/>
          <w:bCs/>
          <w:color w:val="4F6AF5"/>
          <w:sz w:val="26"/>
          <w:szCs w:val="26"/>
        </w:rPr>
        <w:t xml:space="preserve">7.2 Prompt Versioning Protocol</w:t>
      </w:r>
    </w:p>
    <w:p>
      <w:pPr>
        <w:spacing w:after="120" w:before="60"/>
      </w:pPr>
      <w:r>
        <w:rPr>
          <w:rFonts w:ascii="Arial" w:cs="Arial" w:eastAsia="Arial" w:hAnsi="Arial"/>
          <w:b w:val="false"/>
          <w:bCs w:val="false"/>
          <w:i w:val="false"/>
          <w:iCs w:val="false"/>
          <w:color w:val="334155"/>
          <w:sz w:val="20"/>
          <w:szCs w:val="20"/>
        </w:rPr>
        <w:t xml:space="preserve">Prompt versions follow semantic versioning. A patch version increment (1.0.0 → 1.0.1) indicates a minor wording improvement that does not change the output structure. A minor version increment (1.0.0 → 1.1.0) indicates a structural change that may affect output format — all cached outputs on the prior version are flagged for regeneration on next request. A major version increment (1.0.0 → 2.0.0) indicates a breaking change — all cached outputs are immediately invalidated and the output_type is regenerated in a scheduled batch job.</w:t>
      </w:r>
    </w:p>
    <w:p>
      <w:pPr>
        <w:spacing w:after="80" w:before="0"/>
      </w:pPr>
    </w:p>
    <w:p>
      <w:pPr>
        <w:pStyle w:val="Heading2"/>
        <w:spacing w:after="100" w:before="280"/>
      </w:pPr>
      <w:r>
        <w:rPr>
          <w:rFonts w:ascii="Arial" w:cs="Arial" w:eastAsia="Arial" w:hAnsi="Arial"/>
          <w:b/>
          <w:bCs/>
          <w:color w:val="4F6AF5"/>
          <w:sz w:val="26"/>
          <w:szCs w:val="26"/>
        </w:rPr>
        <w:t xml:space="preserve">7.3 System Prompt Core Template (All Output Types)</w:t>
      </w:r>
    </w:p>
    <w:p>
      <w:pPr>
        <w:spacing w:after="120" w:before="60"/>
      </w:pPr>
      <w:r>
        <w:rPr>
          <w:rFonts w:ascii="Arial" w:cs="Arial" w:eastAsia="Arial" w:hAnsi="Arial"/>
          <w:b w:val="false"/>
          <w:bCs w:val="false"/>
          <w:i w:val="false"/>
          <w:iCs w:val="false"/>
          <w:color w:val="334155"/>
          <w:sz w:val="20"/>
          <w:szCs w:val="20"/>
        </w:rPr>
        <w:t xml:space="preserve">Every system prompt in the AHM intelligence system is built on the following invariant foundation. Prompt-type-specific instructions are appended after this core.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System Prompt Core — Invariant Foundation</w:t>
            </w:r>
          </w:p>
          <w:p>
            <w:pPr>
              <w:spacing w:after="0" w:before="0"/>
            </w:pPr>
            <w:r>
              <w:rPr>
                <w:rFonts w:ascii="Arial" w:cs="Arial" w:eastAsia="Arial" w:hAnsi="Arial"/>
                <w:color w:val="334155"/>
                <w:sz w:val="19"/>
                <w:szCs w:val="19"/>
              </w:rPr>
              <w:t xml:space="preserve">You are an institutional equity research analyst generating intelligence for the AHM PSX Platform.
Your role is to interpret structured, validated intelligence data and produce clear, analytical prose.
HARD CONSTRAINTS — NEVER VIOLATE:
1. You interpret structured data. You do not generate conclusions from raw market prices or financial statements directly.
2. Never use the words Buy, Sell, Hold, Accumulate, or any recommendation language.
3. Never state a price target. Never make return predictions.
4. Never invent financial figures. Every number cited must appear in your structured context input.
5. Write in institutional prose. No bullet points in output. No promotional language.
6. If a data field in your context shows null or unavailable, acknowledge the gap rather than estimate.
AUDIENCE: Sophisticated Pakistani investors and institutional analysts.
MARKET CONTEXT: Pakistan Stock Exchange (PSX). PKR-denominated. SBP monetary policy applicable.</w:t>
            </w:r>
          </w:p>
        </w:tc>
      </w:tr>
    </w:tbl>
    <w:p>
      <w:r>
        <w:br w:type="page"/>
      </w:r>
    </w:p>
    <w:p>
      <w:pPr>
        <w:pStyle w:val="Heading1"/>
        <w:spacing w:after="120" w:before="360"/>
      </w:pPr>
      <w:r>
        <w:rPr>
          <w:rFonts w:ascii="Arial" w:cs="Arial" w:eastAsia="Arial" w:hAnsi="Arial"/>
          <w:b/>
          <w:bCs/>
          <w:color w:val="0A0F1E"/>
          <w:sz w:val="32"/>
          <w:szCs w:val="32"/>
        </w:rPr>
        <w:t xml:space="preserve">Section 8 — Database Architecture</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This section defines all new database tables required for the AI Intelligence Infrastructure. All tables are created in the existing Supabase (Postgres) project. Each table definition includes fields, primary indexes, foreign key relationships, update frequency, and the UI components that consume it.</w:t>
      </w:r>
    </w:p>
    <w:p>
      <w:pPr>
        <w:spacing w:after="80" w:before="0"/>
      </w:pPr>
    </w:p>
    <w:p>
      <w:pPr>
        <w:pStyle w:val="Heading2"/>
        <w:spacing w:after="100" w:before="280"/>
      </w:pPr>
      <w:r>
        <w:rPr>
          <w:rFonts w:ascii="Arial" w:cs="Arial" w:eastAsia="Arial" w:hAnsi="Arial"/>
          <w:b/>
          <w:bCs/>
          <w:color w:val="4F6AF5"/>
          <w:sz w:val="26"/>
          <w:szCs w:val="26"/>
        </w:rPr>
        <w:t xml:space="preserve">8.1 New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900"/>
        <w:gridCol w:w="2460"/>
      </w:tblGrid>
      <w:tr>
        <w:trPr>
          <w:tblHeader/>
        </w:trPr>
        <w:tc>
          <w:tcPr>
            <w:tcW w:type="dxa" w:w="2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6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19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Update Frequency</w:t>
            </w:r>
          </w:p>
        </w:tc>
        <w:tc>
          <w:tcPr>
            <w:tcW w:type="dxa" w:w="24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Consumer</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conviction_scores</w:t>
            </w:r>
          </w:p>
        </w:tc>
        <w:tc>
          <w:tcPr>
            <w:tcW w:type="dxa" w:w="2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Current and historical conviction scores per company</w:t>
            </w:r>
          </w:p>
        </w:tc>
        <w:tc>
          <w:tcPr>
            <w:tcW w:type="dxa" w:w="19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Nightly + event-triggered</w:t>
            </w:r>
          </w:p>
        </w:tc>
        <w:tc>
          <w:tcPr>
            <w:tcW w:type="dxa" w:w="24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Intelligence board, stock pages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conviction_score_history</w:t>
            </w:r>
          </w:p>
        </w:tc>
        <w:tc>
          <w:tcPr>
            <w:tcW w:type="dxa" w:w="2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Full score history with tier transition tracking</w:t>
            </w:r>
          </w:p>
        </w:tc>
        <w:tc>
          <w:tcPr>
            <w:tcW w:type="dxa" w:w="1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every score recalculation</w:t>
            </w:r>
          </w:p>
        </w:tc>
        <w:tc>
          <w:tcPr>
            <w:tcW w:type="dxa" w:w="24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Score trend charts, audit trail</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ai_outputs</w:t>
            </w:r>
          </w:p>
        </w:tc>
        <w:tc>
          <w:tcPr>
            <w:tcW w:type="dxa" w:w="2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Versioned cache of all AI-generated content</w:t>
            </w:r>
          </w:p>
        </w:tc>
        <w:tc>
          <w:tcPr>
            <w:tcW w:type="dxa" w:w="19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 generation</w:t>
            </w:r>
          </w:p>
        </w:tc>
        <w:tc>
          <w:tcPr>
            <w:tcW w:type="dxa" w:w="24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AI narrative panels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ai_prompt_templates</w:t>
            </w:r>
          </w:p>
        </w:tc>
        <w:tc>
          <w:tcPr>
            <w:tcW w:type="dxa" w:w="2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Versioned prompt templates by output type</w:t>
            </w:r>
          </w:p>
        </w:tc>
        <w:tc>
          <w:tcPr>
            <w:tcW w:type="dxa" w:w="1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prompt update</w:t>
            </w:r>
          </w:p>
        </w:tc>
        <w:tc>
          <w:tcPr>
            <w:tcW w:type="dxa" w:w="24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Edge Functions (runtime load)</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ai_daily_snapshots</w:t>
            </w:r>
          </w:p>
        </w:tc>
        <w:tc>
          <w:tcPr>
            <w:tcW w:type="dxa" w:w="2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Daily market intelligence snapshots</w:t>
            </w:r>
          </w:p>
        </w:tc>
        <w:tc>
          <w:tcPr>
            <w:tcW w:type="dxa" w:w="19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3-4x per trading day</w:t>
            </w:r>
          </w:p>
        </w:tc>
        <w:tc>
          <w:tcPr>
            <w:tcW w:type="dxa" w:w="24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Market dashboard, WhatsApp</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ai_event_triggers</w:t>
            </w:r>
          </w:p>
        </w:tc>
        <w:tc>
          <w:tcPr>
            <w:tcW w:type="dxa" w:w="2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Queue of intelligence-triggering events</w:t>
            </w:r>
          </w:p>
        </w:tc>
        <w:tc>
          <w:tcPr>
            <w:tcW w:type="dxa" w:w="1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Real-time via Postgres triggers</w:t>
            </w:r>
          </w:p>
        </w:tc>
        <w:tc>
          <w:tcPr>
            <w:tcW w:type="dxa" w:w="24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Alert processing Edge Function</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alerts</w:t>
            </w:r>
          </w:p>
        </w:tc>
        <w:tc>
          <w:tcPr>
            <w:tcW w:type="dxa" w:w="2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Published intelligence alerts and notifications</w:t>
            </w:r>
          </w:p>
        </w:tc>
        <w:tc>
          <w:tcPr>
            <w:tcW w:type="dxa" w:w="19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 event processing</w:t>
            </w:r>
          </w:p>
        </w:tc>
        <w:tc>
          <w:tcPr>
            <w:tcW w:type="dxa" w:w="24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Dashboard notification strip</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sector_macro_drivers</w:t>
            </w:r>
          </w:p>
        </w:tc>
        <w:tc>
          <w:tcPr>
            <w:tcW w:type="dxa" w:w="2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Macro-to-sector driver relationship map</w:t>
            </w:r>
          </w:p>
        </w:tc>
        <w:tc>
          <w:tcPr>
            <w:tcW w:type="dxa" w:w="1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analyst update</w:t>
            </w:r>
          </w:p>
        </w:tc>
        <w:tc>
          <w:tcPr>
            <w:tcW w:type="dxa" w:w="24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 brief generation, heatmap</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ai_generation_jobs</w:t>
            </w:r>
          </w:p>
        </w:tc>
        <w:tc>
          <w:tcPr>
            <w:tcW w:type="dxa" w:w="2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Scheduled and queued generation jobs</w:t>
            </w:r>
          </w:p>
        </w:tc>
        <w:tc>
          <w:tcPr>
            <w:tcW w:type="dxa" w:w="19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 job create/complete</w:t>
            </w:r>
          </w:p>
        </w:tc>
        <w:tc>
          <w:tcPr>
            <w:tcW w:type="dxa" w:w="24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Internal monitoring</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ai_quality_checks</w:t>
            </w:r>
          </w:p>
        </w:tc>
        <w:tc>
          <w:tcPr>
            <w:tcW w:type="dxa" w:w="2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Output quality validation log</w:t>
            </w:r>
          </w:p>
        </w:tc>
        <w:tc>
          <w:tcPr>
            <w:tcW w:type="dxa" w:w="19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generation</w:t>
            </w:r>
          </w:p>
        </w:tc>
        <w:tc>
          <w:tcPr>
            <w:tcW w:type="dxa" w:w="24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Internal monitoring</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technical_indicators</w:t>
            </w:r>
          </w:p>
        </w:tc>
        <w:tc>
          <w:tcPr>
            <w:tcW w:type="dxa" w:w="2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Technical signal data per symbol (Phase 2)</w:t>
            </w:r>
          </w:p>
        </w:tc>
        <w:tc>
          <w:tcPr>
            <w:tcW w:type="dxa" w:w="19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Daily (Phase 2)</w:t>
            </w:r>
          </w:p>
        </w:tc>
        <w:tc>
          <w:tcPr>
            <w:tcW w:type="dxa" w:w="24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Technical timing score (future)</w:t>
            </w:r>
          </w:p>
        </w:tc>
      </w:tr>
    </w:tbl>
    <w:p>
      <w:pPr>
        <w:spacing w:after="80" w:before="0"/>
      </w:pPr>
    </w:p>
    <w:p>
      <w:pPr>
        <w:pStyle w:val="Heading2"/>
        <w:spacing w:after="100" w:before="280"/>
      </w:pPr>
      <w:r>
        <w:rPr>
          <w:rFonts w:ascii="Arial" w:cs="Arial" w:eastAsia="Arial" w:hAnsi="Arial"/>
          <w:b/>
          <w:bCs/>
          <w:color w:val="4F6AF5"/>
          <w:sz w:val="26"/>
          <w:szCs w:val="26"/>
        </w:rPr>
        <w:t xml:space="preserve">8.2 conviction_scores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5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id</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serial (PK)</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Auto-increment</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symbol</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FK → companies.symbol</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score</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Composite conviction score 0–100</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tier</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HIGH_CONVICTION | MODERATE | WATCHLIST | MONITOR</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sub_scores</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jsonb</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Object with all 11 sub-score values and their weights applied</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weights</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jsonb</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Weight set used (phase_1 or phase_2), stored for reproducibility</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score_version</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Scoring engine version e.g. 1.0.0</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data_confidence</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float</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Confidence multiplier applied 0.65–1.00</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inputs_snapshot</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jsonb</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All source metric values at time of scoring</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scored_at</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5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Calculation timestamp</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is_current</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5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True on the latest score per symbol</w:t>
            </w:r>
          </w:p>
        </w:tc>
      </w:tr>
    </w:tbl>
    <w:p>
      <w:pPr>
        <w:spacing w:after="60" w:before="0"/>
      </w:pPr>
    </w:p>
    <w:p>
      <w:pPr>
        <w:spacing w:after="120" w:before="60"/>
      </w:pPr>
      <w:r>
        <w:rPr>
          <w:rFonts w:ascii="Arial" w:cs="Arial" w:eastAsia="Arial" w:hAnsi="Arial"/>
          <w:b w:val="false"/>
          <w:bCs w:val="false"/>
          <w:i w:val="false"/>
          <w:iCs w:val="false"/>
          <w:color w:val="334155"/>
          <w:sz w:val="20"/>
          <w:szCs w:val="20"/>
        </w:rPr>
        <w:t xml:space="preserve">Indexes: (symbol, is_current), (tier), (scored_at DESC), (score DESC) for ranking queries.</w:t>
      </w:r>
    </w:p>
    <w:p>
      <w:pPr>
        <w:spacing w:after="80" w:before="0"/>
      </w:pPr>
    </w:p>
    <w:p>
      <w:pPr>
        <w:pStyle w:val="Heading2"/>
        <w:spacing w:after="100" w:before="280"/>
      </w:pPr>
      <w:r>
        <w:rPr>
          <w:rFonts w:ascii="Arial" w:cs="Arial" w:eastAsia="Arial" w:hAnsi="Arial"/>
          <w:b/>
          <w:bCs/>
          <w:color w:val="4F6AF5"/>
          <w:sz w:val="26"/>
          <w:szCs w:val="26"/>
        </w:rPr>
        <w:t xml:space="preserve">8.3 sector_macro_drivers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7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id</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serial (PK)</w:t>
            </w:r>
          </w:p>
        </w:tc>
        <w:tc>
          <w:tcPr>
            <w:tcW w:type="dxa" w:w="5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Auto-increment</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sector_slug</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FK → sectors.slug</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macro_driver</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e.g. interest_rates, pkr_depreciation, coal_prices</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relationship</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positive | negative | neutral</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current_direction</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rising | falling | stable — current state of the macro variable</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impact_magnitude</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 (minor) to 5 (critical) — analyst-assigned</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impact_description</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Plain English: how this macro driver flows into sector earnings</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lag_months</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int4range</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Estimated earnings impact lag as a range e.g. [1,3]</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tags</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5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e.g. ["rates", "nim", "banking"]</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is_active</w:t>
            </w:r>
          </w:p>
        </w:tc>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False for historical/inactive driver relationships</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updated_at</w:t>
            </w:r>
          </w:p>
        </w:tc>
        <w:tc>
          <w:tcPr>
            <w:tcW w:type="dxa" w:w="16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57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Last analyst update</w:t>
            </w:r>
          </w:p>
        </w:tc>
      </w:tr>
    </w:tbl>
    <w:p>
      <w:pPr>
        <w:spacing w:after="80" w:before="0"/>
      </w:pPr>
    </w:p>
    <w:p>
      <w:pPr>
        <w:pStyle w:val="Heading2"/>
        <w:spacing w:after="100" w:before="280"/>
      </w:pPr>
      <w:r>
        <w:rPr>
          <w:rFonts w:ascii="Arial" w:cs="Arial" w:eastAsia="Arial" w:hAnsi="Arial"/>
          <w:b/>
          <w:bCs/>
          <w:color w:val="4F6AF5"/>
          <w:sz w:val="26"/>
          <w:szCs w:val="26"/>
        </w:rPr>
        <w:t xml:space="preserve">8.4 ai_generation_jobs</w:t>
      </w:r>
    </w:p>
    <w:p>
      <w:pPr>
        <w:spacing w:after="120" w:before="60"/>
      </w:pPr>
      <w:r>
        <w:rPr>
          <w:rFonts w:ascii="Arial" w:cs="Arial" w:eastAsia="Arial" w:hAnsi="Arial"/>
          <w:b w:val="false"/>
          <w:bCs w:val="false"/>
          <w:i w:val="false"/>
          <w:iCs w:val="false"/>
          <w:color w:val="334155"/>
          <w:sz w:val="20"/>
          <w:szCs w:val="20"/>
        </w:rPr>
        <w:t xml:space="preserve">Tracks all scheduled, queued, and completed AI generation jobs. Enables monitoring of queue depth, generation latency, and error rates across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1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id</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uuid (PK)</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Job identifier</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job_type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Matches output_type</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reference_key</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Symbol, sector slug, or "market"</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status</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queued | processing | complete | failed | skipped</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priority</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1 (critical) to 5 (low) — determines queue order</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trigger_reason</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scheduled | event_triggered | manual | cache_miss</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queued_at</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When job was enqueued</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started_at</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When processing began</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completed_at</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When job finished</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output_id</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 FK</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FK → ai_outputs.id on success</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error_message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Populated on failure</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retry_count</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Number of retries attempted (max 2)</w:t>
            </w:r>
          </w:p>
        </w:tc>
      </w:tr>
    </w:tbl>
    <w:p>
      <w:r>
        <w:br w:type="page"/>
      </w:r>
    </w:p>
    <w:p>
      <w:pPr>
        <w:pStyle w:val="Heading1"/>
        <w:spacing w:after="120" w:before="360"/>
      </w:pPr>
      <w:r>
        <w:rPr>
          <w:rFonts w:ascii="Arial" w:cs="Arial" w:eastAsia="Arial" w:hAnsi="Arial"/>
          <w:b/>
          <w:bCs/>
          <w:color w:val="0A0F1E"/>
          <w:sz w:val="32"/>
          <w:szCs w:val="32"/>
        </w:rPr>
        <w:t xml:space="preserve">Section 9 — Technical Intelligence Integration</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technical intelligence layer is a Phase 2 capability. The architecture is designed and reserved in Phase 1 — no active technical scoring occurs, but the system is built to receive it without structural changes. This section defines the full target architecture for when technical data is available.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Phase 1 Behavior</w:t>
            </w:r>
          </w:p>
          <w:p>
            <w:pPr>
              <w:spacing w:after="0" w:before="0"/>
            </w:pPr>
            <w:r>
              <w:rPr>
                <w:rFonts w:ascii="Arial" w:cs="Arial" w:eastAsia="Arial" w:hAnsi="Arial"/>
                <w:color w:val="334155"/>
                <w:sz w:val="19"/>
                <w:szCs w:val="19"/>
              </w:rPr>
              <w:t xml:space="preserve">The Technical Timing Score defaults to 50 (neutral) for all companies in Phase 1. This prevents it from distorting the composite conviction score while preserving the weight slot and DB architecture for future activation.</w:t>
            </w:r>
          </w:p>
        </w:tc>
      </w:tr>
    </w:tbl>
    <w:p>
      <w:pPr>
        <w:spacing w:after="80" w:before="0"/>
      </w:pPr>
    </w:p>
    <w:p>
      <w:pPr>
        <w:pStyle w:val="Heading2"/>
        <w:spacing w:after="100" w:before="280"/>
      </w:pPr>
      <w:r>
        <w:rPr>
          <w:rFonts w:ascii="Arial" w:cs="Arial" w:eastAsia="Arial" w:hAnsi="Arial"/>
          <w:b/>
          <w:bCs/>
          <w:color w:val="4F6AF5"/>
          <w:sz w:val="26"/>
          <w:szCs w:val="26"/>
        </w:rPr>
        <w:t xml:space="preserve">9.1 Design Philosophy</w:t>
      </w:r>
    </w:p>
    <w:p>
      <w:pPr>
        <w:spacing w:after="120" w:before="60"/>
      </w:pPr>
      <w:r>
        <w:rPr>
          <w:rFonts w:ascii="Arial" w:cs="Arial" w:eastAsia="Arial" w:hAnsi="Arial"/>
          <w:b w:val="false"/>
          <w:bCs w:val="false"/>
          <w:i w:val="false"/>
          <w:iCs w:val="false"/>
          <w:color w:val="334155"/>
          <w:sz w:val="20"/>
          <w:szCs w:val="20"/>
        </w:rPr>
        <w:t xml:space="preserve">Technical intelligence on this platform is institutional and contextual. It does not produce chart patterns, indicator signals, or entry/exit calls. It produces one thing: a timing context note that says whether the current price structure supports or complicates acting on the fundamental conviction.</w:t>
      </w:r>
    </w:p>
    <w:p>
      <w:pPr>
        <w:spacing w:after="60" w:before="0"/>
      </w:pPr>
    </w:p>
    <w:p>
      <w:pPr>
        <w:spacing w:after="120" w:before="60"/>
      </w:pPr>
      <w:r>
        <w:rPr>
          <w:rFonts w:ascii="Arial" w:cs="Arial" w:eastAsia="Arial" w:hAnsi="Arial"/>
          <w:b w:val="false"/>
          <w:bCs w:val="false"/>
          <w:i w:val="false"/>
          <w:iCs w:val="false"/>
          <w:color w:val="334155"/>
          <w:sz w:val="20"/>
          <w:szCs w:val="20"/>
        </w:rPr>
        <w:t xml:space="preserve">Maximum three technical signals are ever surfaced per company: price position relative to 200 DMA (above, below, or at), trend structure (uptrend, downtrend, range), and volume confirmation (accumulation or distribution). Nothing else appears in the UI. Nothing else feeds into the score.</w:t>
      </w:r>
    </w:p>
    <w:p>
      <w:pPr>
        <w:spacing w:after="80" w:before="0"/>
      </w:pPr>
    </w:p>
    <w:p>
      <w:pPr>
        <w:pStyle w:val="Heading2"/>
        <w:spacing w:after="100" w:before="280"/>
      </w:pPr>
      <w:r>
        <w:rPr>
          <w:rFonts w:ascii="Arial" w:cs="Arial" w:eastAsia="Arial" w:hAnsi="Arial"/>
          <w:b/>
          <w:bCs/>
          <w:color w:val="4F6AF5"/>
          <w:sz w:val="26"/>
          <w:szCs w:val="26"/>
        </w:rPr>
        <w:t xml:space="preserve">9.2 technical_indicators Table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1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id</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serial (PK)</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Auto-increment</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symbol</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FK → companies.symbol</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date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date</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Trading date</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dma_50</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float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50-day moving average close price</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dma_200</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float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200-day moving average close price</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price_vs_200dma</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above | below | at (within 1%)</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trend_structure</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uptrend | downtrend | range — defined by DMA slope and price structure</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volume_signal</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accumulation | distribution | neutral — 20-day volume trend vs average</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volatility_pct</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float</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30-day annualized volatility %</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technical_score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Technical timing sub-score 0–100 for this date</w:t>
            </w:r>
          </w:p>
        </w:tc>
      </w:tr>
      <w:tr>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created_at</w:t>
            </w:r>
          </w:p>
        </w:tc>
        <w:tc>
          <w:tcPr>
            <w:tcW w:type="dxa" w:w="1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61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Calculation timestamp</w:t>
            </w:r>
          </w:p>
        </w:tc>
      </w:tr>
    </w:tbl>
    <w:p>
      <w:pPr>
        <w:spacing w:after="80" w:before="0"/>
      </w:pPr>
    </w:p>
    <w:p>
      <w:pPr>
        <w:pStyle w:val="Heading2"/>
        <w:spacing w:after="100" w:before="280"/>
      </w:pPr>
      <w:r>
        <w:rPr>
          <w:rFonts w:ascii="Arial" w:cs="Arial" w:eastAsia="Arial" w:hAnsi="Arial"/>
          <w:b/>
          <w:bCs/>
          <w:color w:val="4F6AF5"/>
          <w:sz w:val="26"/>
          <w:szCs w:val="26"/>
        </w:rPr>
        <w:t xml:space="preserve">9.3 Integration with Conviction Scoring</w:t>
      </w:r>
    </w:p>
    <w:p>
      <w:pPr>
        <w:spacing w:after="120" w:before="60"/>
      </w:pPr>
      <w:r>
        <w:rPr>
          <w:rFonts w:ascii="Arial" w:cs="Arial" w:eastAsia="Arial" w:hAnsi="Arial"/>
          <w:b w:val="false"/>
          <w:bCs w:val="false"/>
          <w:i w:val="false"/>
          <w:iCs w:val="false"/>
          <w:color w:val="334155"/>
          <w:sz w:val="20"/>
          <w:szCs w:val="20"/>
        </w:rPr>
        <w:t xml:space="preserve">When Phase 2 is activated, the Technical Timing Score reads the most recent technical_indicators row for each company and computes a 0–100 score: price above 200 DMA and uptrend = high score, price below 200 DMA and downtrend = low score, range with neutral volume = 50. The score is added to the conviction_scores.sub_scores JSONB with a 10% weight, and the other sub-scores are reduced proportionally.</w:t>
      </w:r>
    </w:p>
    <w:p>
      <w:pPr>
        <w:spacing w:after="80" w:before="0"/>
      </w:pPr>
    </w:p>
    <w:p>
      <w:pPr>
        <w:pStyle w:val="Heading2"/>
        <w:spacing w:after="100" w:before="280"/>
      </w:pPr>
      <w:r>
        <w:rPr>
          <w:rFonts w:ascii="Arial" w:cs="Arial" w:eastAsia="Arial" w:hAnsi="Arial"/>
          <w:b/>
          <w:bCs/>
          <w:color w:val="4F6AF5"/>
          <w:sz w:val="26"/>
          <w:szCs w:val="26"/>
        </w:rPr>
        <w:t xml:space="preserve">9.4 Language Rules for Technical Intelligence</w:t>
      </w:r>
    </w:p>
    <w:p>
      <w:pPr>
        <w:spacing w:after="120" w:before="60"/>
      </w:pPr>
      <w:r>
        <w:rPr>
          <w:rFonts w:ascii="Arial" w:cs="Arial" w:eastAsia="Arial" w:hAnsi="Arial"/>
          <w:b w:val="false"/>
          <w:bCs w:val="false"/>
          <w:i w:val="false"/>
          <w:iCs w:val="false"/>
          <w:color w:val="334155"/>
          <w:sz w:val="20"/>
          <w:szCs w:val="20"/>
        </w:rPr>
        <w:t xml:space="preserve">When technical context is included in AI narratives, the language must remain institutional. The following examples illustrate the required tone: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AF5" w:sz="4"/>
              <w:left w:val="single" w:color="4F6AF5" w:sz="12"/>
              <w:bottom w:val="single" w:color="4F6AF5" w:sz="4"/>
              <w:right w:val="single" w:color="4F6AF5" w:sz="4"/>
            </w:tcBorders>
            <w:shd w:fill="EEF2FF" w:val="clear"/>
            <w:tcMar>
              <w:top w:type="dxa" w:w="120"/>
              <w:left w:type="dxa" w:w="160"/>
              <w:bottom w:type="dxa" w:w="120"/>
              <w:right w:type="dxa" w:w="160"/>
            </w:tcMar>
          </w:tcPr>
          <w:p>
            <w:pPr>
              <w:spacing w:after="60" w:before="0"/>
            </w:pPr>
            <w:r>
              <w:rPr>
                <w:rFonts w:ascii="Arial" w:cs="Arial" w:eastAsia="Arial" w:hAnsi="Arial"/>
                <w:b/>
                <w:bCs/>
                <w:color w:val="3451C7"/>
                <w:sz w:val="20"/>
                <w:szCs w:val="20"/>
              </w:rPr>
              <w:t xml:space="preserve">Acceptable Technical Language in AI Narratives</w:t>
            </w:r>
          </w:p>
          <w:p>
            <w:pPr>
              <w:spacing w:after="0" w:before="0"/>
            </w:pPr>
            <w:r>
              <w:rPr>
                <w:rFonts w:ascii="Arial" w:cs="Arial" w:eastAsia="Arial" w:hAnsi="Arial"/>
                <w:color w:val="334155"/>
                <w:sz w:val="19"/>
                <w:szCs w:val="19"/>
              </w:rPr>
              <w:t xml:space="preserve">ACCEPTABLE: "Price is trading below the 200-day moving average, a period historically associated with reduced momentum for this name. Investors with a fundamental conviction may view this as a positioning consideration rather than a thesis risk."
NOT ACCEPTABLE: "DEATH CROSS ALERT — bearish signal confirmed. Strong sell."
ACCEPTABLE: "Volume trends over the past 20 sessions suggest institutional accumulation, consistent with the improving fundamental backdrop."
NOT ACCEPTABLE: "Smart money is buying — follow the institutional flow NOW."</w:t>
            </w:r>
          </w:p>
        </w:tc>
      </w:tr>
    </w:tbl>
    <w:p>
      <w:r>
        <w:br w:type="page"/>
      </w:r>
    </w:p>
    <w:p>
      <w:pPr>
        <w:pStyle w:val="Heading1"/>
        <w:spacing w:after="120" w:before="360"/>
      </w:pPr>
      <w:r>
        <w:rPr>
          <w:rFonts w:ascii="Arial" w:cs="Arial" w:eastAsia="Arial" w:hAnsi="Arial"/>
          <w:b/>
          <w:bCs/>
          <w:color w:val="0A0F1E"/>
          <w:sz w:val="32"/>
          <w:szCs w:val="32"/>
        </w:rPr>
        <w:t xml:space="preserve">Section 10 — UI Integration</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AI intelligence surfaces at five distinct points in the platform. Each surface is designed to feel premium and institutional: clean panels with clear labeling, no flashing metrics, and no information overload. The design principle is that a sophisticated investor should be able to read each surface in under 60 seconds and walk away with clear, actionable context.</w:t>
      </w:r>
    </w:p>
    <w:p>
      <w:pPr>
        <w:spacing w:after="80" w:before="0"/>
      </w:pPr>
    </w:p>
    <w:p>
      <w:pPr>
        <w:pStyle w:val="Heading2"/>
        <w:spacing w:after="100" w:before="280"/>
      </w:pPr>
      <w:r>
        <w:rPr>
          <w:rFonts w:ascii="Arial" w:cs="Arial" w:eastAsia="Arial" w:hAnsi="Arial"/>
          <w:b/>
          <w:bCs/>
          <w:color w:val="4F6AF5"/>
          <w:sz w:val="26"/>
          <w:szCs w:val="26"/>
        </w:rPr>
        <w:t xml:space="preserve">10.1 Surface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2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Surface</w:t>
            </w:r>
          </w:p>
        </w:tc>
        <w:tc>
          <w:tcPr>
            <w:tcW w:type="dxa" w:w="49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AI Content Displayed</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/stocks/[symbol]</w:t>
            </w:r>
          </w:p>
        </w:tc>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Company Intelligence Page</w:t>
            </w:r>
          </w:p>
        </w:tc>
        <w:tc>
          <w:tcPr>
            <w:tcW w:type="dxa" w:w="4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 narrative panel, conviction score meter, risk/catalyst summary, conviction interpretation</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/sectors/[slug]</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Sector Intelligence Page</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AI sector brief (dynamic, weekly refresh), sector conviction score, macro driver heatmap</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/market</w:t>
            </w:r>
          </w:p>
        </w:tc>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Market Dashboard</w:t>
            </w:r>
          </w:p>
        </w:tc>
        <w:tc>
          <w:tcPr>
            <w:tcW w:type="dxa" w:w="4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Daily AI snapshot card, sector heatmap, alert notification strip, conviction change feed</w:t>
            </w:r>
          </w:p>
        </w:tc>
      </w:tr>
      <w:tr>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w:t>
            </w:r>
          </w:p>
        </w:tc>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Intelligence Board (NEW)</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companies ranked by conviction score, filterable by sector/tier, score trend indicators</w:t>
            </w:r>
          </w:p>
        </w:tc>
      </w:tr>
      <w:tr>
        <w:tc>
          <w:tcPr>
            <w:tcW w:type="dxa" w:w="2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WhatsApp</w:t>
            </w:r>
          </w:p>
        </w:tc>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Distribution Layer</w:t>
            </w:r>
          </w:p>
        </w:tc>
        <w:tc>
          <w:tcPr>
            <w:tcW w:type="dxa" w:w="4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Short-form daily snapshot (150–200 words), formatted for plain-text messaging</w:t>
            </w:r>
          </w:p>
        </w:tc>
      </w:tr>
    </w:tbl>
    <w:p>
      <w:pPr>
        <w:spacing w:after="80" w:before="0"/>
      </w:pPr>
    </w:p>
    <w:p>
      <w:pPr>
        <w:pStyle w:val="Heading2"/>
        <w:spacing w:after="100" w:before="280"/>
      </w:pPr>
      <w:r>
        <w:rPr>
          <w:rFonts w:ascii="Arial" w:cs="Arial" w:eastAsia="Arial" w:hAnsi="Arial"/>
          <w:b/>
          <w:bCs/>
          <w:color w:val="4F6AF5"/>
          <w:sz w:val="26"/>
          <w:szCs w:val="26"/>
        </w:rPr>
        <w:t xml:space="preserve">10.2 Intelligence Board — /intelligence</w:t>
      </w:r>
    </w:p>
    <w:p>
      <w:pPr>
        <w:spacing w:after="120" w:before="60"/>
      </w:pPr>
      <w:r>
        <w:rPr>
          <w:rFonts w:ascii="Arial" w:cs="Arial" w:eastAsia="Arial" w:hAnsi="Arial"/>
          <w:b w:val="false"/>
          <w:bCs w:val="false"/>
          <w:i w:val="false"/>
          <w:iCs w:val="false"/>
          <w:color w:val="334155"/>
          <w:sz w:val="20"/>
          <w:szCs w:val="20"/>
        </w:rPr>
        <w:t xml:space="preserve">The Intelligence Board is a new page that becomes the primary navigation destination for platform users who want a cross-company view. It displays all companies ranked by conviction score in a clean, institutional table. Filters allow users to narrow by sector and conviction tier. Each row shows the company name, sector, conviction score with a small visual meter, tier badge, and the top-ranked catalyst and top-ranked risk for that company.</w:t>
      </w:r>
    </w:p>
    <w:p>
      <w:pPr>
        <w:spacing w:after="120" w:before="60"/>
      </w:pPr>
      <w:r>
        <w:rPr>
          <w:rFonts w:ascii="Arial" w:cs="Arial" w:eastAsia="Arial" w:hAnsi="Arial"/>
          <w:b w:val="false"/>
          <w:bCs w:val="false"/>
          <w:i w:val="false"/>
          <w:iCs w:val="false"/>
          <w:color w:val="334155"/>
          <w:sz w:val="20"/>
          <w:szCs w:val="20"/>
        </w:rPr>
        <w:t xml:space="preserve">The board refreshes its scores nightly. A "Last updated" timestamp is shown. If a company's score changed tier since the prior session, a small indicator shows the direction of the change. No intraday score updates — conviction is a medium-term view, not a daily signal.</w:t>
      </w:r>
    </w:p>
    <w:p>
      <w:pPr>
        <w:spacing w:after="80" w:before="0"/>
      </w:pPr>
    </w:p>
    <w:p>
      <w:pPr>
        <w:pStyle w:val="Heading2"/>
        <w:spacing w:after="100" w:before="280"/>
      </w:pPr>
      <w:r>
        <w:rPr>
          <w:rFonts w:ascii="Arial" w:cs="Arial" w:eastAsia="Arial" w:hAnsi="Arial"/>
          <w:b/>
          <w:bCs/>
          <w:color w:val="4F6AF5"/>
          <w:sz w:val="26"/>
          <w:szCs w:val="26"/>
        </w:rPr>
        <w:t xml:space="preserve">10.3 AI Panel Design Principles</w:t>
      </w:r>
    </w:p>
    <w:p>
      <w:pPr>
        <w:spacing w:after="120" w:before="60"/>
      </w:pPr>
      <w:r>
        <w:rPr>
          <w:rFonts w:ascii="Arial" w:cs="Arial" w:eastAsia="Arial" w:hAnsi="Arial"/>
          <w:b w:val="false"/>
          <w:bCs w:val="false"/>
          <w:i w:val="false"/>
          <w:iCs w:val="false"/>
          <w:color w:val="334155"/>
          <w:sz w:val="20"/>
          <w:szCs w:val="20"/>
        </w:rPr>
        <w:t xml:space="preserve">AI-generated content panels follow four design constraints consistently across all surfaces.</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Label clearly: all AI-generated content is marked with a subtle "Intelligence" label, never "AI Generated" or "Powered by AI" — the brand is AHM Intelligence, not AI provenance.</w:t>
      </w:r>
    </w:p>
    <w:p>
      <w:pPr>
        <w:pStyle w:val="ListParagraph"/>
        <w:numPr>
          <w:ilvl w:val="0"/>
          <w:numId w:val="2"/>
        </w:numPr>
        <w:spacing w:after="60" w:before="40"/>
      </w:pPr>
      <w:r>
        <w:rPr>
          <w:rFonts w:ascii="Arial" w:cs="Arial" w:eastAsia="Arial" w:hAnsi="Arial"/>
          <w:color w:val="334155"/>
          <w:sz w:val="20"/>
          <w:szCs w:val="20"/>
        </w:rPr>
        <w:t xml:space="preserve">Show freshness: every AI panel shows a "Generated [date]" timestamp. Users can see when the intelligence was last refreshed.</w:t>
      </w:r>
    </w:p>
    <w:p>
      <w:pPr>
        <w:pStyle w:val="ListParagraph"/>
        <w:numPr>
          <w:ilvl w:val="0"/>
          <w:numId w:val="2"/>
        </w:numPr>
        <w:spacing w:after="60" w:before="40"/>
      </w:pPr>
      <w:r>
        <w:rPr>
          <w:rFonts w:ascii="Arial" w:cs="Arial" w:eastAsia="Arial" w:hAnsi="Arial"/>
          <w:color w:val="334155"/>
          <w:sz w:val="20"/>
          <w:szCs w:val="20"/>
        </w:rPr>
        <w:t xml:space="preserve">Degrade gracefully: if no cached output is available and generation is in progress, the panel shows a skeleton state. If generation fails, the panel shows a neutral placeholder. The page never breaks.</w:t>
      </w:r>
    </w:p>
    <w:p>
      <w:pPr>
        <w:pStyle w:val="ListParagraph"/>
        <w:numPr>
          <w:ilvl w:val="0"/>
          <w:numId w:val="2"/>
        </w:numPr>
        <w:spacing w:after="60" w:before="40"/>
      </w:pPr>
      <w:r>
        <w:rPr>
          <w:rFonts w:ascii="Arial" w:cs="Arial" w:eastAsia="Arial" w:hAnsi="Arial"/>
          <w:color w:val="334155"/>
          <w:sz w:val="20"/>
          <w:szCs w:val="20"/>
        </w:rPr>
        <w:t xml:space="preserve">No recommendation language in the UI: risk/catalyst labels in the UI use the same language as the underlying blocks — no buy/sell/hold language appears anywhere on the platform.</w:t>
      </w:r>
    </w:p>
    <w:p>
      <w:r>
        <w:br w:type="page"/>
      </w:r>
    </w:p>
    <w:p>
      <w:pPr>
        <w:pStyle w:val="Heading1"/>
        <w:spacing w:after="120" w:before="360"/>
      </w:pPr>
      <w:r>
        <w:rPr>
          <w:rFonts w:ascii="Arial" w:cs="Arial" w:eastAsia="Arial" w:hAnsi="Arial"/>
          <w:b/>
          <w:bCs/>
          <w:color w:val="0A0F1E"/>
          <w:sz w:val="32"/>
          <w:szCs w:val="32"/>
        </w:rPr>
        <w:t xml:space="preserve">Section 11 — Scope Boundaries</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Defining what is explicitly out of scope for Sprint 6 is as important as defining what is in scope. These boundaries prevent scope creep, protect the institutional positioning of the platform, and ensure the intelligence infrastructure is solid before any consumer-facing or interactive features are built on top of it.</w:t>
      </w:r>
    </w:p>
    <w:p>
      <w:pPr>
        <w:spacing w:after="80" w:before="0"/>
      </w:pPr>
    </w:p>
    <w:p>
      <w:pPr>
        <w:pStyle w:val="Heading2"/>
        <w:spacing w:after="100" w:before="280"/>
      </w:pPr>
      <w:r>
        <w:rPr>
          <w:rFonts w:ascii="Arial" w:cs="Arial" w:eastAsia="Arial" w:hAnsi="Arial"/>
          <w:b/>
          <w:bCs/>
          <w:color w:val="4F6AF5"/>
          <w:sz w:val="26"/>
          <w:szCs w:val="26"/>
        </w:rPr>
        <w:t xml:space="preserve">11.1 Explicitly Not Built in Sprint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4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Why Excluded</w:t>
            </w:r>
          </w:p>
        </w:tc>
        <w:tc>
          <w:tcPr>
            <w:tcW w:type="dxa" w:w="29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to Revisit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 chatbot / Q&amp;A interface</w:t>
            </w:r>
          </w:p>
        </w:tc>
        <w:tc>
          <w:tcPr>
            <w:tcW w:type="dxa" w:w="4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Adds hallucination risk, support burden, and conversational AI complexity before core intelligence is validated</w:t>
            </w:r>
          </w:p>
        </w:tc>
        <w:tc>
          <w:tcPr>
            <w:tcW w:type="dxa" w:w="2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Sprint 9+ once intelligence layer is proven</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Mobile app</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Platform is browser-first; mobile is a distribution layer, not a core intelligence concern</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Post-product-market-fit</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Options analytics</w:t>
            </w:r>
          </w:p>
        </w:tc>
        <w:tc>
          <w:tcPr>
            <w:tcW w:type="dxa" w:w="4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Requires derivatives data infrastructure not yet in scope</w:t>
            </w:r>
          </w:p>
        </w:tc>
        <w:tc>
          <w:tcPr>
            <w:tcW w:type="dxa" w:w="2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Separate sprint, separate data pipeline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Portfolio optimization</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Portfolio construction is investment advice territory — outside the platform philosophy</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Requires separate regulatory and product discussion</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Social / community features</w:t>
            </w:r>
          </w:p>
        </w:tc>
        <w:tc>
          <w:tcPr>
            <w:tcW w:type="dxa" w:w="4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Retail community features conflict with the institutional intelligence positioning</w:t>
            </w:r>
          </w:p>
        </w:tc>
        <w:tc>
          <w:tcPr>
            <w:tcW w:type="dxa" w:w="2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If at all, after institutional layer is complete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Auto-trading / signal execution</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Explicitly outside the platform philosophy — AHM is decision-support, not execution</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Never in current product direction</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Real-time LLM inference</w:t>
            </w:r>
          </w:p>
        </w:tc>
        <w:tc>
          <w:tcPr>
            <w:tcW w:type="dxa" w:w="4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Cost-prohibitive and unnecessary — all intelligence is cached; users read from DB not LLM</w:t>
            </w:r>
          </w:p>
        </w:tc>
        <w:tc>
          <w:tcPr>
            <w:tcW w:type="dxa" w:w="2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Only if specific real-time use case is validated</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Third-party AI data providers</w:t>
            </w:r>
          </w:p>
        </w:tc>
        <w:tc>
          <w:tcPr>
            <w:tcW w:type="dxa" w:w="4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Purchasing commodity AI data destroys the structured data moat that is the core differentiator</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Only for data types not producible internally</w:t>
            </w:r>
          </w:p>
        </w:tc>
      </w:tr>
      <w:tr>
        <w:tc>
          <w:tcPr>
            <w:tcW w:type="dxa" w:w="24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Buy / Sell / Hold ratings</w:t>
            </w:r>
          </w:p>
        </w:tc>
        <w:tc>
          <w:tcPr>
            <w:tcW w:type="dxa" w:w="4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Recommendation language creates regulatory and liability risk and conflicts with platform philosophy</w:t>
            </w:r>
          </w:p>
        </w:tc>
        <w:tc>
          <w:tcPr>
            <w:tcW w:type="dxa" w:w="29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Never — by design</w:t>
            </w:r>
          </w:p>
        </w:tc>
      </w:tr>
    </w:tbl>
    <w:p>
      <w:r>
        <w:br w:type="page"/>
      </w:r>
    </w:p>
    <w:p>
      <w:pPr>
        <w:pStyle w:val="Heading1"/>
        <w:spacing w:after="120" w:before="360"/>
      </w:pPr>
      <w:r>
        <w:rPr>
          <w:rFonts w:ascii="Arial" w:cs="Arial" w:eastAsia="Arial" w:hAnsi="Arial"/>
          <w:b/>
          <w:bCs/>
          <w:color w:val="0A0F1E"/>
          <w:sz w:val="32"/>
          <w:szCs w:val="32"/>
        </w:rPr>
        <w:t xml:space="preserve">Section 12 — Execution Plan</w:t>
      </w:r>
    </w:p>
    <w:p>
      <w:pPr>
        <w:pBdr>
          <w:bottom w:val="single" w:color="CBD5E1" w:sz="4" w:space="1"/>
        </w:pBdr>
        <w:spacing w:after="60" w:before="60"/>
      </w:pPr>
    </w:p>
    <w:p>
      <w:pPr>
        <w:spacing w:after="80" w:before="0"/>
      </w:pPr>
    </w:p>
    <w:p>
      <w:pPr>
        <w:spacing w:after="120" w:before="60"/>
      </w:pPr>
      <w:r>
        <w:rPr>
          <w:rFonts w:ascii="Arial" w:cs="Arial" w:eastAsia="Arial" w:hAnsi="Arial"/>
          <w:b w:val="false"/>
          <w:bCs w:val="false"/>
          <w:i w:val="false"/>
          <w:iCs w:val="false"/>
          <w:color w:val="334155"/>
          <w:sz w:val="20"/>
          <w:szCs w:val="20"/>
        </w:rPr>
        <w:t xml:space="preserve">The Sprint 6 execution plan is structured as a 6-week build sequence. Each week has a clear deliverable and a validation gate before the next week begins. The sequence is dependency-ordered: database tables before service logic, service logic before Edge Functions, Edge Functions before UI integration.</w:t>
      </w:r>
    </w:p>
    <w:p>
      <w:pPr>
        <w:spacing w:after="80" w:before="0"/>
      </w:pPr>
    </w:p>
    <w:p>
      <w:pPr>
        <w:pStyle w:val="Heading2"/>
        <w:spacing w:after="100" w:before="280"/>
      </w:pPr>
      <w:r>
        <w:rPr>
          <w:rFonts w:ascii="Arial" w:cs="Arial" w:eastAsia="Arial" w:hAnsi="Arial"/>
          <w:b/>
          <w:bCs/>
          <w:color w:val="4F6AF5"/>
          <w:sz w:val="26"/>
          <w:szCs w:val="26"/>
        </w:rPr>
        <w:t xml:space="preserve">Week 1 — Database Foundation</w:t>
      </w:r>
    </w:p>
    <w:p>
      <w:pPr>
        <w:spacing w:after="120" w:before="60"/>
      </w:pPr>
      <w:r>
        <w:rPr>
          <w:rFonts w:ascii="Arial" w:cs="Arial" w:eastAsia="Arial" w:hAnsi="Arial"/>
          <w:b w:val="false"/>
          <w:bCs w:val="false"/>
          <w:i w:val="false"/>
          <w:iCs w:val="false"/>
          <w:color w:val="334155"/>
          <w:sz w:val="20"/>
          <w:szCs w:val="20"/>
        </w:rPr>
        <w:t xml:space="preserve">All new DB tables are created via Supabase migrations. Prompt templates are seeded. The scoring engine service module is scaffolded.</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Migration 001: CREATE TABLE conviction_scores, conviction_score_history</w:t>
      </w:r>
    </w:p>
    <w:p>
      <w:pPr>
        <w:pStyle w:val="ListParagraph"/>
        <w:numPr>
          <w:ilvl w:val="0"/>
          <w:numId w:val="2"/>
        </w:numPr>
        <w:spacing w:after="60" w:before="40"/>
      </w:pPr>
      <w:r>
        <w:rPr>
          <w:rFonts w:ascii="Arial" w:cs="Arial" w:eastAsia="Arial" w:hAnsi="Arial"/>
          <w:color w:val="334155"/>
          <w:sz w:val="20"/>
          <w:szCs w:val="20"/>
        </w:rPr>
        <w:t xml:space="preserve">Migration 002: CREATE TABLE ai_outputs, ai_prompt_templates</w:t>
      </w:r>
    </w:p>
    <w:p>
      <w:pPr>
        <w:pStyle w:val="ListParagraph"/>
        <w:numPr>
          <w:ilvl w:val="0"/>
          <w:numId w:val="2"/>
        </w:numPr>
        <w:spacing w:after="60" w:before="40"/>
      </w:pPr>
      <w:r>
        <w:rPr>
          <w:rFonts w:ascii="Arial" w:cs="Arial" w:eastAsia="Arial" w:hAnsi="Arial"/>
          <w:color w:val="334155"/>
          <w:sz w:val="20"/>
          <w:szCs w:val="20"/>
        </w:rPr>
        <w:t xml:space="preserve">Migration 003: CREATE TABLE ai_daily_snapshots, ai_event_triggers, alerts</w:t>
      </w:r>
    </w:p>
    <w:p>
      <w:pPr>
        <w:pStyle w:val="ListParagraph"/>
        <w:numPr>
          <w:ilvl w:val="0"/>
          <w:numId w:val="2"/>
        </w:numPr>
        <w:spacing w:after="60" w:before="40"/>
      </w:pPr>
      <w:r>
        <w:rPr>
          <w:rFonts w:ascii="Arial" w:cs="Arial" w:eastAsia="Arial" w:hAnsi="Arial"/>
          <w:color w:val="334155"/>
          <w:sz w:val="20"/>
          <w:szCs w:val="20"/>
        </w:rPr>
        <w:t xml:space="preserve">Migration 004: CREATE TABLE sector_macro_drivers, ai_generation_jobs, ai_quality_checks</w:t>
      </w:r>
    </w:p>
    <w:p>
      <w:pPr>
        <w:pStyle w:val="ListParagraph"/>
        <w:numPr>
          <w:ilvl w:val="0"/>
          <w:numId w:val="2"/>
        </w:numPr>
        <w:spacing w:after="60" w:before="40"/>
      </w:pPr>
      <w:r>
        <w:rPr>
          <w:rFonts w:ascii="Arial" w:cs="Arial" w:eastAsia="Arial" w:hAnsi="Arial"/>
          <w:color w:val="334155"/>
          <w:sz w:val="20"/>
          <w:szCs w:val="20"/>
        </w:rPr>
        <w:t xml:space="preserve">Migration 005: CREATE TABLE technical_indicators (Phase 2 — schema only, no data)</w:t>
      </w:r>
    </w:p>
    <w:p>
      <w:pPr>
        <w:pStyle w:val="ListParagraph"/>
        <w:numPr>
          <w:ilvl w:val="0"/>
          <w:numId w:val="2"/>
        </w:numPr>
        <w:spacing w:after="60" w:before="40"/>
      </w:pPr>
      <w:r>
        <w:rPr>
          <w:rFonts w:ascii="Arial" w:cs="Arial" w:eastAsia="Arial" w:hAnsi="Arial"/>
          <w:color w:val="334155"/>
          <w:sz w:val="20"/>
          <w:szCs w:val="20"/>
        </w:rPr>
        <w:t xml:space="preserve">Seed ai_prompt_templates with v1.0.0 templates for all 7 output types</w:t>
      </w:r>
    </w:p>
    <w:p>
      <w:pPr>
        <w:pStyle w:val="ListParagraph"/>
        <w:numPr>
          <w:ilvl w:val="0"/>
          <w:numId w:val="2"/>
        </w:numPr>
        <w:spacing w:after="60" w:before="40"/>
      </w:pPr>
      <w:r>
        <w:rPr>
          <w:rFonts w:ascii="Arial" w:cs="Arial" w:eastAsia="Arial" w:hAnsi="Arial"/>
          <w:color w:val="334155"/>
          <w:sz w:val="20"/>
          <w:szCs w:val="20"/>
        </w:rPr>
        <w:t xml:space="preserve">Scaffold lib/scoring/ module with sub-score function stubs</w:t>
      </w:r>
    </w:p>
    <w:p>
      <w:pPr>
        <w:spacing w:after="80" w:before="40"/>
      </w:pPr>
      <w:r>
        <w:rPr>
          <w:rFonts w:ascii="Arial" w:cs="Arial" w:eastAsia="Arial" w:hAnsi="Arial"/>
          <w:b/>
          <w:bCs/>
          <w:color w:val="0A0F1E"/>
          <w:sz w:val="20"/>
          <w:szCs w:val="20"/>
        </w:rPr>
        <w:t xml:space="preserve">Week 1 Gate: </w:t>
      </w:r>
      <w:r>
        <w:rPr>
          <w:rFonts w:ascii="Arial" w:cs="Arial" w:eastAsia="Arial" w:hAnsi="Arial"/>
          <w:color w:val="334155"/>
          <w:sz w:val="20"/>
          <w:szCs w:val="20"/>
        </w:rPr>
        <w:t xml:space="preserve">All migrations apply cleanly, TypeScript types generated, prompt templates queryable</w:t>
      </w:r>
    </w:p>
    <w:p>
      <w:pPr>
        <w:spacing w:after="80" w:before="0"/>
      </w:pPr>
    </w:p>
    <w:p>
      <w:pPr>
        <w:pStyle w:val="Heading2"/>
        <w:spacing w:after="100" w:before="280"/>
      </w:pPr>
      <w:r>
        <w:rPr>
          <w:rFonts w:ascii="Arial" w:cs="Arial" w:eastAsia="Arial" w:hAnsi="Arial"/>
          <w:b/>
          <w:bCs/>
          <w:color w:val="4F6AF5"/>
          <w:sz w:val="26"/>
          <w:szCs w:val="26"/>
        </w:rPr>
        <w:t xml:space="preserve">Week 2 — Conviction Scoring Engine</w:t>
      </w:r>
    </w:p>
    <w:p>
      <w:pPr>
        <w:spacing w:after="120" w:before="60"/>
      </w:pPr>
      <w:r>
        <w:rPr>
          <w:rFonts w:ascii="Arial" w:cs="Arial" w:eastAsia="Arial" w:hAnsi="Arial"/>
          <w:b w:val="false"/>
          <w:bCs w:val="false"/>
          <w:i w:val="false"/>
          <w:iCs w:val="false"/>
          <w:color w:val="334155"/>
          <w:sz w:val="20"/>
          <w:szCs w:val="20"/>
        </w:rPr>
        <w:t xml:space="preserve">Implement all 9 active sub-score functions. Wire them into a composite scoring function. Deploy the nightly scoring cron as a Supabase Edge Function. Build the Intelligence Board UI skeleton.</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Implement: valuationScore(), profitabilityScore(), growthScore(), balanceSheetScore()</w:t>
      </w:r>
    </w:p>
    <w:p>
      <w:pPr>
        <w:pStyle w:val="ListParagraph"/>
        <w:numPr>
          <w:ilvl w:val="0"/>
          <w:numId w:val="2"/>
        </w:numPr>
        <w:spacing w:after="60" w:before="40"/>
      </w:pPr>
      <w:r>
        <w:rPr>
          <w:rFonts w:ascii="Arial" w:cs="Arial" w:eastAsia="Arial" w:hAnsi="Arial"/>
          <w:color w:val="334155"/>
          <w:sz w:val="20"/>
          <w:szCs w:val="20"/>
        </w:rPr>
        <w:t xml:space="preserve">Implement: momentumScore(), macroSensitivityScore(), catalystScore(), riskScore(), sectorRelativeStrengthScore()</w:t>
      </w:r>
    </w:p>
    <w:p>
      <w:pPr>
        <w:pStyle w:val="ListParagraph"/>
        <w:numPr>
          <w:ilvl w:val="0"/>
          <w:numId w:val="2"/>
        </w:numPr>
        <w:spacing w:after="60" w:before="40"/>
      </w:pPr>
      <w:r>
        <w:rPr>
          <w:rFonts w:ascii="Arial" w:cs="Arial" w:eastAsia="Arial" w:hAnsi="Arial"/>
          <w:color w:val="334155"/>
          <w:sz w:val="20"/>
          <w:szCs w:val="20"/>
        </w:rPr>
        <w:t xml:space="preserve">Implement: dataConfidenceMultiplier()</w:t>
      </w:r>
    </w:p>
    <w:p>
      <w:pPr>
        <w:pStyle w:val="ListParagraph"/>
        <w:numPr>
          <w:ilvl w:val="0"/>
          <w:numId w:val="2"/>
        </w:numPr>
        <w:spacing w:after="60" w:before="40"/>
      </w:pPr>
      <w:r>
        <w:rPr>
          <w:rFonts w:ascii="Arial" w:cs="Arial" w:eastAsia="Arial" w:hAnsi="Arial"/>
          <w:color w:val="334155"/>
          <w:sz w:val="20"/>
          <w:szCs w:val="20"/>
        </w:rPr>
        <w:t xml:space="preserve">Implement: computeConvictionScore() — composite with weights and multiplier</w:t>
      </w:r>
    </w:p>
    <w:p>
      <w:pPr>
        <w:pStyle w:val="ListParagraph"/>
        <w:numPr>
          <w:ilvl w:val="0"/>
          <w:numId w:val="2"/>
        </w:numPr>
        <w:spacing w:after="60" w:before="40"/>
      </w:pPr>
      <w:r>
        <w:rPr>
          <w:rFonts w:ascii="Arial" w:cs="Arial" w:eastAsia="Arial" w:hAnsi="Arial"/>
          <w:color w:val="334155"/>
          <w:sz w:val="20"/>
          <w:szCs w:val="20"/>
        </w:rPr>
        <w:t xml:space="preserve">Deploy Edge Function: fn-score-company (on-demand per symbol)</w:t>
      </w:r>
    </w:p>
    <w:p>
      <w:pPr>
        <w:pStyle w:val="ListParagraph"/>
        <w:numPr>
          <w:ilvl w:val="0"/>
          <w:numId w:val="2"/>
        </w:numPr>
        <w:spacing w:after="60" w:before="40"/>
      </w:pPr>
      <w:r>
        <w:rPr>
          <w:rFonts w:ascii="Arial" w:cs="Arial" w:eastAsia="Arial" w:hAnsi="Arial"/>
          <w:color w:val="334155"/>
          <w:sz w:val="20"/>
          <w:szCs w:val="20"/>
        </w:rPr>
        <w:t xml:space="preserve">Deploy Edge Function: fn-score-all-companies (nightly cron, 02:00 PKT)</w:t>
      </w:r>
    </w:p>
    <w:p>
      <w:pPr>
        <w:pStyle w:val="ListParagraph"/>
        <w:numPr>
          <w:ilvl w:val="0"/>
          <w:numId w:val="2"/>
        </w:numPr>
        <w:spacing w:after="60" w:before="40"/>
      </w:pPr>
      <w:r>
        <w:rPr>
          <w:rFonts w:ascii="Arial" w:cs="Arial" w:eastAsia="Arial" w:hAnsi="Arial"/>
          <w:color w:val="334155"/>
          <w:sz w:val="20"/>
          <w:szCs w:val="20"/>
        </w:rPr>
        <w:t xml:space="preserve">Build /intelligence page: company table ranked by conviction score</w:t>
      </w:r>
    </w:p>
    <w:p>
      <w:pPr>
        <w:pStyle w:val="ListParagraph"/>
        <w:numPr>
          <w:ilvl w:val="0"/>
          <w:numId w:val="2"/>
        </w:numPr>
        <w:spacing w:after="60" w:before="40"/>
      </w:pPr>
      <w:r>
        <w:rPr>
          <w:rFonts w:ascii="Arial" w:cs="Arial" w:eastAsia="Arial" w:hAnsi="Arial"/>
          <w:color w:val="334155"/>
          <w:sz w:val="20"/>
          <w:szCs w:val="20"/>
        </w:rPr>
        <w:t xml:space="preserve">Add conviction score badge to /stocks/[symbol] header</w:t>
      </w:r>
    </w:p>
    <w:p>
      <w:pPr>
        <w:spacing w:after="80" w:before="40"/>
      </w:pPr>
      <w:r>
        <w:rPr>
          <w:rFonts w:ascii="Arial" w:cs="Arial" w:eastAsia="Arial" w:hAnsi="Arial"/>
          <w:b/>
          <w:bCs/>
          <w:color w:val="0A0F1E"/>
          <w:sz w:val="20"/>
          <w:szCs w:val="20"/>
        </w:rPr>
        <w:t xml:space="preserve">Week 2 Gate: </w:t>
      </w:r>
      <w:r>
        <w:rPr>
          <w:rFonts w:ascii="Arial" w:cs="Arial" w:eastAsia="Arial" w:hAnsi="Arial"/>
          <w:color w:val="334155"/>
          <w:sz w:val="20"/>
          <w:szCs w:val="20"/>
        </w:rPr>
        <w:t xml:space="preserve">All companies scored nightly with &lt;5% variance between consecutive runs on same data. Score fully traceable from inputs_snapshot.</w:t>
      </w:r>
    </w:p>
    <w:p>
      <w:pPr>
        <w:spacing w:after="80" w:before="0"/>
      </w:pPr>
    </w:p>
    <w:p>
      <w:pPr>
        <w:pStyle w:val="Heading2"/>
        <w:spacing w:after="100" w:before="280"/>
      </w:pPr>
      <w:r>
        <w:rPr>
          <w:rFonts w:ascii="Arial" w:cs="Arial" w:eastAsia="Arial" w:hAnsi="Arial"/>
          <w:b/>
          <w:bCs/>
          <w:color w:val="4F6AF5"/>
          <w:sz w:val="26"/>
          <w:szCs w:val="26"/>
        </w:rPr>
        <w:t xml:space="preserve">Week 3 — AI Narrative Engine</w:t>
      </w:r>
    </w:p>
    <w:p>
      <w:pPr>
        <w:spacing w:after="120" w:before="60"/>
      </w:pPr>
      <w:r>
        <w:rPr>
          <w:rFonts w:ascii="Arial" w:cs="Arial" w:eastAsia="Arial" w:hAnsi="Arial"/>
          <w:b w:val="false"/>
          <w:bCs w:val="false"/>
          <w:i w:val="false"/>
          <w:iCs w:val="false"/>
          <w:color w:val="334155"/>
          <w:sz w:val="20"/>
          <w:szCs w:val="20"/>
        </w:rPr>
        <w:t xml:space="preserve">Deploy the company narrative generation Edge Function. Wire cache layer. Add narrative panel to stock detail pages.</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Deploy Edge Function: fn-generate-company-narrative (on-demand, cache-aware)</w:t>
      </w:r>
    </w:p>
    <w:p>
      <w:pPr>
        <w:pStyle w:val="ListParagraph"/>
        <w:numPr>
          <w:ilvl w:val="0"/>
          <w:numId w:val="2"/>
        </w:numPr>
        <w:spacing w:after="60" w:before="40"/>
      </w:pPr>
      <w:r>
        <w:rPr>
          <w:rFonts w:ascii="Arial" w:cs="Arial" w:eastAsia="Arial" w:hAnsi="Arial"/>
          <w:color w:val="334155"/>
          <w:sz w:val="20"/>
          <w:szCs w:val="20"/>
        </w:rPr>
        <w:t xml:space="preserve">Implement cache lookup: check ai_outputs for is_current = true before API call</w:t>
      </w:r>
    </w:p>
    <w:p>
      <w:pPr>
        <w:pStyle w:val="ListParagraph"/>
        <w:numPr>
          <w:ilvl w:val="0"/>
          <w:numId w:val="2"/>
        </w:numPr>
        <w:spacing w:after="60" w:before="40"/>
      </w:pPr>
      <w:r>
        <w:rPr>
          <w:rFonts w:ascii="Arial" w:cs="Arial" w:eastAsia="Arial" w:hAnsi="Arial"/>
          <w:color w:val="334155"/>
          <w:sz w:val="20"/>
          <w:szCs w:val="20"/>
        </w:rPr>
        <w:t xml:space="preserve">Implement cache invalidation Postgres trigger on company_intelligence_blocks</w:t>
      </w:r>
    </w:p>
    <w:p>
      <w:pPr>
        <w:pStyle w:val="ListParagraph"/>
        <w:numPr>
          <w:ilvl w:val="0"/>
          <w:numId w:val="2"/>
        </w:numPr>
        <w:spacing w:after="60" w:before="40"/>
      </w:pPr>
      <w:r>
        <w:rPr>
          <w:rFonts w:ascii="Arial" w:cs="Arial" w:eastAsia="Arial" w:hAnsi="Arial"/>
          <w:color w:val="334155"/>
          <w:sz w:val="20"/>
          <w:szCs w:val="20"/>
        </w:rPr>
        <w:t xml:space="preserve">Add AIInsightPanel component to /stocks/[symbol] — shows narrative + freshness timestamp</w:t>
      </w:r>
    </w:p>
    <w:p>
      <w:pPr>
        <w:pStyle w:val="ListParagraph"/>
        <w:numPr>
          <w:ilvl w:val="0"/>
          <w:numId w:val="2"/>
        </w:numPr>
        <w:spacing w:after="60" w:before="40"/>
      </w:pPr>
      <w:r>
        <w:rPr>
          <w:rFonts w:ascii="Arial" w:cs="Arial" w:eastAsia="Arial" w:hAnsi="Arial"/>
          <w:color w:val="334155"/>
          <w:sz w:val="20"/>
          <w:szCs w:val="20"/>
        </w:rPr>
        <w:t xml:space="preserve">Implement conviction interpretation generation (fn-generate-conviction-interpretation)</w:t>
      </w:r>
    </w:p>
    <w:p>
      <w:pPr>
        <w:pStyle w:val="ListParagraph"/>
        <w:numPr>
          <w:ilvl w:val="0"/>
          <w:numId w:val="2"/>
        </w:numPr>
        <w:spacing w:after="60" w:before="40"/>
      </w:pPr>
      <w:r>
        <w:rPr>
          <w:rFonts w:ascii="Arial" w:cs="Arial" w:eastAsia="Arial" w:hAnsi="Arial"/>
          <w:color w:val="334155"/>
          <w:sz w:val="20"/>
          <w:szCs w:val="20"/>
        </w:rPr>
        <w:t xml:space="preserve">Add skeleton loading state to all AI panels</w:t>
      </w:r>
    </w:p>
    <w:p>
      <w:pPr>
        <w:spacing w:after="80" w:before="40"/>
      </w:pPr>
      <w:r>
        <w:rPr>
          <w:rFonts w:ascii="Arial" w:cs="Arial" w:eastAsia="Arial" w:hAnsi="Arial"/>
          <w:b/>
          <w:bCs/>
          <w:color w:val="0A0F1E"/>
          <w:sz w:val="20"/>
          <w:szCs w:val="20"/>
        </w:rPr>
        <w:t xml:space="preserve">Week 3 Gate: </w:t>
      </w:r>
      <w:r>
        <w:rPr>
          <w:rFonts w:ascii="Arial" w:cs="Arial" w:eastAsia="Arial" w:hAnsi="Arial"/>
          <w:color w:val="334155"/>
          <w:sz w:val="20"/>
          <w:szCs w:val="20"/>
        </w:rPr>
        <w:t xml:space="preserve">Company narratives generate correctly for all seeded companies. Cache hit rate measurable. No Buy/Sell/Hold language in any output — validated by automated output scanner.</w:t>
      </w:r>
    </w:p>
    <w:p>
      <w:pPr>
        <w:spacing w:after="80" w:before="0"/>
      </w:pPr>
    </w:p>
    <w:p>
      <w:pPr>
        <w:pStyle w:val="Heading2"/>
        <w:spacing w:after="100" w:before="280"/>
      </w:pPr>
      <w:r>
        <w:rPr>
          <w:rFonts w:ascii="Arial" w:cs="Arial" w:eastAsia="Arial" w:hAnsi="Arial"/>
          <w:b/>
          <w:bCs/>
          <w:color w:val="4F6AF5"/>
          <w:sz w:val="26"/>
          <w:szCs w:val="26"/>
        </w:rPr>
        <w:t xml:space="preserve">Week 4 — Sector + Market Intelligence</w:t>
      </w:r>
    </w:p>
    <w:p>
      <w:pPr>
        <w:spacing w:after="120" w:before="60"/>
      </w:pPr>
      <w:r>
        <w:rPr>
          <w:rFonts w:ascii="Arial" w:cs="Arial" w:eastAsia="Arial" w:hAnsi="Arial"/>
          <w:b w:val="false"/>
          <w:bCs w:val="false"/>
          <w:i w:val="false"/>
          <w:iCs w:val="false"/>
          <w:color w:val="334155"/>
          <w:sz w:val="20"/>
          <w:szCs w:val="20"/>
        </w:rPr>
        <w:t xml:space="preserve">Deploy sector brief generation. Automate daily market snapshots. Replace static sector intelligence_summary with dynamic AI content.</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Deploy Edge Function: fn-generate-sector-brief (weekly cron per active sector)</w:t>
      </w:r>
    </w:p>
    <w:p>
      <w:pPr>
        <w:pStyle w:val="ListParagraph"/>
        <w:numPr>
          <w:ilvl w:val="0"/>
          <w:numId w:val="2"/>
        </w:numPr>
        <w:spacing w:after="60" w:before="40"/>
      </w:pPr>
      <w:r>
        <w:rPr>
          <w:rFonts w:ascii="Arial" w:cs="Arial" w:eastAsia="Arial" w:hAnsi="Arial"/>
          <w:color w:val="334155"/>
          <w:sz w:val="20"/>
          <w:szCs w:val="20"/>
        </w:rPr>
        <w:t xml:space="preserve">Update sectors table: intelligence_summary replaced by AI-generated content from ai_outputs</w:t>
      </w:r>
    </w:p>
    <w:p>
      <w:pPr>
        <w:pStyle w:val="ListParagraph"/>
        <w:numPr>
          <w:ilvl w:val="0"/>
          <w:numId w:val="2"/>
        </w:numPr>
        <w:spacing w:after="60" w:before="40"/>
      </w:pPr>
      <w:r>
        <w:rPr>
          <w:rFonts w:ascii="Arial" w:cs="Arial" w:eastAsia="Arial" w:hAnsi="Arial"/>
          <w:color w:val="334155"/>
          <w:sz w:val="20"/>
          <w:szCs w:val="20"/>
        </w:rPr>
        <w:t xml:space="preserve">Deploy Edge Function: fn-generate-market-summary (daily cron: 08:30 + 15:30 + 18:00 PKT)</w:t>
      </w:r>
    </w:p>
    <w:p>
      <w:pPr>
        <w:pStyle w:val="ListParagraph"/>
        <w:numPr>
          <w:ilvl w:val="0"/>
          <w:numId w:val="2"/>
        </w:numPr>
        <w:spacing w:after="60" w:before="40"/>
      </w:pPr>
      <w:r>
        <w:rPr>
          <w:rFonts w:ascii="Arial" w:cs="Arial" w:eastAsia="Arial" w:hAnsi="Arial"/>
          <w:color w:val="334155"/>
          <w:sz w:val="20"/>
          <w:szCs w:val="20"/>
        </w:rPr>
        <w:t xml:space="preserve">Seed sector_macro_drivers for all 7 active sectors</w:t>
      </w:r>
    </w:p>
    <w:p>
      <w:pPr>
        <w:pStyle w:val="ListParagraph"/>
        <w:numPr>
          <w:ilvl w:val="0"/>
          <w:numId w:val="2"/>
        </w:numPr>
        <w:spacing w:after="60" w:before="40"/>
      </w:pPr>
      <w:r>
        <w:rPr>
          <w:rFonts w:ascii="Arial" w:cs="Arial" w:eastAsia="Arial" w:hAnsi="Arial"/>
          <w:color w:val="334155"/>
          <w:sz w:val="20"/>
          <w:szCs w:val="20"/>
        </w:rPr>
        <w:t xml:space="preserve">Update /market dashboard to show daily snapshot card</w:t>
      </w:r>
    </w:p>
    <w:p>
      <w:pPr>
        <w:pStyle w:val="ListParagraph"/>
        <w:numPr>
          <w:ilvl w:val="0"/>
          <w:numId w:val="2"/>
        </w:numPr>
        <w:spacing w:after="60" w:before="40"/>
      </w:pPr>
      <w:r>
        <w:rPr>
          <w:rFonts w:ascii="Arial" w:cs="Arial" w:eastAsia="Arial" w:hAnsi="Arial"/>
          <w:color w:val="334155"/>
          <w:sz w:val="20"/>
          <w:szCs w:val="20"/>
        </w:rPr>
        <w:t xml:space="preserve">Implement short-form WhatsApp formatter (text output from ai_daily_snapshots)</w:t>
      </w:r>
    </w:p>
    <w:p>
      <w:pPr>
        <w:spacing w:after="80" w:before="40"/>
      </w:pPr>
      <w:r>
        <w:rPr>
          <w:rFonts w:ascii="Arial" w:cs="Arial" w:eastAsia="Arial" w:hAnsi="Arial"/>
          <w:b/>
          <w:bCs/>
          <w:color w:val="0A0F1E"/>
          <w:sz w:val="20"/>
          <w:szCs w:val="20"/>
        </w:rPr>
        <w:t xml:space="preserve">Week 4 Gate: </w:t>
      </w:r>
      <w:r>
        <w:rPr>
          <w:rFonts w:ascii="Arial" w:cs="Arial" w:eastAsia="Arial" w:hAnsi="Arial"/>
          <w:color w:val="334155"/>
          <w:sz w:val="20"/>
          <w:szCs w:val="20"/>
        </w:rPr>
        <w:t xml:space="preserve">All sector pages showing dynamic AI briefs. Market dashboard showing daily snapshots. WhatsApp format validated manually.</w:t>
      </w:r>
    </w:p>
    <w:p>
      <w:pPr>
        <w:spacing w:after="80" w:before="0"/>
      </w:pPr>
    </w:p>
    <w:p>
      <w:pPr>
        <w:pStyle w:val="Heading2"/>
        <w:spacing w:after="100" w:before="280"/>
      </w:pPr>
      <w:r>
        <w:rPr>
          <w:rFonts w:ascii="Arial" w:cs="Arial" w:eastAsia="Arial" w:hAnsi="Arial"/>
          <w:b/>
          <w:bCs/>
          <w:color w:val="4F6AF5"/>
          <w:sz w:val="26"/>
          <w:szCs w:val="26"/>
        </w:rPr>
        <w:t xml:space="preserve">Week 5 — Event-Driven Intelligence</w:t>
      </w:r>
    </w:p>
    <w:p>
      <w:pPr>
        <w:spacing w:after="120" w:before="60"/>
      </w:pPr>
      <w:r>
        <w:rPr>
          <w:rFonts w:ascii="Arial" w:cs="Arial" w:eastAsia="Arial" w:hAnsi="Arial"/>
          <w:b w:val="false"/>
          <w:bCs w:val="false"/>
          <w:i w:val="false"/>
          <w:iCs w:val="false"/>
          <w:color w:val="334155"/>
          <w:sz w:val="20"/>
          <w:szCs w:val="20"/>
        </w:rPr>
        <w:t xml:space="preserve">Implement Postgres triggers on source tables. Deploy alert generation Edge Function. Wire alert display into dashboard.</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Deploy Postgres trigger: on conviction_scores UPDATE → INSERT into ai_event_triggers</w:t>
      </w:r>
    </w:p>
    <w:p>
      <w:pPr>
        <w:pStyle w:val="ListParagraph"/>
        <w:numPr>
          <w:ilvl w:val="0"/>
          <w:numId w:val="2"/>
        </w:numPr>
        <w:spacing w:after="60" w:before="40"/>
      </w:pPr>
      <w:r>
        <w:rPr>
          <w:rFonts w:ascii="Arial" w:cs="Arial" w:eastAsia="Arial" w:hAnsi="Arial"/>
          <w:color w:val="334155"/>
          <w:sz w:val="20"/>
          <w:szCs w:val="20"/>
        </w:rPr>
        <w:t xml:space="preserve">Deploy Postgres trigger: on company_intelligence_blocks INSERT (high severity) → INSERT into ai_event_triggers</w:t>
      </w:r>
    </w:p>
    <w:p>
      <w:pPr>
        <w:pStyle w:val="ListParagraph"/>
        <w:numPr>
          <w:ilvl w:val="0"/>
          <w:numId w:val="2"/>
        </w:numPr>
        <w:spacing w:after="60" w:before="40"/>
      </w:pPr>
      <w:r>
        <w:rPr>
          <w:rFonts w:ascii="Arial" w:cs="Arial" w:eastAsia="Arial" w:hAnsi="Arial"/>
          <w:color w:val="334155"/>
          <w:sz w:val="20"/>
          <w:szCs w:val="20"/>
        </w:rPr>
        <w:t xml:space="preserve">Deploy Postgres trigger: on company_intelligence_blocks INSERT (near catalyst) → INSERT into ai_event_triggers</w:t>
      </w:r>
    </w:p>
    <w:p>
      <w:pPr>
        <w:pStyle w:val="ListParagraph"/>
        <w:numPr>
          <w:ilvl w:val="0"/>
          <w:numId w:val="2"/>
        </w:numPr>
        <w:spacing w:after="60" w:before="40"/>
      </w:pPr>
      <w:r>
        <w:rPr>
          <w:rFonts w:ascii="Arial" w:cs="Arial" w:eastAsia="Arial" w:hAnsi="Arial"/>
          <w:color w:val="334155"/>
          <w:sz w:val="20"/>
          <w:szCs w:val="20"/>
        </w:rPr>
        <w:t xml:space="preserve">Deploy Edge Function: fn-process-event-triggers (polls ai_event_triggers every 5 minutes)</w:t>
      </w:r>
    </w:p>
    <w:p>
      <w:pPr>
        <w:pStyle w:val="ListParagraph"/>
        <w:numPr>
          <w:ilvl w:val="0"/>
          <w:numId w:val="2"/>
        </w:numPr>
        <w:spacing w:after="60" w:before="40"/>
      </w:pPr>
      <w:r>
        <w:rPr>
          <w:rFonts w:ascii="Arial" w:cs="Arial" w:eastAsia="Arial" w:hAnsi="Arial"/>
          <w:color w:val="334155"/>
          <w:sz w:val="20"/>
          <w:szCs w:val="20"/>
        </w:rPr>
        <w:t xml:space="preserve">Deploy Edge Function: fn-generate-alert (called by fn-process-event-triggers)</w:t>
      </w:r>
    </w:p>
    <w:p>
      <w:pPr>
        <w:pStyle w:val="ListParagraph"/>
        <w:numPr>
          <w:ilvl w:val="0"/>
          <w:numId w:val="2"/>
        </w:numPr>
        <w:spacing w:after="60" w:before="40"/>
      </w:pPr>
      <w:r>
        <w:rPr>
          <w:rFonts w:ascii="Arial" w:cs="Arial" w:eastAsia="Arial" w:hAnsi="Arial"/>
          <w:color w:val="334155"/>
          <w:sz w:val="20"/>
          <w:szCs w:val="20"/>
        </w:rPr>
        <w:t xml:space="preserve">Implement suppression logic in fn-process-event-triggers</w:t>
      </w:r>
    </w:p>
    <w:p>
      <w:pPr>
        <w:pStyle w:val="ListParagraph"/>
        <w:numPr>
          <w:ilvl w:val="0"/>
          <w:numId w:val="2"/>
        </w:numPr>
        <w:spacing w:after="60" w:before="40"/>
      </w:pPr>
      <w:r>
        <w:rPr>
          <w:rFonts w:ascii="Arial" w:cs="Arial" w:eastAsia="Arial" w:hAnsi="Arial"/>
          <w:color w:val="334155"/>
          <w:sz w:val="20"/>
          <w:szCs w:val="20"/>
        </w:rPr>
        <w:t xml:space="preserve">Add alert notification strip to /market and /intelligence pages</w:t>
      </w:r>
    </w:p>
    <w:p>
      <w:pPr>
        <w:spacing w:after="80" w:before="40"/>
      </w:pPr>
      <w:r>
        <w:rPr>
          <w:rFonts w:ascii="Arial" w:cs="Arial" w:eastAsia="Arial" w:hAnsi="Arial"/>
          <w:b/>
          <w:bCs/>
          <w:color w:val="0A0F1E"/>
          <w:sz w:val="20"/>
          <w:szCs w:val="20"/>
        </w:rPr>
        <w:t xml:space="preserve">Week 5 Gate: </w:t>
      </w:r>
      <w:r>
        <w:rPr>
          <w:rFonts w:ascii="Arial" w:cs="Arial" w:eastAsia="Arial" w:hAnsi="Arial"/>
          <w:color w:val="334155"/>
          <w:sz w:val="20"/>
          <w:szCs w:val="20"/>
        </w:rPr>
        <w:t xml:space="preserve">End-to-end test: insert high-severity risk block → event trigger created → alert generated → alert visible on dashboard. Suppression logic verified: second identical event within 24h suppressed.</w:t>
      </w:r>
    </w:p>
    <w:p>
      <w:pPr>
        <w:spacing w:after="80" w:before="0"/>
      </w:pPr>
    </w:p>
    <w:p>
      <w:pPr>
        <w:pStyle w:val="Heading2"/>
        <w:spacing w:after="100" w:before="280"/>
      </w:pPr>
      <w:r>
        <w:rPr>
          <w:rFonts w:ascii="Arial" w:cs="Arial" w:eastAsia="Arial" w:hAnsi="Arial"/>
          <w:b/>
          <w:bCs/>
          <w:color w:val="4F6AF5"/>
          <w:sz w:val="26"/>
          <w:szCs w:val="26"/>
        </w:rPr>
        <w:t xml:space="preserve">Week 6 — Validation and Optimization</w:t>
      </w:r>
    </w:p>
    <w:p>
      <w:pPr>
        <w:spacing w:after="120" w:before="60"/>
      </w:pPr>
      <w:r>
        <w:rPr>
          <w:rFonts w:ascii="Arial" w:cs="Arial" w:eastAsia="Arial" w:hAnsi="Arial"/>
          <w:b w:val="false"/>
          <w:bCs w:val="false"/>
          <w:i w:val="false"/>
          <w:iCs w:val="false"/>
          <w:color w:val="334155"/>
          <w:sz w:val="20"/>
          <w:szCs w:val="20"/>
        </w:rPr>
        <w:t xml:space="preserve">No new features. Full validation pass across the system, cost monitoring, performance optimization, and documentation.</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Output quality review: manually review 20 AI-generated narratives for accuracy, language quality, and constraint compliance</w:t>
      </w:r>
    </w:p>
    <w:p>
      <w:pPr>
        <w:pStyle w:val="ListParagraph"/>
        <w:numPr>
          <w:ilvl w:val="0"/>
          <w:numId w:val="2"/>
        </w:numPr>
        <w:spacing w:after="60" w:before="40"/>
      </w:pPr>
      <w:r>
        <w:rPr>
          <w:rFonts w:ascii="Arial" w:cs="Arial" w:eastAsia="Arial" w:hAnsi="Arial"/>
          <w:color w:val="334155"/>
          <w:sz w:val="20"/>
          <w:szCs w:val="20"/>
        </w:rPr>
        <w:t xml:space="preserve">Automated output scanner: check all ai_outputs.raw_text for prohibited language (Buy/Sell/Hold, target price, etc.)</w:t>
      </w:r>
    </w:p>
    <w:p>
      <w:pPr>
        <w:pStyle w:val="ListParagraph"/>
        <w:numPr>
          <w:ilvl w:val="0"/>
          <w:numId w:val="2"/>
        </w:numPr>
        <w:spacing w:after="60" w:before="40"/>
      </w:pPr>
      <w:r>
        <w:rPr>
          <w:rFonts w:ascii="Arial" w:cs="Arial" w:eastAsia="Arial" w:hAnsi="Arial"/>
          <w:color w:val="334155"/>
          <w:sz w:val="20"/>
          <w:szCs w:val="20"/>
        </w:rPr>
        <w:t xml:space="preserve">Token cost analysis: compute daily average token cost, project to monthly at scale</w:t>
      </w:r>
    </w:p>
    <w:p>
      <w:pPr>
        <w:pStyle w:val="ListParagraph"/>
        <w:numPr>
          <w:ilvl w:val="0"/>
          <w:numId w:val="2"/>
        </w:numPr>
        <w:spacing w:after="60" w:before="40"/>
      </w:pPr>
      <w:r>
        <w:rPr>
          <w:rFonts w:ascii="Arial" w:cs="Arial" w:eastAsia="Arial" w:hAnsi="Arial"/>
          <w:color w:val="334155"/>
          <w:sz w:val="20"/>
          <w:szCs w:val="20"/>
        </w:rPr>
        <w:t xml:space="preserve">Cache hit rate measurement: target &gt;70% across all output types</w:t>
      </w:r>
    </w:p>
    <w:p>
      <w:pPr>
        <w:pStyle w:val="ListParagraph"/>
        <w:numPr>
          <w:ilvl w:val="0"/>
          <w:numId w:val="2"/>
        </w:numPr>
        <w:spacing w:after="60" w:before="40"/>
      </w:pPr>
      <w:r>
        <w:rPr>
          <w:rFonts w:ascii="Arial" w:cs="Arial" w:eastAsia="Arial" w:hAnsi="Arial"/>
          <w:color w:val="334155"/>
          <w:sz w:val="20"/>
          <w:szCs w:val="20"/>
        </w:rPr>
        <w:t xml:space="preserve">Performance: all conviction score queries &lt; 200ms, all AI panel loads with cache &lt; 100ms</w:t>
      </w:r>
    </w:p>
    <w:p>
      <w:pPr>
        <w:pStyle w:val="ListParagraph"/>
        <w:numPr>
          <w:ilvl w:val="0"/>
          <w:numId w:val="2"/>
        </w:numPr>
        <w:spacing w:after="60" w:before="40"/>
      </w:pPr>
      <w:r>
        <w:rPr>
          <w:rFonts w:ascii="Arial" w:cs="Arial" w:eastAsia="Arial" w:hAnsi="Arial"/>
          <w:color w:val="334155"/>
          <w:sz w:val="20"/>
          <w:szCs w:val="20"/>
        </w:rPr>
        <w:t xml:space="preserve">Score auditability test: for 5 random companies, reconstruct the conviction score from inputs_snapshot only — verify it matches stored score</w:t>
      </w:r>
    </w:p>
    <w:p>
      <w:pPr>
        <w:pStyle w:val="ListParagraph"/>
        <w:numPr>
          <w:ilvl w:val="0"/>
          <w:numId w:val="2"/>
        </w:numPr>
        <w:spacing w:after="60" w:before="40"/>
      </w:pPr>
      <w:r>
        <w:rPr>
          <w:rFonts w:ascii="Arial" w:cs="Arial" w:eastAsia="Arial" w:hAnsi="Arial"/>
          <w:color w:val="334155"/>
          <w:sz w:val="20"/>
          <w:szCs w:val="20"/>
        </w:rPr>
        <w:t xml:space="preserve">Generate TypeScript types from DB schema (supabase gen types)</w:t>
      </w:r>
    </w:p>
    <w:p>
      <w:pPr>
        <w:pStyle w:val="ListParagraph"/>
        <w:numPr>
          <w:ilvl w:val="0"/>
          <w:numId w:val="2"/>
        </w:numPr>
        <w:spacing w:after="60" w:before="40"/>
      </w:pPr>
      <w:r>
        <w:rPr>
          <w:rFonts w:ascii="Arial" w:cs="Arial" w:eastAsia="Arial" w:hAnsi="Arial"/>
          <w:color w:val="334155"/>
          <w:sz w:val="20"/>
          <w:szCs w:val="20"/>
        </w:rPr>
        <w:t xml:space="preserve">Update CLAUDE.md with new architecture decisions</w:t>
      </w:r>
    </w:p>
    <w:p>
      <w:pPr>
        <w:spacing w:after="80" w:before="40"/>
      </w:pPr>
      <w:r>
        <w:rPr>
          <w:rFonts w:ascii="Arial" w:cs="Arial" w:eastAsia="Arial" w:hAnsi="Arial"/>
          <w:b/>
          <w:bCs/>
          <w:color w:val="0A0F1E"/>
          <w:sz w:val="20"/>
          <w:szCs w:val="20"/>
        </w:rPr>
        <w:t xml:space="preserve">Week 6 Gate: </w:t>
      </w:r>
      <w:r>
        <w:rPr>
          <w:rFonts w:ascii="Arial" w:cs="Arial" w:eastAsia="Arial" w:hAnsi="Arial"/>
          <w:color w:val="334155"/>
          <w:sz w:val="20"/>
          <w:szCs w:val="20"/>
        </w:rPr>
        <w:t xml:space="preserve">All success criteria below met. Architecture signed off for Phase 2 planning.</w:t>
      </w:r>
    </w:p>
    <w:p>
      <w:pPr>
        <w:spacing w:after="80" w:before="0"/>
      </w:pPr>
    </w:p>
    <w:p>
      <w:pPr>
        <w:pStyle w:val="Heading2"/>
        <w:spacing w:after="100" w:before="280"/>
      </w:pPr>
      <w:r>
        <w:rPr>
          <w:rFonts w:ascii="Arial" w:cs="Arial" w:eastAsia="Arial" w:hAnsi="Arial"/>
          <w:b/>
          <w:bCs/>
          <w:color w:val="4F6AF5"/>
          <w:sz w:val="26"/>
          <w:szCs w:val="26"/>
        </w:rPr>
        <w:t xml:space="preserve">12.1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1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45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Method</w:t>
            </w:r>
          </w:p>
        </w:tc>
      </w:tr>
      <w:tr>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Score reproducibility</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&lt; 5% variance</w:t>
            </w:r>
          </w:p>
        </w:tc>
        <w:tc>
          <w:tcPr>
            <w:tcW w:type="dxa" w:w="4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Re-run scoring on same inputs_snapshot, compare results</w:t>
            </w:r>
          </w:p>
        </w:tc>
      </w:tr>
      <w:tr>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Score auditability</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100% traceable</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Every sub-score explained from stored inputs_snapshot</w:t>
            </w:r>
          </w:p>
        </w:tc>
      </w:tr>
      <w:tr>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 cache hit rate</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&gt; 70%</w:t>
            </w:r>
          </w:p>
        </w:tc>
        <w:tc>
          <w:tcPr>
            <w:tcW w:type="dxa" w:w="4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ai_outputs query: cache hits / total requests</w:t>
            </w:r>
          </w:p>
        </w:tc>
      </w:tr>
      <w:tr>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No prohibited language</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0 violations</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Automated scanner on all ai_outputs.raw_text</w:t>
            </w:r>
          </w:p>
        </w:tc>
      </w:tr>
      <w:tr>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Alert false positive rate</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&lt; 20%</w:t>
            </w:r>
          </w:p>
        </w:tc>
        <w:tc>
          <w:tcPr>
            <w:tcW w:type="dxa" w:w="4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Manual review of 30 alerts: correct vs incorrect trigger</w:t>
            </w:r>
          </w:p>
        </w:tc>
      </w:tr>
      <w:tr>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Daily token cost</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&lt; $15/day</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Sum of ai_outputs.token_cost grouped by date</w:t>
            </w:r>
          </w:p>
        </w:tc>
      </w:tr>
      <w:tr>
        <w:tc>
          <w:tcPr>
            <w:tcW w:type="dxa" w:w="30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Narrative panel load time</w:t>
            </w:r>
          </w:p>
        </w:tc>
        <w:tc>
          <w:tcPr>
            <w:tcW w:type="dxa" w:w="1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&lt; 100ms (cached)</w:t>
            </w:r>
          </w:p>
        </w:tc>
        <w:tc>
          <w:tcPr>
            <w:tcW w:type="dxa" w:w="4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Vercel function response time monitoring</w:t>
            </w:r>
          </w:p>
        </w:tc>
      </w:tr>
      <w:tr>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 score latency</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&lt; 200ms</w:t>
            </w:r>
          </w:p>
        </w:tc>
        <w:tc>
          <w:tcPr>
            <w:tcW w:type="dxa" w:w="4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DB query timing on conviction_scores with index</w:t>
            </w:r>
          </w:p>
        </w:tc>
      </w:tr>
    </w:tbl>
    <w:p>
      <w:pPr>
        <w:spacing w:after="80" w:before="0"/>
      </w:pPr>
    </w:p>
    <w:p>
      <w:pPr>
        <w:pStyle w:val="Heading2"/>
        <w:spacing w:after="100" w:before="280"/>
      </w:pPr>
      <w:r>
        <w:rPr>
          <w:rFonts w:ascii="Arial" w:cs="Arial" w:eastAsia="Arial" w:hAnsi="Arial"/>
          <w:b/>
          <w:bCs/>
          <w:color w:val="4F6AF5"/>
          <w:sz w:val="26"/>
          <w:szCs w:val="26"/>
        </w:rPr>
        <w:t xml:space="preserve">12.2 Future Expansion Hooks</w:t>
      </w:r>
    </w:p>
    <w:p>
      <w:pPr>
        <w:spacing w:after="120" w:before="60"/>
      </w:pPr>
      <w:r>
        <w:rPr>
          <w:rFonts w:ascii="Arial" w:cs="Arial" w:eastAsia="Arial" w:hAnsi="Arial"/>
          <w:b w:val="false"/>
          <w:bCs w:val="false"/>
          <w:i w:val="false"/>
          <w:iCs w:val="false"/>
          <w:color w:val="334155"/>
          <w:sz w:val="20"/>
          <w:szCs w:val="20"/>
        </w:rPr>
        <w:t xml:space="preserve">The architecture is designed with explicit extension points for future capabilities. None of these require structural changes to the Phase 1 system — they are additive layers built on top of the existing infrastructure.</w:t>
      </w:r>
    </w:p>
    <w:p>
      <w:pPr>
        <w:spacing w:after="60" w:before="0"/>
      </w:pPr>
    </w:p>
    <w:p>
      <w:pPr>
        <w:pStyle w:val="ListParagraph"/>
        <w:numPr>
          <w:ilvl w:val="0"/>
          <w:numId w:val="2"/>
        </w:numPr>
        <w:spacing w:after="60" w:before="40"/>
      </w:pPr>
      <w:r>
        <w:rPr>
          <w:rFonts w:ascii="Arial" w:cs="Arial" w:eastAsia="Arial" w:hAnsi="Arial"/>
          <w:color w:val="334155"/>
          <w:sz w:val="20"/>
          <w:szCs w:val="20"/>
        </w:rPr>
        <w:t xml:space="preserve">Technical Intelligence (Phase 2): technical_indicators table is already created. Activate by setting Technical Timing Score weight from 0% to 10% in the scoring engine.</w:t>
      </w:r>
    </w:p>
    <w:p>
      <w:pPr>
        <w:pStyle w:val="ListParagraph"/>
        <w:numPr>
          <w:ilvl w:val="0"/>
          <w:numId w:val="2"/>
        </w:numPr>
        <w:spacing w:after="60" w:before="40"/>
      </w:pPr>
      <w:r>
        <w:rPr>
          <w:rFonts w:ascii="Arial" w:cs="Arial" w:eastAsia="Arial" w:hAnsi="Arial"/>
          <w:color w:val="334155"/>
          <w:sz w:val="20"/>
          <w:szCs w:val="20"/>
        </w:rPr>
        <w:t xml:space="preserve">Peer Comparison Narratives (Phase 2): peer_comparison output_type is already in the ai_prompt_templates schema. Deploy fn-generate-peer-comparison and wire to /stocks/[symbol] peers section.</w:t>
      </w:r>
    </w:p>
    <w:p>
      <w:pPr>
        <w:pStyle w:val="ListParagraph"/>
        <w:numPr>
          <w:ilvl w:val="0"/>
          <w:numId w:val="2"/>
        </w:numPr>
        <w:spacing w:after="60" w:before="40"/>
      </w:pPr>
      <w:r>
        <w:rPr>
          <w:rFonts w:ascii="Arial" w:cs="Arial" w:eastAsia="Arial" w:hAnsi="Arial"/>
          <w:color w:val="334155"/>
          <w:sz w:val="20"/>
          <w:szCs w:val="20"/>
        </w:rPr>
        <w:t xml:space="preserve">Institutional Workspace (Phase 3): a private workspace layer for deeper analysis, portfolio-level conviction view, and analyst annotation on top of the existing intelligence layer.</w:t>
      </w:r>
    </w:p>
    <w:p>
      <w:pPr>
        <w:pStyle w:val="ListParagraph"/>
        <w:numPr>
          <w:ilvl w:val="0"/>
          <w:numId w:val="2"/>
        </w:numPr>
        <w:spacing w:after="60" w:before="40"/>
      </w:pPr>
      <w:r>
        <w:rPr>
          <w:rFonts w:ascii="Arial" w:cs="Arial" w:eastAsia="Arial" w:hAnsi="Arial"/>
          <w:color w:val="334155"/>
          <w:sz w:val="20"/>
          <w:szCs w:val="20"/>
        </w:rPr>
        <w:t xml:space="preserve">Earnings Model Integration (Phase 3): when financial model data (consensus estimates, scenario analysis) is available, it integrates directly as a new context block type and a new section in the company narrative prompt.</w:t>
      </w:r>
    </w:p>
    <w:p>
      <w:pPr>
        <w:pStyle w:val="ListParagraph"/>
        <w:numPr>
          <w:ilvl w:val="0"/>
          <w:numId w:val="2"/>
        </w:numPr>
        <w:spacing w:after="60" w:before="40"/>
      </w:pPr>
      <w:r>
        <w:rPr>
          <w:rFonts w:ascii="Arial" w:cs="Arial" w:eastAsia="Arial" w:hAnsi="Arial"/>
          <w:color w:val="334155"/>
          <w:sz w:val="20"/>
          <w:szCs w:val="20"/>
        </w:rPr>
        <w:t xml:space="preserve">WhatsApp Automation (Phase 2): short-form ai_daily_snapshots are already formatted for WhatsApp. Automation requires only a distribution connector — the content pipeline is already built.</w:t>
      </w:r>
    </w:p>
    <w:p>
      <w:pPr>
        <w:spacing w:after="80" w:before="0"/>
      </w:pPr>
    </w:p>
    <w:p>
      <w:pPr>
        <w:pStyle w:val="Heading2"/>
        <w:spacing w:after="100" w:before="280"/>
      </w:pPr>
      <w:r>
        <w:rPr>
          <w:rFonts w:ascii="Arial" w:cs="Arial" w:eastAsia="Arial" w:hAnsi="Arial"/>
          <w:b/>
          <w:bCs/>
          <w:color w:val="4F6AF5"/>
          <w:sz w:val="26"/>
          <w:szCs w:val="26"/>
        </w:rPr>
        <w:t xml:space="preserve">12.3 Edge Function Deployment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3560"/>
      </w:tblGrid>
      <w:tr>
        <w:trPr>
          <w:tblHeader/>
        </w:trPr>
        <w:tc>
          <w:tcPr>
            <w:tcW w:type="dxa" w:w="2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Edge Function</w:t>
            </w:r>
          </w:p>
        </w:tc>
        <w:tc>
          <w:tcPr>
            <w:tcW w:type="dxa" w:w="22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80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Week</w:t>
            </w:r>
          </w:p>
        </w:tc>
        <w:tc>
          <w:tcPr>
            <w:tcW w:type="dxa" w:w="3560"/>
            <w:tcBorders>
              <w:top w:val="single" w:color="CBD5E1" w:sz="2"/>
              <w:left w:val="single" w:color="CBD5E1" w:sz="2"/>
              <w:bottom w:val="single" w:color="CBD5E1" w:sz="2"/>
              <w:right w:val="single" w:color="CBD5E1" w:sz="2"/>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fn-score-company</w:t>
            </w:r>
          </w:p>
        </w:tc>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On-demand HTTP</w:t>
            </w:r>
          </w:p>
        </w:tc>
        <w:tc>
          <w:tcPr>
            <w:tcW w:type="dxa" w:w="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 2</w:t>
            </w:r>
          </w:p>
        </w:tc>
        <w:tc>
          <w:tcPr>
            <w:tcW w:type="dxa" w:w="3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financial_metrics, company_intelligence_blocks, sector_drivers</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fn-score-all-companies</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Nightly cron 02:00 PKT</w:t>
            </w:r>
          </w:p>
        </w:tc>
        <w:tc>
          <w:tcPr>
            <w:tcW w:type="dxa" w:w="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Week 2</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fn-score-company (calls per company)</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fn-generate-company-narrative</w:t>
            </w:r>
          </w:p>
        </w:tc>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On-demand + cache miss</w:t>
            </w:r>
          </w:p>
        </w:tc>
        <w:tc>
          <w:tcPr>
            <w:tcW w:type="dxa" w:w="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 3</w:t>
            </w:r>
          </w:p>
        </w:tc>
        <w:tc>
          <w:tcPr>
            <w:tcW w:type="dxa" w:w="3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conviction_scores, company_intelligence_blocks, ai_prompt_templates</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fn-generate-conviction-interpretation</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On tier change</w:t>
            </w:r>
          </w:p>
        </w:tc>
        <w:tc>
          <w:tcPr>
            <w:tcW w:type="dxa" w:w="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Week 3</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conviction_scores, ai_prompt_templates</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fn-generate-sector-brief</w:t>
            </w:r>
          </w:p>
        </w:tc>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Weekly cron Sunday 06:00 PKT</w:t>
            </w:r>
          </w:p>
        </w:tc>
        <w:tc>
          <w:tcPr>
            <w:tcW w:type="dxa" w:w="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 4</w:t>
            </w:r>
          </w:p>
        </w:tc>
        <w:tc>
          <w:tcPr>
            <w:tcW w:type="dxa" w:w="3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sector_drivers, sector_macro_drivers, ai_prompt_templates</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fn-generate-market-summary</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Daily cron 08:30/15:30/18:00</w:t>
            </w:r>
          </w:p>
        </w:tc>
        <w:tc>
          <w:tcPr>
            <w:tcW w:type="dxa" w:w="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Week 4</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market_index, daily_prices, conviction_scores, ai_prompt_templates</w:t>
            </w:r>
          </w:p>
        </w:tc>
      </w:tr>
      <w:tr>
        <w:tc>
          <w:tcPr>
            <w:tcW w:type="dxa" w:w="2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fn-process-event-triggers</w:t>
            </w:r>
          </w:p>
        </w:tc>
        <w:tc>
          <w:tcPr>
            <w:tcW w:type="dxa" w:w="22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Every 5 minutes cron</w:t>
            </w:r>
          </w:p>
        </w:tc>
        <w:tc>
          <w:tcPr>
            <w:tcW w:type="dxa" w:w="80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Week 5</w:t>
            </w:r>
          </w:p>
        </w:tc>
        <w:tc>
          <w:tcPr>
            <w:tcW w:type="dxa" w:w="3560"/>
            <w:tcBorders>
              <w:top w:val="single" w:color="CBD5E1" w:sz="2"/>
              <w:left w:val="single" w:color="CBD5E1" w:sz="2"/>
              <w:bottom w:val="single" w:color="CBD5E1" w:sz="2"/>
              <w:right w:val="single" w:color="CBD5E1" w:sz="2"/>
            </w:tcBorders>
            <w:shd w:fill="F1F5F9" w:val="clear"/>
            <w:tcMar>
              <w:top w:type="dxa" w:w="80"/>
              <w:left w:type="dxa" w:w="120"/>
              <w:bottom w:type="dxa" w:w="80"/>
              <w:right w:type="dxa" w:w="120"/>
            </w:tcMar>
          </w:tcPr>
          <w:p>
            <w:r>
              <w:rPr>
                <w:rFonts w:ascii="Arial" w:cs="Arial" w:eastAsia="Arial" w:hAnsi="Arial"/>
                <w:color w:val="334155"/>
                <w:sz w:val="18"/>
                <w:szCs w:val="18"/>
              </w:rPr>
              <w:t xml:space="preserve">ai_event_triggers, alerts (suppression check)</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fn-generate-alert</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Called by fn-process-event-triggers</w:t>
            </w:r>
          </w:p>
        </w:tc>
        <w:tc>
          <w:tcPr>
            <w:tcW w:type="dxa" w:w="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Week 5</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34155"/>
                <w:sz w:val="18"/>
                <w:szCs w:val="18"/>
              </w:rPr>
              <w:t xml:space="preserve">ai_event_triggers, ai_prompt_templates</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6"/>
        <w:szCs w:val="16"/>
      </w:rPr>
      <w:t xml:space="preserve">Confidential  |  AHM Platform  |  Not for Distribution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color w:val="64748B"/>
        <w:sz w:val="16"/>
        <w:szCs w:val="16"/>
      </w:rPr>
      <w:t xml:space="preserve">AHM Platform  |  AI Intelligence Infrastructure  |  Sprint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0F1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F6AF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2026-05-19T18:31:06.082Z</dcterms:created>
  <dcterms:modified xsi:type="dcterms:W3CDTF">2026-05-19T18:31:06.083Z</dcterms:modified>
</cp:coreProperties>
</file>

<file path=docProps/custom.xml><?xml version="1.0" encoding="utf-8"?>
<Properties xmlns="http://schemas.openxmlformats.org/officeDocument/2006/custom-properties" xmlns:vt="http://schemas.openxmlformats.org/officeDocument/2006/docPropsVTypes"/>
</file>