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59.png" ContentType="image/png"/>
  <Override PartName="/word/media/rId64.png" ContentType="image/png"/>
  <Override PartName="/word/media/rId75.png" ContentType="image/png"/>
  <Override PartName="/word/media/rId82.png" ContentType="image/png"/>
  <Override PartName="/word/media/rId41.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Right Lever: School Attainment, Open Data Analytics and Local Education Policy in England</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2026-08-19</w:t>
      </w:r>
    </w:p>
    <w:p>
      <w:pPr>
        <w:pStyle w:val="AbstractTitle"/>
      </w:pPr>
      <w:r>
        <w:t xml:space="preserve">Abstract</w:t>
      </w:r>
    </w:p>
    <w:p>
      <w:pPr>
        <w:pStyle w:val="Abstrac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w:t>
      </w:r>
      <w:r>
        <w:t xml:space="preserve"> </w:t>
      </w:r>
      <w:r>
        <w:rPr>
          <w:i/>
          <w:iCs/>
        </w:rPr>
        <w:t xml:space="preserve">after controlling for absence in particular</w:t>
      </w:r>
      <w:r>
        <w:t xml:space="preserve">, Brighton and Hove was already among the highest-performing LEAs nationally for taking students beyond those factors — ranking 7th of 151 for disadvantaged pupils and 5th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over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w:t>
      </w:r>
      <w:r>
        <w:t xml:space="preserve"> </w:t>
      </w:r>
      <w:r>
        <w:t xml:space="preserve">Stopforth and Gayle (2025)</w:t>
      </w:r>
      <w:r>
        <w:t xml:space="preserve">;</w:t>
      </w:r>
      <w:r>
        <w:t xml:space="preserve"> </w:t>
      </w:r>
      <w:r>
        <w:t xml:space="preserve">Macleod et al. (2015)</w:t>
      </w:r>
      <w:r>
        <w:t xml:space="preserve">;</w:t>
      </w:r>
      <w:r>
        <w:t xml:space="preserve"> </w:t>
      </w:r>
      <w:r>
        <w:t xml:space="preserve">Tuckett et al. (2023)</w:t>
      </w:r>
      <w:r>
        <w:t xml:space="preserve">).</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p>
      <w:pPr>
        <w:pStyle w:val="BodyText"/>
      </w:pPr>
      <w:r>
        <w:t xml:space="preserve">How far attendance is amenable to</w:t>
      </w:r>
      <w:r>
        <w:t xml:space="preserve"> </w:t>
      </w:r>
      <w:r>
        <w:rPr>
          <w:i/>
          <w:iCs/>
        </w:rPr>
        <w:t xml:space="preserve">school-level</w:t>
      </w:r>
      <w:r>
        <w:t xml:space="preserve"> </w:t>
      </w:r>
      <w:r>
        <w:t xml:space="preserve">action is an important and under-settled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w:t>
      </w:r>
      <w:r>
        <w:t xml:space="preserve"> </w:t>
      </w:r>
      <w:r>
        <w:t xml:space="preserve">(Houtepen et al. 2020; Rakesh et al. 2025)</w:t>
      </w:r>
      <w:r>
        <w:t xml:space="preserve">.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§5.5. It also implies that authority-wide improvement is unlikely to come from school-led practice-sharing alone, and more probably requires cross-departmental action spanning health, children’s services and family support alongside schools.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(Burgess et al. 2023)</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7" w:name="data-and-methods"/>
    <w:p>
      <w:pPr>
        <w:pStyle w:val="Heading1"/>
      </w:pPr>
      <w:r>
        <w:t xml:space="preserve">3. Data and methods</w:t>
      </w:r>
    </w:p>
    <w:bookmarkStart w:id="33"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w:t>
      </w:r>
      <w:r>
        <w:rPr>
          <w:rStyle w:val="FootnoteReference"/>
        </w:rPr>
        <w:footnoteReference w:id="31"/>
      </w:r>
      <w:r>
        <w:t xml:space="preserve">), the analysis sample used in the models is approximately 12,200 observations. All data are school-level aggregates; interpretations relate to this level of aggregation.</w:t>
      </w:r>
    </w:p>
    <w:bookmarkEnd w:id="33"/>
    <w:bookmarkStart w:id="36"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fit and the interpretability of elasticities. The remaining predictors, including the low-prior-attainment percentage, the segregation index and the workforce proportions, enter linearly. This variable-by-variable choice, together with supporting diagnostics (component-plus-residual plots and a comparison of logged, linear and spline treatments), is documented in the supplementary material; the log form is retained where it both improves fit and yields a policy-legible elasticity, and a linear form is used otherwise.</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4"/>
      </w:r>
      <w:r>
        <w:t xml:space="preserve">.</w:t>
      </w:r>
    </w:p>
    <w:p>
      <w:pPr>
        <w:pStyle w:val="BodyText"/>
      </w:pPr>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p>
    <w:p>
      <w:pPr>
        <w:pStyle w:val="BodyText"/>
      </w:pPr>
      <w:r>
        <w:t xml:space="preserve">Two points on the prior-attainment control deserve emphasis. First, we control for prior attainment using the</w:t>
      </w:r>
      <w:r>
        <w:t xml:space="preserve"> </w:t>
      </w:r>
      <w:r>
        <w:rPr>
          <w:i/>
          <w:iCs/>
        </w:rPr>
        <w:t xml:space="preserve">percentage of KS4 pupils with low KS2 prior attainment</w:t>
      </w:r>
      <w:r>
        <w:t xml:space="preserve">, rather than the mean KS2 scaled score. This is a data-availability constraint, not a preference: the DfE publishes school-level mean KS2 score (and the middle and high prior-attainment bands) for only three of our four years — it is not released for 2024-25 — so the low-prior-attainment share is the only prior-attainment measure spanning the full panel, and we use it to preserve the most recent and policy-relevant cohort. As a robustness check, we refit the models on the three-year sub-sample where the richer measures exist, adding mean KS2 scaled score; the absence coefficient — the paper’s central quantity — is essentially unchanged (a shift of under 3%), while the FSM coefficient attenuates by around a third, reinforcing rather than weakening our finding that concentration of disadvantage is a comparatively weak lever (supplementary material). Second, because we lack pupil-level data, prior attainment is corrected only at the school level; this is a coarser adjustment than a pupil-and-school-level correction would provide, and some residual confounding of the intake coefficients cannot be ruled out. We return to this limitation in §6.7.</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6"/>
    <w:bookmarkEnd w:id="37"/>
    <w:bookmarkStart w:id="51" w:name="results"/>
    <w:p>
      <w:pPr>
        <w:pStyle w:val="Heading1"/>
      </w:pPr>
      <w:r>
        <w:t xml:space="preserve">4. Results</w:t>
      </w:r>
    </w:p>
    <w:bookmarkStart w:id="38"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Nakagawa et al. (2017)</w:t>
      </w:r>
      <w:r>
        <w:t xml:space="preserve"> </w:t>
      </w:r>
      <w:r>
        <w:t xml:space="preserve">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8"/>
    <w:bookmarkStart w:id="40"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9"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9"/>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2.2 fewer Attainment 8 points,</w:t>
      </w:r>
      <w:r>
        <w:t xml:space="preserve"> </w:t>
      </w:r>
      <w:r>
        <w:t xml:space="preserve">‘Requires Improvement’</w:t>
      </w:r>
      <w:r>
        <w:t xml:space="preserve"> </w:t>
      </w:r>
      <w:r>
        <w:t xml:space="preserve">with 4.2 fewer, and</w:t>
      </w:r>
      <w:r>
        <w:t xml:space="preserve"> </w:t>
      </w:r>
      <w:r>
        <w:t xml:space="preserve">‘Inadequate’</w:t>
      </w:r>
      <w:r>
        <w:t xml:space="preserve"> </w:t>
      </w:r>
      <w:r>
        <w:t xml:space="preserve">with 4.7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13–16%, so its inclusion makes our headline absence figure, if anything, conservative.</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p>
    <w:bookmarkEnd w:id="40"/>
    <w:bookmarkStart w:id="50"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4" w:name="fig-standardised-coefficients"/>
          <w:p>
            <w:pPr>
              <w:pStyle w:val="Compact"/>
              <w:jc w:val="center"/>
            </w:pPr>
            <w:r>
              <w:drawing>
                <wp:inline>
                  <wp:extent cx="5943600" cy="4245428"/>
                  <wp:effectExtent b="0" l="0" r="0" t="0"/>
                  <wp:docPr descr="" title="" id="42" name="Picture"/>
                  <a:graphic>
                    <a:graphicData uri="http://schemas.openxmlformats.org/drawingml/2006/picture">
                      <pic:pic>
                        <pic:nvPicPr>
                          <pic:cNvPr descr="RPE_Paper_files/figure-docx/fig-standardised-coefficients-1.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4"/>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5"/>
      </w:r>
      <w:r>
        <w:t xml:space="preserve"> </w:t>
      </w:r>
      <w:r>
        <w:t xml:space="preserve">across all three pupil groups (all pupils, disadvantaged pupils and non-disadvantaged pupils - full model outputs available in the supplementary materials</w:t>
      </w:r>
      <w:r>
        <w:rPr>
          <w:rStyle w:val="FootnoteReference"/>
        </w:rPr>
        <w:footnoteReference w:id="46"/>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hyperlink w:anchor="fig-standardised-coefficients">
        <w:r>
          <w:rPr>
            <w:rStyle w:val="Hyperlink"/>
          </w:rPr>
          <w:t xml:space="preserve">Figure 1</w:t>
        </w:r>
      </w:hyperlink>
      <w:r>
        <w:t xml:space="preserve"> </w:t>
      </w:r>
      <w:r>
        <w:t xml:space="preserve">makes the relative importance of the predictors explicit, and the ordering is the central empirical message of the paper. School absence is the dominant lever by a clear margin; low prior attainment at KS2 is second; and the concentration of disadvantage — the variable around which the Brighton and Hove policy was built — is a distant contributor whose sign, as we discuss next, actually depends on the pupil group. Recognising this ordering matters, because a policy debate anchored on disadvantage concentration is, on this evidence, anchored on one of the weakest of the levers available.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8"/>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We cannot adjudicate between these with school-level data, and we do not claim to.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 predictor across all groups and is even more important for disadvantaged pupils, for whom nearly half of the school-level variation in performance is explained by attendance alone.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50"/>
    <w:bookmarkEnd w:id="51"/>
    <w:bookmarkStart w:id="87" w:name="brighton-and-hove-case-study"/>
    <w:p>
      <w:pPr>
        <w:pStyle w:val="Heading1"/>
      </w:pPr>
      <w:r>
        <w:t xml:space="preserve">5. Brighton and Hove case study</w:t>
      </w:r>
    </w:p>
    <w:bookmarkStart w:id="63"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52"/>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w:t>
      </w:r>
      <w:r>
        <w:t xml:space="preserve">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55"/>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7"/>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tbl>
      <w:tblPr>
        <w:tblStyle w:val="Table"/>
        <w:tblW w:type="pct" w:w="5000"/>
        <w:tblLayout w:type="fixed"/>
        <w:tblLook w:firstRow="0" w:lastRow="0" w:firstColumn="0" w:lastColumn="0" w:noHBand="0" w:noVBand="0" w:val="0000"/>
      </w:tblPr>
      <w:tblGrid>
        <w:gridCol w:w="7920"/>
      </w:tblGrid>
      <w:tr>
        <w:tc>
          <w:tcPr/>
          <w:bookmarkStart w:id="62" w:name="fig-catchments"/>
          <w:p>
            <w:pPr>
              <w:pStyle w:val="Compact"/>
              <w:jc w:val="center"/>
            </w:pPr>
            <w:r>
              <w:drawing>
                <wp:inline>
                  <wp:extent cx="5943600" cy="5094514"/>
                  <wp:effectExtent b="0" l="0" r="0" t="0"/>
                  <wp:docPr descr="" title="" id="60" name="Picture"/>
                  <a:graphic>
                    <a:graphicData uri="http://schemas.openxmlformats.org/drawingml/2006/picture">
                      <pic:pic>
                        <pic:nvPicPr>
                          <pic:cNvPr descr="RPE_Paper_files/figure-docx/fig-catchments-1.png" id="61" name="Picture"/>
                          <pic:cNvPicPr>
                            <a:picLocks noChangeArrowheads="1" noChangeAspect="1"/>
                          </pic:cNvPicPr>
                        </pic:nvPicPr>
                        <pic:blipFill>
                          <a:blip r:embed="rId5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62"/>
        </w:tc>
      </w:tr>
    </w:tbl>
    <w:bookmarkEnd w:id="63"/>
    <w:bookmarkStart w:id="69"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7" w:name="fig-caterpillar"/>
          <w:p>
            <w:pPr>
              <w:pStyle w:val="Compact"/>
              <w:jc w:val="center"/>
            </w:pPr>
            <w:r>
              <w:drawing>
                <wp:inline>
                  <wp:extent cx="5943600" cy="5094514"/>
                  <wp:effectExtent b="0" l="0" r="0" t="0"/>
                  <wp:docPr descr="" title="" id="65" name="Picture"/>
                  <a:graphic>
                    <a:graphicData uri="http://schemas.openxmlformats.org/drawingml/2006/picture">
                      <pic:pic>
                        <pic:nvPicPr>
                          <pic:cNvPr descr="RPE_Paper_files/figure-docx/fig-caterpillar-1.png" id="66" name="Picture"/>
                          <pic:cNvPicPr>
                            <a:picLocks noChangeArrowheads="1" noChangeAspect="1"/>
                          </pic:cNvPicPr>
                        </pic:nvPicPr>
                        <pic:blipFill>
                          <a:blip r:embed="rId64"/>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7"/>
        </w:tc>
      </w:tr>
    </w:tbl>
    <w:p>
      <w:pPr>
        <w:pStyle w:val="BodyText"/>
      </w:pPr>
      <w:hyperlink w:anchor="fig-caterpillar">
        <w:r>
          <w:rPr>
            <w:rStyle w:val="Hyperlink"/>
          </w:rPr>
          <w:t xml:space="preserve">Figure 3</w:t>
        </w:r>
      </w:hyperlink>
      <w:r>
        <w:t xml:space="preserve"> </w:t>
      </w:r>
      <w:r>
        <w:t xml:space="preserve">shows the local-authority random intercepts for disadvantaged-pupil attainment. Conditional on the structural factors in the model — including school absence — Brighton and Hove ranks</w:t>
      </w:r>
      <w:r>
        <w:t xml:space="preserve"> </w:t>
      </w:r>
      <w:r>
        <w:rPr>
          <w:b/>
          <w:bCs/>
        </w:rPr>
        <w:t xml:space="preserve">7th of 151</w:t>
      </w:r>
      <w:r>
        <w:t xml:space="preserve"> </w:t>
      </w:r>
      <w:r>
        <w:t xml:space="preserve">local authorities, a positive random intercept equivalent to roughly</w:t>
      </w:r>
      <w:r>
        <w:t xml:space="preserve"> </w:t>
      </w:r>
      <w:r>
        <w:rPr>
          <w:b/>
          <w:bCs/>
        </w:rPr>
        <w:t xml:space="preserve">+2 Attainment 8 points</w:t>
      </w:r>
      <w:r>
        <w:t xml:space="preserve"> </w:t>
      </w:r>
      <w:r>
        <w:t xml:space="preserve">above what those factors would predict. On the same conditional basis the city ranks 5th for non-disadvantaged pupils and 4th for all pupils. This was unknown at the time of the 2024 consultation and entirely absent from a public narrative framed around the raw attainment gap alone.</w:t>
      </w:r>
    </w:p>
    <w:p>
      <w:pPr>
        <w:pStyle w:val="BodyText"/>
      </w:pPr>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7th to</w:t>
      </w:r>
      <w:r>
        <w:t xml:space="preserve"> </w:t>
      </w:r>
      <w:r>
        <w:rPr>
          <w:b/>
          <w:bCs/>
        </w:rPr>
        <w:t xml:space="preserve">46th of 151</w:t>
      </w:r>
      <w:r>
        <w:t xml:space="preserve"> </w:t>
      </w:r>
      <w:r>
        <w:t xml:space="preserve">and its effect is no longer statistically distinguishable from the national average. The city’s apparent excellence for disadvantaged pupils is, in this precise sense, conditional on setting its attendance problem aside.</w:t>
      </w:r>
    </w:p>
    <w:tbl>
      <w:tblPr>
        <w:tblStyle w:val="Table"/>
        <w:tblW w:type="pct" w:w="5000"/>
        <w:tblLayout w:type="fixed"/>
        <w:tblLook w:firstRow="0" w:lastRow="0" w:firstColumn="0" w:lastColumn="0" w:noHBand="0" w:noVBand="0" w:val="0000"/>
      </w:tblPr>
      <w:tblGrid>
        <w:gridCol w:w="7920"/>
      </w:tblGrid>
      <w:tr>
        <w:tc>
          <w:tcPr/>
          <w:bookmarkStart w:id="68" w:name="tbl-la-absence"/>
          <w:p>
            <w:pPr>
              <w:jc w:val="center"/>
            </w:pPr>
            <w:pPr>
              <w:jc w:val="left"/>
              <w:spacing w:before="200"/>
              <w:pStyle w:val="ImageCaption"/>
            </w:pPr>
            <w: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type="pct" w:w="5000"/>
              <w:tblLayout w:type="fixed"/>
              <w:tblLook w:firstRow="1" w:lastRow="0" w:firstColumn="0" w:lastColumn="0" w:noHBand="0" w:noVBand="0" w:val="0020"/>
            </w:tblPr>
            <w:tblGrid>
              <w:gridCol w:w="3203"/>
              <w:gridCol w:w="978"/>
              <w:gridCol w:w="1423"/>
              <w:gridCol w:w="1512"/>
              <w:gridCol w:w="800"/>
            </w:tblGrid>
            <w:tr>
              <w:trPr>
                <w:tblHeader w:val="on"/>
              </w:trPr>
              <w:tc>
                <w:tcPr/>
                <w:p>
                  <w:pPr>
                    <w:pStyle w:val="Compact"/>
                    <w:jc w:val="left"/>
                    <w:jc w:val="center"/>
                  </w:pPr>
                  <w:r>
                    <w:t xml:space="preserve">Specification</w:t>
                  </w:r>
                </w:p>
              </w:tc>
              <w:tc>
                <w:tcPr/>
                <w:p>
                  <w:pPr>
                    <w:pStyle w:val="Compact"/>
                    <w:jc w:val="right"/>
                    <w:jc w:val="center"/>
                  </w:pPr>
                  <w:r>
                    <w:t xml:space="preserve">B&amp;H effect</w:t>
                  </w:r>
                </w:p>
              </w:tc>
              <w:tc>
                <w:tcPr/>
                <w:p>
                  <w:pPr>
                    <w:pStyle w:val="Compact"/>
                    <w:jc w:val="right"/>
                    <w:jc w:val="center"/>
                  </w:pPr>
                  <w:r>
                    <w:t xml:space="preserve">95% CI</w:t>
                  </w:r>
                </w:p>
              </w:tc>
              <w:tc>
                <w:tcPr/>
                <w:p>
                  <w:pPr>
                    <w:pStyle w:val="Compact"/>
                    <w:jc w:val="left"/>
                    <w:jc w:val="center"/>
                  </w:pPr>
                  <w:r>
                    <w:t xml:space="preserve">Rank</w:t>
                  </w:r>
                </w:p>
              </w:tc>
              <w:tc>
                <w:tcPr/>
                <w:p>
                  <w:pPr>
                    <w:pStyle w:val="Compact"/>
                    <w:jc w:val="right"/>
                    <w:jc w:val="center"/>
                  </w:pPr>
                  <w:r>
                    <w:t xml:space="preserve">ATT8 pts</w:t>
                  </w:r>
                </w:p>
              </w:tc>
            </w:tr>
            <w:tr>
              <w:tc>
                <w:tcPr/>
                <w:p>
                  <w:pPr>
                    <w:pStyle w:val="Compact"/>
                    <w:jc w:val="left"/>
                    <w:jc w:val="center"/>
                  </w:pPr>
                  <w:r>
                    <w:t xml:space="preserve">No absence control</w:t>
                  </w:r>
                </w:p>
              </w:tc>
              <w:tc>
                <w:tcPr/>
                <w:p>
                  <w:pPr>
                    <w:pStyle w:val="Compact"/>
                    <w:jc w:val="right"/>
                    <w:jc w:val="center"/>
                  </w:pPr>
                  <w:r>
                    <w:t xml:space="preserve">+0.018</w:t>
                  </w:r>
                </w:p>
              </w:tc>
              <w:tc>
                <w:tcPr/>
                <w:p>
                  <w:pPr>
                    <w:pStyle w:val="Compact"/>
                    <w:jc w:val="right"/>
                    <w:jc w:val="center"/>
                  </w:pPr>
                  <w:r>
                    <w:t xml:space="preserve">-0.022 to 0.058</w:t>
                  </w:r>
                </w:p>
              </w:tc>
              <w:tc>
                <w:tcPr/>
                <w:p>
                  <w:pPr>
                    <w:pStyle w:val="Compact"/>
                    <w:jc w:val="left"/>
                    <w:jc w:val="center"/>
                  </w:pPr>
                  <w:r>
                    <w:t xml:space="preserve">46 of 151 (n.s.)</w:t>
                  </w:r>
                </w:p>
              </w:tc>
              <w:tc>
                <w:tcPr/>
                <w:p>
                  <w:pPr>
                    <w:pStyle w:val="Compact"/>
                    <w:jc w:val="right"/>
                    <w:jc w:val="center"/>
                  </w:pPr>
                  <w:r>
                    <w:t xml:space="preserve">+0.7</w:t>
                  </w:r>
                </w:p>
              </w:tc>
            </w:tr>
            <w:tr>
              <w:tc>
                <w:tcPr/>
                <w:p>
                  <w:pPr>
                    <w:pStyle w:val="Compact"/>
                    <w:jc w:val="left"/>
                    <w:jc w:val="center"/>
                  </w:pPr>
                  <w:r>
                    <w:t xml:space="preserve">Absence controlled (main model)</w:t>
                  </w:r>
                </w:p>
              </w:tc>
              <w:tc>
                <w:tcPr/>
                <w:p>
                  <w:pPr>
                    <w:pStyle w:val="Compact"/>
                    <w:jc w:val="right"/>
                    <w:jc w:val="center"/>
                  </w:pPr>
                  <w:r>
                    <w:t xml:space="preserve">+0.050</w:t>
                  </w:r>
                </w:p>
              </w:tc>
              <w:tc>
                <w:tcPr/>
                <w:p>
                  <w:pPr>
                    <w:pStyle w:val="Compact"/>
                    <w:jc w:val="right"/>
                    <w:jc w:val="center"/>
                  </w:pPr>
                  <w:r>
                    <w:t xml:space="preserve">0.015 to 0.086</w:t>
                  </w:r>
                </w:p>
              </w:tc>
              <w:tc>
                <w:tcPr/>
                <w:p>
                  <w:pPr>
                    <w:pStyle w:val="Compact"/>
                    <w:jc w:val="left"/>
                    <w:jc w:val="center"/>
                  </w:pPr>
                  <w:r>
                    <w:t xml:space="preserve">7 of 151</w:t>
                  </w:r>
                </w:p>
              </w:tc>
              <w:tc>
                <w:tcPr/>
                <w:p>
                  <w:pPr>
                    <w:pStyle w:val="Compact"/>
                    <w:jc w:val="right"/>
                    <w:jc w:val="center"/>
                  </w:pPr>
                  <w:r>
                    <w:t xml:space="preserve">+2.0</w:t>
                  </w:r>
                </w:p>
              </w:tc>
            </w:tr>
            <w:tr>
              <w:tc>
                <w:tcPr/>
                <w:p>
                  <w:pPr>
                    <w:pStyle w:val="Compact"/>
                    <w:jc w:val="left"/>
                    <w:jc w:val="center"/>
                  </w:pPr>
                  <w:r>
                    <w:t xml:space="preserve">Intake-predicted absence controlled</w:t>
                  </w:r>
                </w:p>
              </w:tc>
              <w:tc>
                <w:tcPr/>
                <w:p>
                  <w:pPr>
                    <w:pStyle w:val="Compact"/>
                    <w:jc w:val="right"/>
                    <w:jc w:val="center"/>
                  </w:pPr>
                  <w:r>
                    <w:t xml:space="preserve">+0.017</w:t>
                  </w:r>
                </w:p>
              </w:tc>
              <w:tc>
                <w:tcPr/>
                <w:p>
                  <w:pPr>
                    <w:pStyle w:val="Compact"/>
                    <w:jc w:val="right"/>
                    <w:jc w:val="center"/>
                  </w:pPr>
                  <w:r>
                    <w:t xml:space="preserve">-0.023 to 0.057</w:t>
                  </w:r>
                </w:p>
              </w:tc>
              <w:tc>
                <w:tcPr/>
                <w:p>
                  <w:pPr>
                    <w:pStyle w:val="Compact"/>
                    <w:jc w:val="left"/>
                    <w:jc w:val="center"/>
                  </w:pPr>
                  <w:r>
                    <w:t xml:space="preserve">45 of 151 (n.s.)</w:t>
                  </w:r>
                </w:p>
              </w:tc>
              <w:tc>
                <w:tcPr/>
                <w:p>
                  <w:pPr>
                    <w:pStyle w:val="Compact"/>
                    <w:jc w:val="right"/>
                    <w:jc w:val="center"/>
                  </w:pPr>
                  <w:r>
                    <w:t xml:space="preserve">+0.7</w:t>
                  </w:r>
                </w:p>
              </w:tc>
            </w:tr>
          </w:tbl>
          <w:bookmarkEnd w:id="68"/>
          <w:p/>
        </w:tc>
      </w:tr>
    </w:tbl>
    <w:p>
      <w:pPr>
        <w:pStyle w:val="BodyText"/>
      </w:pPr>
      <w:r>
        <w:t xml:space="preserve">This is not an artefact peculiar to Brighton and Hove: controlling for absence reshuffles the whole distribution of local-authority effects, and 14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pPr>
        <w:pStyle w:val="BodyText"/>
      </w:pPr>
      <w:r>
        <w:t xml:space="preserve">We regard the distance between these two numbers as the finding, rather than either number alone. Conditional on the absence its pupils face, Brighton and Hove’s schools are among the best in England for disadvantaged attainment; unconditionally they are unremarkable.</w:t>
      </w:r>
      <w:r>
        <w:t xml:space="preserve"> </w:t>
      </w:r>
      <w:r>
        <w:rPr>
          <w:b/>
          <w:bCs/>
        </w:rPr>
        <w:t xml:space="preserve">The gap between the two — about 1.3 Attainment 8 points per disadvantaged pupil — is a direct measure of what the city’s attendance problem costs its most disadvantaged children.</w:t>
      </w:r>
      <w:r>
        <w:t xml:space="preserve"> </w:t>
      </w:r>
      <w:r>
        <w:t xml:space="preserve">It is not a reason to discount the schools’ underlying effectiveness; it is a reason to treat attendance as the single most valuable lever available to the city, a point we develop in §5.5 and quantify through the accelerating-returns analysis below. (For all pupils the city’s advantage is more robust to this choice, remaining significantly positive without an absence control at 46th; it is specifically the disadvantaged-pupil result that rests on it.)</w:t>
      </w:r>
    </w:p>
    <w:p>
      <w:pPr>
        <w:pStyle w:val="BodyText"/>
      </w:pPr>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bookmarkEnd w:id="69"/>
    <w:bookmarkStart w:id="74"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73" w:name="fig-accelerating-returns"/>
          <w:p>
            <w:pPr>
              <w:pStyle w:val="Compact"/>
              <w:jc w:val="center"/>
            </w:pPr>
            <w:r>
              <w:drawing>
                <wp:inline>
                  <wp:extent cx="5943600" cy="3820885"/>
                  <wp:effectExtent b="0" l="0" r="0" t="0"/>
                  <wp:docPr descr="" title="" id="71" name="Picture"/>
                  <a:graphic>
                    <a:graphicData uri="http://schemas.openxmlformats.org/drawingml/2006/picture">
                      <pic:pic>
                        <pic:nvPicPr>
                          <pic:cNvPr descr="RPE_Paper_files/figure-docx/fig-accelerating-returns-1.png" id="72" name="Picture"/>
                          <pic:cNvPicPr>
                            <a:picLocks noChangeArrowheads="1" noChangeAspect="1"/>
                          </pic:cNvPicPr>
                        </pic:nvPicPr>
                        <pic:blipFill>
                          <a:blip r:embed="rId70"/>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73"/>
        </w:tc>
      </w:tr>
    </w:tbl>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74"/>
    <w:bookmarkStart w:id="79"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8" w:name="fig-obs-vs-pred"/>
          <w:p>
            <w:pPr>
              <w:pStyle w:val="Compact"/>
              <w:jc w:val="center"/>
            </w:pPr>
            <w:r>
              <w:drawing>
                <wp:inline>
                  <wp:extent cx="5943600" cy="7641771"/>
                  <wp:effectExtent b="0" l="0" r="0" t="0"/>
                  <wp:docPr descr="" title="" id="76" name="Picture"/>
                  <a:graphic>
                    <a:graphicData uri="http://schemas.openxmlformats.org/drawingml/2006/picture">
                      <pic:pic>
                        <pic:nvPicPr>
                          <pic:cNvPr descr="RPE_Paper_files/figure-docx/fig-obs-vs-pred-1.png" id="77" name="Picture"/>
                          <pic:cNvPicPr>
                            <a:picLocks noChangeArrowheads="1" noChangeAspect="1"/>
                          </pic:cNvPicPr>
                        </pic:nvPicPr>
                        <pic:blipFill>
                          <a:blip r:embed="rId75"/>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8"/>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9"/>
    <w:bookmarkStart w:id="86"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w:t>
      </w:r>
      <w:r>
        <w:rPr>
          <w:rStyle w:val="FootnoteReference"/>
        </w:rPr>
        <w:footnoteReference w:id="80"/>
      </w:r>
      <w:r>
        <w:t xml:space="preserve"> </w:t>
      </w:r>
      <w:r>
        <w:t xml:space="preserve">separates these elements. First, we model school-level absence on the variables we treat as exogenous (FSM, EAL, low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85" w:name="fig-quadrant"/>
          <w:p>
            <w:pPr>
              <w:pStyle w:val="Compact"/>
              <w:jc w:val="center"/>
            </w:pPr>
            <w:r>
              <w:drawing>
                <wp:inline>
                  <wp:extent cx="5943600" cy="4245428"/>
                  <wp:effectExtent b="0" l="0" r="0" t="0"/>
                  <wp:docPr descr="" title="" id="83" name="Picture"/>
                  <a:graphic>
                    <a:graphicData uri="http://schemas.openxmlformats.org/drawingml/2006/picture">
                      <pic:pic>
                        <pic:nvPicPr>
                          <pic:cNvPr descr="RPE_Paper_files/figure-docx/fig-quadrant-1.png" id="84" name="Picture"/>
                          <pic:cNvPicPr>
                            <a:picLocks noChangeArrowheads="1" noChangeAspect="1"/>
                          </pic:cNvPicPr>
                        </pic:nvPicPr>
                        <pic:blipFill>
                          <a:blip r:embed="rId8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85"/>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86"/>
    <w:bookmarkEnd w:id="87"/>
    <w:bookmarkStart w:id="104" w:name="discussion"/>
    <w:p>
      <w:pPr>
        <w:pStyle w:val="Heading1"/>
      </w:pPr>
      <w:r>
        <w:t xml:space="preserve">6. Discussion</w:t>
      </w:r>
    </w:p>
    <w:bookmarkStart w:id="89"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88"/>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 higher absence 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p>
      <w:pPr>
        <w:pStyle w:val="BodyText"/>
      </w:pPr>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and absence is by a wide margin the strongest predictor of attainment we identify. In other words,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p>
    <w:bookmarkEnd w:id="89"/>
    <w:bookmarkStart w:id="92"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r>
        <w:rPr>
          <w:b/>
          <w:bCs/>
        </w:rPr>
        <w:t xml:space="preserve">attendance</w:t>
      </w:r>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90"/>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r>
        <w:t xml:space="preserve">Brighton and Hove’s absence rates are not a necessary consequence of its intake. The city has near-average FSM eligibility but near-worst absence, suggesting the problem reflects local factors — attendance culture, enforcement practices, transport friction or community dynamics — rather than being an unavoidable correlate of disadvantage. If the city is not already running a substantial cross-departmental attendance programme alongside its school-level work, the case for one is strong. There is a budget question too: the £606,000 already spent annually on supported bus routes and passes</w:t>
      </w:r>
      <w:r>
        <w:rPr>
          <w:rStyle w:val="FootnoteReference"/>
        </w:rPr>
        <w:footnoteReference w:id="91"/>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92"/>
    <w:bookmarkStart w:id="96"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tbl>
      <w:tblPr>
        <w:tblStyle w:val="Table"/>
        <w:tblW w:type="pct" w:w="5000"/>
        <w:tblLayout w:type="fixed"/>
        <w:tblLook w:firstRow="0" w:lastRow="0" w:firstColumn="0" w:lastColumn="0" w:noHBand="0" w:noVBand="0" w:val="0000"/>
      </w:tblPr>
      <w:tblGrid>
        <w:gridCol w:w="7920"/>
      </w:tblGrid>
      <w:tr>
        <w:tc>
          <w:tcPr/>
          <w:bookmarkStart w:id="93" w:name="tbl-league"/>
          <w:p>
            <w:pPr>
              <w:jc w:val="center"/>
            </w:pPr>
            <w:pPr>
              <w:jc w:val="left"/>
              <w:spacing w:before="200"/>
              <w:pStyle w:val="ImageCaption"/>
            </w:pPr>
            <w:r>
              <w:t xml:space="preserve">Table 3: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93"/>
          <w:p/>
        </w:tc>
      </w:tr>
    </w:tbl>
    <w:p>
      <w:pPr>
        <w:pStyle w:val="BodyText"/>
      </w:pPr>
      <w:r>
        <w:t xml:space="preserve">During the 2024 consultation, the public debate shifted from how the council’s proposals would improve disadvantaged attainment to how they would facilitate parental choice. An activist group (Equity in Education — supported by Class Divide)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experiences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3</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 points higher than a comparable pupil at a similar school elsewhere in England, with a four-year average around 3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94"/>
      </w:r>
      <w:r>
        <w:t xml:space="preserve"> </w:t>
      </w:r>
      <w:r>
        <w:t xml:space="preserve">is unsurprising in the context of this analysis, but would have been surprising to anyone looking only at prior raw attainment and Ofsted ratings. 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96"/>
    <w:bookmarkStart w:id="98" w:name="viability-versus-attainment"/>
    <w:p>
      <w:pPr>
        <w:pStyle w:val="Heading2"/>
      </w:pPr>
      <w:r>
        <w:t xml:space="preserve">6.4 Viability versus attainment</w:t>
      </w:r>
    </w:p>
    <w:p>
      <w:pPr>
        <w:pStyle w:val="FirstParagraph"/>
      </w:pPr>
      <w:r>
        <w:t xml:space="preserve">The cabinet papers</w:t>
      </w:r>
      <w:r>
        <w:rPr>
          <w:rStyle w:val="FootnoteReference"/>
        </w:rPr>
        <w:footnoteReference w:id="97"/>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98"/>
    <w:bookmarkStart w:id="99" w:name="X66de271a6aca02794f420f50f4d8a324e8e27cc"/>
    <w:p>
      <w:pPr>
        <w:pStyle w:val="Heading2"/>
      </w:pPr>
      <w:r>
        <w:t xml:space="preserve">6.5 Conditional performance and the cost of absence</w:t>
      </w:r>
    </w:p>
    <w:p>
      <w:pPr>
        <w:pStyle w:val="FirstParagraph"/>
      </w:pPr>
      <w:r>
        <w:t xml:space="preserve">The LEA random effect for Brighton and Hove is positive and, in the main model, statistically significant across all three attainment groups. As §5.2 set out, however, this result is conditional on how the model treats absence, and the city’s attendance is so extreme that the conditioning does most of the work. Controlling for absence, the city’s schools rank 7th of 151 for disadvantaged attainment; without that control they rank 46th and are statistically ordinary. We take neither number as the whole truth. Together they say something more useful than either alone: Brighton and Hove’s schools appear to be genuinely effective for the pupils who attend them, and the city’s attendance problem is large enough to erase that advantage in the aggregate.</w:t>
      </w:r>
    </w:p>
    <w:p>
      <w:pPr>
        <w:pStyle w:val="BodyText"/>
      </w:pPr>
      <w:r>
        <w:t xml:space="preserve">The distance between the two rankings has a concrete interpretation. It is roughly 1.3 Attainment 8 points per disadvantaged pupil — the difference between what the city’s disadvantaged children achieve and what they might achieve if their schools’ underlying effectiveness were not being drained by absence. Read this way, the city’s attendance is not a caveat to a good-news story; it is the story.</w:t>
      </w:r>
    </w:p>
    <w:p>
      <w:pPr>
        <w:pStyle w:val="BodyText"/>
      </w:pPr>
      <w:r>
        <w:t xml:space="preserve">This reframes what the 2024 consultation got right and what it got wrong. The council was not wrong that Brighton and Hove has a problem: unconditionally, its disadvantaged pupils do no better than the national average, and the raw attainment gap that motivated the consultation is real. What the consultation got wrong was the diagnosis. Presented with an attainment gap, it reached for the social composition of schools — one of the weakest levers our modelling identifies, and for disadvantaged pupils a lever that may point the wrong way (§4.3, §5.3) — 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 What all of these hypotheses show, however, is that identifying the sources of this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well-functioning system without understanding what makes it function well carry substantial downside risks.</w:t>
      </w:r>
    </w:p>
    <w:bookmarkEnd w:id="99"/>
    <w:bookmarkStart w:id="102"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should be candid that this gap is, in part, a structural consequence of policy since 2010. Academisation and sustained real-terms reductions in local authority central-services funding have substantially eroded the analytical capacity that once sat within LEAs, so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 that spans maintained schools, academies across different trusts, and church schools within a single place. Brighton and Hove illustrates the gap precisely: the council remains the admissions authority for a system it has limited capacity to analyse as a whole, while its two academies — central to the policy question — sit outside its analytical reach. The need, then, is less for every council to rebuild bespoke capacity than for the</w:t>
      </w:r>
      <w:r>
        <w:t xml:space="preserve"> </w:t>
      </w:r>
      <w:r>
        <w:rPr>
          <w:i/>
          <w:iCs/>
        </w:rPr>
        <w:t xml:space="preserve">system</w:t>
      </w:r>
      <w:r>
        <w:t xml:space="preserve"> </w:t>
      </w:r>
      <w:r>
        <w:t xml:space="preserve">to close a locality-level analytical gap, whether through central funding for local capacity or nationally maintained benchmarking tools that any locality can use.</w:t>
      </w:r>
    </w:p>
    <w:p>
      <w:pPr>
        <w:pStyle w:val="BodyText"/>
      </w:pPr>
      <w:r>
        <w:t xml:space="preserve">We have developed an interactive Policy Simulator tool,</w:t>
      </w:r>
      <w:r>
        <w:rPr>
          <w:rStyle w:val="FootnoteReference"/>
        </w:rPr>
        <w:footnoteReference w:id="100"/>
      </w:r>
      <w:r>
        <w:t xml:space="preserve"> </w:t>
      </w:r>
      <w:r>
        <w:t xml:space="preserve">underpinned by the models in this paper, as a prototype of exactly this kind of shared, locality-level infrastructure. The tool allows users to explore any school in England, compare against contextual expectations, and model the indicative impact of changes to key variables.</w:t>
      </w:r>
    </w:p>
    <w:bookmarkEnd w:id="102"/>
    <w:bookmarkStart w:id="103"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103"/>
    <w:bookmarkEnd w:id="104"/>
    <w:bookmarkStart w:id="105"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r>
        <w:rPr>
          <w:b/>
          <w:bCs/>
        </w:rPr>
        <w:t xml:space="preserve">attendance</w:t>
      </w:r>
      <w:r>
        <w:t xml:space="preserve">. The city had the second-worst absence rate in England in 2024-25 — and its absence has failed to fall while it fell almost everywhere else —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105"/>
    <w:bookmarkStart w:id="106"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06"/>
    <w:bookmarkStart w:id="107"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107"/>
    <w:bookmarkStart w:id="204" w:name="references"/>
    <w:p>
      <w:pPr>
        <w:pStyle w:val="Heading1"/>
      </w:pPr>
      <w:r>
        <w:t xml:space="preserve">References</w:t>
      </w:r>
    </w:p>
    <w:bookmarkStart w:id="203" w:name="refs"/>
    <w:bookmarkStart w:id="109"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08">
        <w:r>
          <w:rPr>
            <w:rStyle w:val="Hyperlink"/>
          </w:rPr>
          <w:t xml:space="preserve">https://doi.org/10.1080/09645292.2017.1366425</w:t>
        </w:r>
      </w:hyperlink>
      <w:r>
        <w:t xml:space="preserve">.</w:t>
      </w:r>
    </w:p>
    <w:bookmarkEnd w:id="109"/>
    <w:bookmarkStart w:id="111"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10">
        <w:r>
          <w:rPr>
            <w:rStyle w:val="Hyperlink"/>
          </w:rPr>
          <w:t xml:space="preserve">https://doi.org/10.1111/j.1475-5661.2012.00511.x</w:t>
        </w:r>
      </w:hyperlink>
      <w:r>
        <w:t xml:space="preserve">.</w:t>
      </w:r>
    </w:p>
    <w:bookmarkEnd w:id="111"/>
    <w:bookmarkStart w:id="113"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12">
        <w:r>
          <w:rPr>
            <w:rStyle w:val="Hyperlink"/>
          </w:rPr>
          <w:t xml:space="preserve">https://doi.org/10.1080/0305764X.2024.2420611</w:t>
        </w:r>
      </w:hyperlink>
      <w:r>
        <w:t xml:space="preserve">.</w:t>
      </w:r>
    </w:p>
    <w:bookmarkEnd w:id="113"/>
    <w:bookmarkStart w:id="115"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14">
        <w:r>
          <w:rPr>
            <w:rStyle w:val="Hyperlink"/>
          </w:rPr>
          <w:t xml:space="preserve">https://www.urban.org/sites/default/files/publication/99027/time_to_school_and_student_outcomes_in_dc_1.pdf</w:t>
        </w:r>
      </w:hyperlink>
      <w:r>
        <w:t xml:space="preserve">.</w:t>
      </w:r>
    </w:p>
    <w:bookmarkEnd w:id="115"/>
    <w:bookmarkStart w:id="117"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16">
        <w:r>
          <w:rPr>
            <w:rStyle w:val="Hyperlink"/>
          </w:rPr>
          <w:t xml:space="preserve">https://doi.org/10.1177/0308518X18787820</w:t>
        </w:r>
      </w:hyperlink>
      <w:r>
        <w:t xml:space="preserve">.</w:t>
      </w:r>
    </w:p>
    <w:bookmarkEnd w:id="117"/>
    <w:bookmarkStart w:id="119"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18">
        <w:r>
          <w:rPr>
            <w:rStyle w:val="Hyperlink"/>
          </w:rPr>
          <w:t xml:space="preserve">https://doi.org/10.1016/j.econedurev.2023.102405</w:t>
        </w:r>
      </w:hyperlink>
      <w:r>
        <w:t xml:space="preserve">.</w:t>
      </w:r>
    </w:p>
    <w:bookmarkEnd w:id="119"/>
    <w:bookmarkStart w:id="121"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20">
        <w:r>
          <w:rPr>
            <w:rStyle w:val="Hyperlink"/>
          </w:rPr>
          <w:t xml:space="preserve">https://doi.org/10.1371/journal.pone.0314687</w:t>
        </w:r>
      </w:hyperlink>
      <w:r>
        <w:t xml:space="preserve">.</w:t>
      </w:r>
    </w:p>
    <w:bookmarkEnd w:id="121"/>
    <w:bookmarkStart w:id="123"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22">
        <w:r>
          <w:rPr>
            <w:rStyle w:val="Hyperlink"/>
          </w:rPr>
          <w:t xml:space="preserve">https://committees.parliament.uk/committee/203/education-committee/news/156024/forgotten-white-workingclass-pupils-let-down-by-decades-of-neglect-mps-say/</w:t>
        </w:r>
      </w:hyperlink>
      <w:r>
        <w:t xml:space="preserve">.</w:t>
      </w:r>
    </w:p>
    <w:bookmarkEnd w:id="123"/>
    <w:bookmarkStart w:id="125"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24">
        <w:r>
          <w:rPr>
            <w:rStyle w:val="Hyperlink"/>
          </w:rPr>
          <w:t xml:space="preserve">https://doi.org/10.3102/01623737221092450</w:t>
        </w:r>
      </w:hyperlink>
      <w:r>
        <w:t xml:space="preserve">.</w:t>
      </w:r>
    </w:p>
    <w:bookmarkEnd w:id="125"/>
    <w:bookmarkStart w:id="127"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26">
        <w:r>
          <w:rPr>
            <w:rStyle w:val="Hyperlink"/>
          </w:rPr>
          <w:t xml:space="preserve">https://explore-education-statistics.service.gov.uk/find-statistics/the-link-between-absence-and-attainment-at-ks2-and-ks4/2018-19</w:t>
        </w:r>
      </w:hyperlink>
      <w:r>
        <w:t xml:space="preserve">.</w:t>
      </w:r>
    </w:p>
    <w:bookmarkEnd w:id="127"/>
    <w:bookmarkStart w:id="129"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28">
        <w:r>
          <w:rPr>
            <w:rStyle w:val="Hyperlink"/>
          </w:rPr>
          <w:t xml:space="preserve">https://www.gov.uk/government/publications/link-between-attendance-and-attainment</w:t>
        </w:r>
      </w:hyperlink>
      <w:r>
        <w:t xml:space="preserve">.</w:t>
      </w:r>
    </w:p>
    <w:bookmarkEnd w:id="129"/>
    <w:bookmarkStart w:id="131"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30">
        <w:r>
          <w:rPr>
            <w:rStyle w:val="Hyperlink"/>
          </w:rPr>
          <w:t xml:space="preserve">https://explore-education-statistics.service.gov.uk/find-statistics/pupil-absence-in-schools-in-england/2024-25-autumn-and-spring-term</w:t>
        </w:r>
      </w:hyperlink>
      <w:r>
        <w:t xml:space="preserve">.</w:t>
      </w:r>
    </w:p>
    <w:bookmarkEnd w:id="131"/>
    <w:bookmarkStart w:id="133"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32">
        <w:r>
          <w:rPr>
            <w:rStyle w:val="Hyperlink"/>
          </w:rPr>
          <w:t xml:space="preserve">https://www.gov.uk/government/publications/every-child-achieving-and-thriving/every-child-achieving-and-thriving-html-version</w:t>
        </w:r>
      </w:hyperlink>
      <w:r>
        <w:t xml:space="preserve">.</w:t>
      </w:r>
    </w:p>
    <w:bookmarkEnd w:id="133"/>
    <w:bookmarkStart w:id="135"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34">
        <w:r>
          <w:rPr>
            <w:rStyle w:val="Hyperlink"/>
          </w:rPr>
          <w:t xml:space="preserve">https://doi.org/10.1016/j.jth.2023.101605</w:t>
        </w:r>
      </w:hyperlink>
      <w:r>
        <w:t xml:space="preserve">.</w:t>
      </w:r>
    </w:p>
    <w:bookmarkEnd w:id="135"/>
    <w:bookmarkStart w:id="137"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36">
        <w:r>
          <w:rPr>
            <w:rStyle w:val="Hyperlink"/>
          </w:rPr>
          <w:t xml:space="preserve">https://doi.org/10.1002/berj.3992</w:t>
        </w:r>
      </w:hyperlink>
      <w:r>
        <w:t xml:space="preserve">.</w:t>
      </w:r>
    </w:p>
    <w:bookmarkEnd w:id="137"/>
    <w:bookmarkStart w:id="139"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38">
        <w:r>
          <w:rPr>
            <w:rStyle w:val="Hyperlink"/>
          </w:rPr>
          <w:t xml:space="preserve">https://doi.org/10.1093/ooec/odad029</w:t>
        </w:r>
      </w:hyperlink>
      <w:r>
        <w:t xml:space="preserve">.</w:t>
      </w:r>
    </w:p>
    <w:bookmarkEnd w:id="139"/>
    <w:bookmarkStart w:id="141"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40">
        <w:r>
          <w:rPr>
            <w:rStyle w:val="Hyperlink"/>
          </w:rPr>
          <w:t xml:space="preserve">https://doi.org/10.1186/1471-2458-13-1166</w:t>
        </w:r>
      </w:hyperlink>
      <w:r>
        <w:t xml:space="preserve">.</w:t>
      </w:r>
    </w:p>
    <w:bookmarkEnd w:id="141"/>
    <w:bookmarkStart w:id="143"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42">
        <w:r>
          <w:rPr>
            <w:rStyle w:val="Hyperlink"/>
          </w:rPr>
          <w:t xml:space="preserve">https://doi.org/10.1111/j.1467-8624.2004.00655.x</w:t>
        </w:r>
      </w:hyperlink>
      <w:r>
        <w:t xml:space="preserve">.</w:t>
      </w:r>
    </w:p>
    <w:bookmarkEnd w:id="143"/>
    <w:bookmarkStart w:id="145"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44">
        <w:r>
          <w:rPr>
            <w:rStyle w:val="Hyperlink"/>
          </w:rPr>
          <w:t xml:space="preserve">https://cep.lse.ac.uk/_new/publications/abstract.asp?index=5752</w:t>
        </w:r>
      </w:hyperlink>
      <w:r>
        <w:t xml:space="preserve">.</w:t>
      </w:r>
    </w:p>
    <w:bookmarkEnd w:id="145"/>
    <w:bookmarkStart w:id="147"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46">
        <w:r>
          <w:rPr>
            <w:rStyle w:val="Hyperlink"/>
          </w:rPr>
          <w:t xml:space="preserve">https://doi.org/10.1002/berj.3297</w:t>
        </w:r>
      </w:hyperlink>
      <w:r>
        <w:t xml:space="preserve">.</w:t>
      </w:r>
    </w:p>
    <w:bookmarkEnd w:id="147"/>
    <w:bookmarkStart w:id="149"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48">
        <w:r>
          <w:rPr>
            <w:rStyle w:val="Hyperlink"/>
          </w:rPr>
          <w:t xml:space="preserve">https://doi.org/10.1177/2158244018825171</w:t>
        </w:r>
      </w:hyperlink>
      <w:r>
        <w:t xml:space="preserve">.</w:t>
      </w:r>
    </w:p>
    <w:bookmarkEnd w:id="149"/>
    <w:bookmarkStart w:id="151"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50">
        <w:r>
          <w:rPr>
            <w:rStyle w:val="Hyperlink"/>
          </w:rPr>
          <w:t xml:space="preserve">https://doi.org/10.3390/educsci15010006</w:t>
        </w:r>
      </w:hyperlink>
      <w:r>
        <w:t xml:space="preserve">.</w:t>
      </w:r>
    </w:p>
    <w:bookmarkEnd w:id="151"/>
    <w:bookmarkStart w:id="153"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52">
        <w:r>
          <w:rPr>
            <w:rStyle w:val="Hyperlink"/>
          </w:rPr>
          <w:t xml:space="preserve">https://opendocs.ids.ac.uk/articles/report/The_Contribution_of_Education_to_Economic_Growth/26453986/1</w:t>
        </w:r>
      </w:hyperlink>
      <w:r>
        <w:t xml:space="preserve">.</w:t>
      </w:r>
    </w:p>
    <w:bookmarkEnd w:id="153"/>
    <w:bookmarkStart w:id="155"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54">
        <w:r>
          <w:rPr>
            <w:rStyle w:val="Hyperlink"/>
          </w:rPr>
          <w:t xml:space="preserve">https://doi.org/10.1186/s12889-025-22861-7</w:t>
        </w:r>
      </w:hyperlink>
      <w:r>
        <w:t xml:space="preserve">.</w:t>
      </w:r>
    </w:p>
    <w:bookmarkEnd w:id="155"/>
    <w:bookmarkStart w:id="157" w:name="ref-houtepen_associations_2020"/>
    <w:p>
      <w:pPr>
        <w:pStyle w:val="Bibliography"/>
      </w:pPr>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w:t>
      </w:r>
      <w:r>
        <w:t xml:space="preserve"> </w:t>
      </w:r>
      <w:r>
        <w:t xml:space="preserve">A</w:t>
      </w:r>
      <w:r>
        <w:t xml:space="preserve"> </w:t>
      </w:r>
      <w:r>
        <w:t xml:space="preserve">Prospective Cohort Study in the</w:t>
      </w:r>
      <w:r>
        <w:t xml:space="preserve"> </w:t>
      </w:r>
      <w:r>
        <w:t xml:space="preserve">UK</w:t>
      </w:r>
      <w:r>
        <w:t xml:space="preserve">.”</w:t>
      </w:r>
      <w:r>
        <w:t xml:space="preserve"> </w:t>
      </w:r>
      <w:r>
        <w:rPr>
          <w:i/>
          <w:iCs/>
        </w:rPr>
        <w:t xml:space="preserve">PLOS Medicine</w:t>
      </w:r>
      <w:r>
        <w:t xml:space="preserve"> </w:t>
      </w:r>
      <w:r>
        <w:t xml:space="preserve">17 (3): e1003031.</w:t>
      </w:r>
      <w:r>
        <w:t xml:space="preserve"> </w:t>
      </w:r>
      <w:hyperlink r:id="rId156">
        <w:r>
          <w:rPr>
            <w:rStyle w:val="Hyperlink"/>
          </w:rPr>
          <w:t xml:space="preserve">https://doi.org/10.1371/journal.pmed.1003031</w:t>
        </w:r>
      </w:hyperlink>
      <w:r>
        <w:t xml:space="preserve">.</w:t>
      </w:r>
    </w:p>
    <w:bookmarkEnd w:id="157"/>
    <w:bookmarkStart w:id="159"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58">
        <w:r>
          <w:rPr>
            <w:rStyle w:val="Hyperlink"/>
          </w:rPr>
          <w:t xml:space="preserve">https://doi.org/10.1016/j.psyneuen.2021.105371</w:t>
        </w:r>
      </w:hyperlink>
      <w:r>
        <w:t xml:space="preserve">.</w:t>
      </w:r>
    </w:p>
    <w:bookmarkEnd w:id="159"/>
    <w:bookmarkStart w:id="161"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60">
        <w:r>
          <w:rPr>
            <w:rStyle w:val="Hyperlink"/>
          </w:rPr>
          <w:t xml:space="preserve">https://www.nfer.ac.uk/publications/supporting-the-attainment-of-disadvantaged-pupils-articulating-success-and-good-practice/</w:t>
        </w:r>
      </w:hyperlink>
      <w:r>
        <w:t xml:space="preserve">.</w:t>
      </w:r>
    </w:p>
    <w:bookmarkEnd w:id="161"/>
    <w:bookmarkStart w:id="163"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62">
        <w:r>
          <w:rPr>
            <w:rStyle w:val="Hyperlink"/>
          </w:rPr>
          <w:t xml:space="preserve">https://doi.org/10.14324/LRE.21.1.20</w:t>
        </w:r>
      </w:hyperlink>
      <w:r>
        <w:t xml:space="preserve">.</w:t>
      </w:r>
    </w:p>
    <w:bookmarkEnd w:id="163"/>
    <w:bookmarkStart w:id="165"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64">
        <w:r>
          <w:rPr>
            <w:rStyle w:val="Hyperlink"/>
          </w:rPr>
          <w:t xml:space="preserve">https://doi.org/10.1098/rsif.2017.0213</w:t>
        </w:r>
      </w:hyperlink>
      <w:r>
        <w:t xml:space="preserve">.</w:t>
      </w:r>
    </w:p>
    <w:bookmarkEnd w:id="165"/>
    <w:bookmarkStart w:id="167"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66">
        <w:r>
          <w:rPr>
            <w:rStyle w:val="Hyperlink"/>
          </w:rPr>
          <w:t xml:space="preserve">https://doi.org/10.1111/j.2041-210x.2012.00261.x</w:t>
        </w:r>
      </w:hyperlink>
      <w:r>
        <w:t xml:space="preserve">.</w:t>
      </w:r>
    </w:p>
    <w:bookmarkEnd w:id="167"/>
    <w:bookmarkStart w:id="169"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68">
        <w:r>
          <w:rPr>
            <w:rStyle w:val="Hyperlink"/>
          </w:rPr>
          <w:t xml:space="preserve">https://doi.org/10.1111/pcn.13714</w:t>
        </w:r>
      </w:hyperlink>
      <w:r>
        <w:t xml:space="preserve">.</w:t>
      </w:r>
    </w:p>
    <w:bookmarkEnd w:id="169"/>
    <w:bookmarkStart w:id="171"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70">
        <w:r>
          <w:rPr>
            <w:rStyle w:val="Hyperlink"/>
          </w:rPr>
          <w:t xml:space="preserve">https://doi.org/10.1265/ehpm.25-00290</w:t>
        </w:r>
      </w:hyperlink>
      <w:r>
        <w:t xml:space="preserve">.</w:t>
      </w:r>
    </w:p>
    <w:bookmarkEnd w:id="171"/>
    <w:bookmarkStart w:id="173"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72">
        <w:r>
          <w:rPr>
            <w:rStyle w:val="Hyperlink"/>
          </w:rPr>
          <w:t xml:space="preserve">https://doi.org/10.3109/07420528.2013.826238</w:t>
        </w:r>
      </w:hyperlink>
      <w:r>
        <w:t xml:space="preserve">.</w:t>
      </w:r>
    </w:p>
    <w:bookmarkEnd w:id="173"/>
    <w:bookmarkStart w:id="175"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74">
        <w:r>
          <w:rPr>
            <w:rStyle w:val="Hyperlink"/>
          </w:rPr>
          <w:t xml:space="preserve">https://doi.org/10.1007/s41105-017-0091-0</w:t>
        </w:r>
      </w:hyperlink>
      <w:r>
        <w:t xml:space="preserve">.</w:t>
      </w:r>
    </w:p>
    <w:bookmarkEnd w:id="175"/>
    <w:bookmarkStart w:id="177" w:name="ref-Rakesh2025"/>
    <w:p>
      <w:pPr>
        <w:pStyle w:val="Bibliography"/>
      </w:pPr>
      <w:r>
        <w:t xml:space="preserve">Rakesh, Divyangana, Paris Anne Lee, Amruta Gaikwad, and Katie A. McLaughlin. 2025.</w:t>
      </w:r>
      <w:r>
        <w:t xml:space="preserve"> </w:t>
      </w:r>
      <w:r>
        <w:t xml:space="preserve">“Annual</w:t>
      </w:r>
      <w:r>
        <w:t xml:space="preserve"> </w:t>
      </w:r>
      <w:r>
        <w:t xml:space="preserve">Research</w:t>
      </w:r>
      <w:r>
        <w:t xml:space="preserve"> </w:t>
      </w:r>
      <w:r>
        <w:t xml:space="preserve">Review</w:t>
      </w:r>
      <w:r>
        <w:t xml:space="preserve">:</w:t>
      </w:r>
      <w:r>
        <w:t xml:space="preserve"> </w:t>
      </w:r>
      <w:r>
        <w:t xml:space="preserve">Associations</w:t>
      </w:r>
      <w:r>
        <w:t xml:space="preserve"> </w:t>
      </w:r>
      <w:r>
        <w:t xml:space="preserve">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76">
        <w:r>
          <w:rPr>
            <w:rStyle w:val="Hyperlink"/>
          </w:rPr>
          <w:t xml:space="preserve">https://doi.org/10.1111/jcpp.14082</w:t>
        </w:r>
      </w:hyperlink>
      <w:r>
        <w:t xml:space="preserve">.</w:t>
      </w:r>
    </w:p>
    <w:bookmarkEnd w:id="177"/>
    <w:bookmarkStart w:id="179"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78">
        <w:r>
          <w:rPr>
            <w:rStyle w:val="Hyperlink"/>
          </w:rPr>
          <w:t xml:space="preserve">https://www.gov.uk/government/publications/against-the-odds</w:t>
        </w:r>
      </w:hyperlink>
      <w:r>
        <w:t xml:space="preserve">.</w:t>
      </w:r>
    </w:p>
    <w:bookmarkEnd w:id="179"/>
    <w:bookmarkStart w:id="181"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80">
        <w:r>
          <w:rPr>
            <w:rStyle w:val="Hyperlink"/>
          </w:rPr>
          <w:t xml:space="preserve">https://www.gov.uk/government/publications/examining-the-london-advantage-in-attainment-evidence-from-lsype</w:t>
        </w:r>
      </w:hyperlink>
      <w:r>
        <w:t xml:space="preserve">.</w:t>
      </w:r>
    </w:p>
    <w:bookmarkEnd w:id="181"/>
    <w:bookmarkStart w:id="183"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82">
        <w:r>
          <w:rPr>
            <w:rStyle w:val="Hyperlink"/>
          </w:rPr>
          <w:t xml:space="preserve">https://knowledge.uchicago.edu/record/7216</w:t>
        </w:r>
      </w:hyperlink>
      <w:r>
        <w:t xml:space="preserve">.</w:t>
      </w:r>
    </w:p>
    <w:bookmarkEnd w:id="183"/>
    <w:bookmarkStart w:id="184"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4"/>
    <w:bookmarkStart w:id="186"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85">
        <w:r>
          <w:rPr>
            <w:rStyle w:val="Hyperlink"/>
          </w:rPr>
          <w:t xml:space="preserve">https://doi.org/10.3102/0013189X20949504</w:t>
        </w:r>
      </w:hyperlink>
      <w:r>
        <w:t xml:space="preserve">.</w:t>
      </w:r>
    </w:p>
    <w:bookmarkEnd w:id="186"/>
    <w:bookmarkStart w:id="188"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87">
        <w:r>
          <w:rPr>
            <w:rStyle w:val="Hyperlink"/>
          </w:rPr>
          <w:t xml:space="preserve">https://doi.org/10.1080/01425692.2025.2474040</w:t>
        </w:r>
      </w:hyperlink>
      <w:r>
        <w:t xml:space="preserve">.</w:t>
      </w:r>
    </w:p>
    <w:bookmarkEnd w:id="188"/>
    <w:bookmarkStart w:id="190"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89">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90"/>
    <w:bookmarkStart w:id="192"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91">
        <w:r>
          <w:rPr>
            <w:rStyle w:val="Hyperlink"/>
          </w:rPr>
          <w:t xml:space="preserve">https://doi.org/10.1007/978-3-031-98300-9_17</w:t>
        </w:r>
      </w:hyperlink>
      <w:r>
        <w:t xml:space="preserve">.</w:t>
      </w:r>
    </w:p>
    <w:bookmarkEnd w:id="192"/>
    <w:bookmarkStart w:id="194"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93">
        <w:r>
          <w:rPr>
            <w:rStyle w:val="Hyperlink"/>
          </w:rPr>
          <w:t xml:space="preserve">https://ffteducationdatalab.org.uk/2023/11/are-pupils-who-live-further-away-from-their-school-absent-more-often/</w:t>
        </w:r>
      </w:hyperlink>
      <w:r>
        <w:t xml:space="preserve">.</w:t>
      </w:r>
    </w:p>
    <w:bookmarkEnd w:id="194"/>
    <w:bookmarkStart w:id="196"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5">
        <w:r>
          <w:rPr>
            <w:rStyle w:val="Hyperlink"/>
          </w:rPr>
          <w:t xml:space="preserve">https://epi.org.uk/annual-report-2023/</w:t>
        </w:r>
      </w:hyperlink>
      <w:r>
        <w:t xml:space="preserve">.</w:t>
      </w:r>
    </w:p>
    <w:bookmarkEnd w:id="196"/>
    <w:bookmarkStart w:id="198"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97">
        <w:r>
          <w:rPr>
            <w:rStyle w:val="Hyperlink"/>
          </w:rPr>
          <w:t xml:space="preserve">https://doi.org/10.1177/0739456X17725148</w:t>
        </w:r>
      </w:hyperlink>
      <w:r>
        <w:t xml:space="preserve">.</w:t>
      </w:r>
    </w:p>
    <w:bookmarkEnd w:id="198"/>
    <w:bookmarkStart w:id="200"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99">
        <w:r>
          <w:rPr>
            <w:rStyle w:val="Hyperlink"/>
          </w:rPr>
          <w:t xml:space="preserve">https://doi.org/10.1016/j.sleep.2018.10.041</w:t>
        </w:r>
      </w:hyperlink>
      <w:r>
        <w:t xml:space="preserve">.</w:t>
      </w:r>
    </w:p>
    <w:bookmarkEnd w:id="200"/>
    <w:bookmarkStart w:id="202"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201">
        <w:r>
          <w:rPr>
            <w:rStyle w:val="Hyperlink"/>
          </w:rPr>
          <w:t xml:space="preserve">https://epi.org.uk/publications-and-research/the-influence-of-headteachers-on-their-schools/</w:t>
        </w:r>
      </w:hyperlink>
      <w:r>
        <w:t xml:space="preserve">.</w:t>
      </w:r>
    </w:p>
    <w:bookmarkEnd w:id="202"/>
    <w:bookmarkEnd w:id="203"/>
    <w:bookmarkEnd w:id="204"/>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r>
        <w:t xml:space="preserve"> </w:t>
      </w:r>
      <w:r>
        <w:t xml:space="preserve">- with links through to the source code on Github.</w:t>
      </w:r>
    </w:p>
  </w:footnote>
  <w:footnote w:id="31">
    <w:p>
      <w:pPr>
        <w:pStyle w:val="FootnoteText"/>
      </w:pPr>
      <w:r>
        <w:rPr>
          <w:rStyle w:val="FootnoteReference"/>
        </w:rPr>
        <w:footnoteRef/>
      </w:r>
      <w:r>
        <w:t xml:space="preserve"> </w:t>
      </w:r>
      <w:r>
        <w:t xml:space="preserve">missing data and imputation:</w:t>
      </w:r>
      <w:r>
        <w:t xml:space="preserve"> </w:t>
      </w:r>
      <w:hyperlink r:id="rId32">
        <w:r>
          <w:rPr>
            <w:rStyle w:val="Hyperlink"/>
          </w:rPr>
          <w:t xml:space="preserve">https://adamdennett.github.io/school_attainment_tool/data_overview.html#missing-data</w:t>
        </w:r>
      </w:hyperlink>
    </w:p>
  </w:footnote>
  <w:footnote w:id="34">
    <w:p>
      <w:pPr>
        <w:pStyle w:val="FootnoteText"/>
      </w:pPr>
      <w:r>
        <w:rPr>
          <w:rStyle w:val="FootnoteReference"/>
        </w:rPr>
        <w:footnoteRef/>
      </w:r>
      <w:r>
        <w:t xml:space="preserve"> </w:t>
      </w:r>
      <w:r>
        <w:t xml:space="preserve">See data overview for details</w:t>
      </w:r>
      <w:r>
        <w:t xml:space="preserve"> </w:t>
      </w:r>
      <w:hyperlink r:id="rId35">
        <w:r>
          <w:rPr>
            <w:rStyle w:val="Hyperlink"/>
          </w:rPr>
          <w:t xml:space="preserve">https://osf.io/x82j3/overview</w:t>
        </w:r>
      </w:hyperlink>
    </w:p>
  </w:footnote>
  <w:footnote w:id="45">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6">
    <w:p>
      <w:pPr>
        <w:pStyle w:val="FootnoteText"/>
      </w:pPr>
      <w:r>
        <w:rPr>
          <w:rStyle w:val="FootnoteReference"/>
        </w:rPr>
        <w:footnoteRef/>
      </w:r>
      <w:r>
        <w:t xml:space="preserve"> </w:t>
      </w:r>
      <w:r>
        <w:t xml:space="preserve">Stepwise Models for all pupil groups</w:t>
      </w:r>
      <w:r>
        <w:t xml:space="preserve"> </w:t>
      </w:r>
      <w:hyperlink r:id="rId47">
        <w:r>
          <w:rPr>
            <w:rStyle w:val="Hyperlink"/>
          </w:rPr>
          <w:t xml:space="preserve">https://adamdennett.github.io/school_attainment_tool/model_results.html#stepwise-model-building</w:t>
        </w:r>
      </w:hyperlink>
    </w:p>
  </w:footnote>
  <w:footnote w:id="48">
    <w:p>
      <w:pPr>
        <w:pStyle w:val="FootnoteText"/>
      </w:pPr>
      <w:r>
        <w:rPr>
          <w:rStyle w:val="FootnoteReference"/>
        </w:rPr>
        <w:footnoteRef/>
      </w:r>
      <w:r>
        <w:t xml:space="preserve"> </w:t>
      </w:r>
      <w:r>
        <w:t xml:space="preserve">See supplementary material for robustness checks:</w:t>
      </w:r>
      <w:r>
        <w:t xml:space="preserve"> </w:t>
      </w:r>
      <w:hyperlink r:id="rId49">
        <w:r>
          <w:rPr>
            <w:rStyle w:val="Hyperlink"/>
          </w:rPr>
          <w:t xml:space="preserve">https://adamdennett.github.io/school_attainment_tool/model_experiments.html</w:t>
        </w:r>
      </w:hyperlink>
    </w:p>
  </w:footnote>
  <w:footnote w:id="5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3">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4">
        <w:r>
          <w:rPr>
            <w:rStyle w:val="Hyperlink"/>
          </w:rPr>
          <w:t xml:space="preserve">https://democracy.brighton-hove.gov.uk/documents/s205834/School%20Admission%20Arrangements%202026-27.pdf</w:t>
        </w:r>
      </w:hyperlink>
      <w:r>
        <w:t xml:space="preserve">.</w:t>
      </w:r>
    </w:p>
  </w:footnote>
  <w:footnote w:id="5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6">
        <w:r>
          <w:rPr>
            <w:rStyle w:val="Hyperlink"/>
          </w:rPr>
          <w:t xml:space="preserve">https://yourvoice.brighton-hove.gov.uk/en-GB/projects/school-admission-arrangements-public-consultation/1</w:t>
        </w:r>
      </w:hyperlink>
      <w:r>
        <w:t xml:space="preserve">.</w:t>
      </w:r>
    </w:p>
  </w:footnote>
  <w:footnote w:id="57">
    <w:p>
      <w:pPr>
        <w:pStyle w:val="FootnoteText"/>
      </w:pPr>
      <w:r>
        <w:rPr>
          <w:rStyle w:val="FootnoteReference"/>
        </w:rPr>
        <w:footnoteRef/>
      </w:r>
      <w:r>
        <w:t xml:space="preserve"> </w:t>
      </w:r>
      <w:hyperlink r:id="rId58">
        <w:r>
          <w:rPr>
            <w:rStyle w:val="Hyperlink"/>
          </w:rPr>
          <w:t xml:space="preserve">https://www.brighton-hove.gov.uk/schools-and-learning/school-policies-reports-strategies-and-other-documents/better-outcomes-better-lives-brighton-hoves-strategy-tackling-educational-disadvantage</w:t>
        </w:r>
      </w:hyperlink>
    </w:p>
  </w:footnote>
  <w:footnote w:id="80">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81">
        <w:r>
          <w:rPr>
            <w:rStyle w:val="Hyperlink"/>
          </w:rPr>
          <w:t xml:space="preserve">https://adamdennett.github.io/school_attainment_tool/model_experiments.html#sec-two-stage-absence</w:t>
        </w:r>
      </w:hyperlink>
    </w:p>
  </w:footnote>
  <w:footnote w:id="88">
    <w:p>
      <w:pPr>
        <w:pStyle w:val="FootnoteText"/>
      </w:pPr>
      <w:r>
        <w:rPr>
          <w:rStyle w:val="FootnoteReference"/>
        </w:rPr>
        <w:footnoteRef/>
      </w:r>
      <w:r>
        <w:t xml:space="preserve"> </w:t>
      </w:r>
      <w:r>
        <w:t xml:space="preserve">Brighton and Hove Council 2024 Consultation Papers:</w:t>
      </w:r>
      <w:r>
        <w:t xml:space="preserve"> </w:t>
      </w:r>
      <w:hyperlink r:id="rId56">
        <w:r>
          <w:rPr>
            <w:rStyle w:val="Hyperlink"/>
          </w:rPr>
          <w:t xml:space="preserve">https://yourvoice.brighton-hove.gov.uk/en-GB/projects/school-admission-arrangements-public-consultation/1</w:t>
        </w:r>
      </w:hyperlink>
    </w:p>
  </w:footnote>
  <w:footnote w:id="9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3">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4">
        <w:r>
          <w:rPr>
            <w:rStyle w:val="Hyperlink"/>
          </w:rPr>
          <w:t xml:space="preserve">https://democracy.brighton-hove.gov.uk/documents/s205834/School%20Admission%20Arrangements%202026-27.pdf</w:t>
        </w:r>
      </w:hyperlink>
      <w:r>
        <w:t xml:space="preserve">.</w:t>
      </w:r>
    </w:p>
  </w:footnote>
  <w:footnote w:id="9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6">
        <w:r>
          <w:rPr>
            <w:rStyle w:val="Hyperlink"/>
          </w:rPr>
          <w:t xml:space="preserve">https://yourvoice.brighton-hove.gov.uk/en-GB/projects/school-admission-arrangements-public-consultation/1</w:t>
        </w:r>
      </w:hyperlink>
      <w:r>
        <w:t xml:space="preserve">.</w:t>
      </w:r>
    </w:p>
  </w:footnote>
  <w:footnote w:id="94">
    <w:p>
      <w:pPr>
        <w:pStyle w:val="FootnoteText"/>
      </w:pPr>
      <w:r>
        <w:rPr>
          <w:rStyle w:val="FootnoteReference"/>
        </w:rPr>
        <w:footnoteRef/>
      </w:r>
      <w:r>
        <w:t xml:space="preserve"> </w:t>
      </w:r>
      <w:hyperlink r:id="rId95">
        <w:r>
          <w:rPr>
            <w:rStyle w:val="Hyperlink"/>
          </w:rPr>
          <w:t xml:space="preserve">https://reports.ofsted.gov.uk/provider/23/136164</w:t>
        </w:r>
      </w:hyperlink>
    </w:p>
  </w:footnote>
  <w:footnote w:id="97">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3">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4">
        <w:r>
          <w:rPr>
            <w:rStyle w:val="Hyperlink"/>
          </w:rPr>
          <w:t xml:space="preserve">https://democracy.brighton-hove.gov.uk/documents/s205834/School%20Admission%20Arrangements%202026-27.pdf</w:t>
        </w:r>
      </w:hyperlink>
      <w:r>
        <w:t xml:space="preserve">.</w:t>
      </w:r>
    </w:p>
  </w:footnote>
  <w:footnote w:id="100">
    <w:p>
      <w:pPr>
        <w:pStyle w:val="FootnoteText"/>
      </w:pPr>
      <w:r>
        <w:rPr>
          <w:rStyle w:val="FootnoteReference"/>
        </w:rPr>
        <w:footnoteRef/>
      </w:r>
      <w:r>
        <w:t xml:space="preserve"> </w:t>
      </w:r>
      <w:r>
        <w:t xml:space="preserve">School Attainment Policy Simulator:</w:t>
      </w:r>
      <w:r>
        <w:t xml:space="preserve"> </w:t>
      </w:r>
      <w:hyperlink r:id="rId101">
        <w:r>
          <w:rPr>
            <w:rStyle w:val="Hyperlink"/>
          </w:rPr>
          <w:t xml:space="preserve">https://adam-dennett.shinyapps.io/School_Attainment_Policy_Simulator/</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41" Target="media/rId41.png" /><Relationship Type="http://schemas.openxmlformats.org/officeDocument/2006/relationships/hyperlink" Id="rId10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30" Target="https://adamdennett.github.io/school_attainment_tool/" TargetMode="External" /><Relationship Type="http://schemas.openxmlformats.org/officeDocument/2006/relationships/hyperlink" Id="rId32" Target="https://adamdennett.github.io/school_attainment_tool/data_overview.html#missing-data" TargetMode="External" /><Relationship Type="http://schemas.openxmlformats.org/officeDocument/2006/relationships/hyperlink" Id="rId49" Target="https://adamdennett.github.io/school_attainment_tool/model_experiments.html" TargetMode="External" /><Relationship Type="http://schemas.openxmlformats.org/officeDocument/2006/relationships/hyperlink" Id="rId81" Target="https://adamdennett.github.io/school_attainment_tool/model_experiments.html#sec-two-stage-absence" TargetMode="External" /><Relationship Type="http://schemas.openxmlformats.org/officeDocument/2006/relationships/hyperlink" Id="rId47" Target="https://adamdennett.github.io/school_attainment_tool/model_results.html#stepwise-model-building" TargetMode="External" /><Relationship Type="http://schemas.openxmlformats.org/officeDocument/2006/relationships/hyperlink" Id="rId144" Target="https://cep.lse.ac.uk/_new/publications/abstract.asp?index=5752" TargetMode="External" /><Relationship Type="http://schemas.openxmlformats.org/officeDocument/2006/relationships/hyperlink" Id="rId122" Target="https://committees.parliament.uk/committee/203/education-committee/news/156024/forgotten-white-workingclass-pupils-let-down-by-decades-of-neglect-mps-say/" TargetMode="External" /><Relationship Type="http://schemas.openxmlformats.org/officeDocument/2006/relationships/hyperlink" Id="rId53" Target="https://democracy.brighton-hove.gov.uk/documents/s204040/School%20Admission%20Arrangements%202026-27.pdf" TargetMode="External" /><Relationship Type="http://schemas.openxmlformats.org/officeDocument/2006/relationships/hyperlink" Id="rId54" Target="https://democracy.brighton-hove.gov.uk/documents/s205834/School%20Admission%20Arrangements%202026-27.pdf" TargetMode="External" /><Relationship Type="http://schemas.openxmlformats.org/officeDocument/2006/relationships/hyperlink" Id="rId146" Target="https://doi.org/10.1002/berj.3297" TargetMode="External" /><Relationship Type="http://schemas.openxmlformats.org/officeDocument/2006/relationships/hyperlink" Id="rId136" Target="https://doi.org/10.1002/berj.3992" TargetMode="External" /><Relationship Type="http://schemas.openxmlformats.org/officeDocument/2006/relationships/hyperlink" Id="rId191" Target="https://doi.org/10.1007/978-3-031-98300-9_17" TargetMode="External" /><Relationship Type="http://schemas.openxmlformats.org/officeDocument/2006/relationships/hyperlink" Id="rId174" Target="https://doi.org/10.1007/s41105-017-0091-0" TargetMode="External" /><Relationship Type="http://schemas.openxmlformats.org/officeDocument/2006/relationships/hyperlink" Id="rId118" Target="https://doi.org/10.1016/j.econedurev.2023.102405" TargetMode="External" /><Relationship Type="http://schemas.openxmlformats.org/officeDocument/2006/relationships/hyperlink" Id="rId134" Target="https://doi.org/10.1016/j.jth.2023.101605" TargetMode="External" /><Relationship Type="http://schemas.openxmlformats.org/officeDocument/2006/relationships/hyperlink" Id="rId158" Target="https://doi.org/10.1016/j.psyneuen.2021.105371" TargetMode="External" /><Relationship Type="http://schemas.openxmlformats.org/officeDocument/2006/relationships/hyperlink" Id="rId199" Target="https://doi.org/10.1016/j.sleep.2018.10.041" TargetMode="External" /><Relationship Type="http://schemas.openxmlformats.org/officeDocument/2006/relationships/hyperlink" Id="rId187" Target="https://doi.org/10.1080/01425692.2025.2474040" TargetMode="External" /><Relationship Type="http://schemas.openxmlformats.org/officeDocument/2006/relationships/hyperlink" Id="rId112" Target="https://doi.org/10.1080/0305764X.2024.2420611" TargetMode="External" /><Relationship Type="http://schemas.openxmlformats.org/officeDocument/2006/relationships/hyperlink" Id="rId108" Target="https://doi.org/10.1080/09645292.2017.1366425" TargetMode="External" /><Relationship Type="http://schemas.openxmlformats.org/officeDocument/2006/relationships/hyperlink" Id="rId138" Target="https://doi.org/10.1093/ooec/odad029" TargetMode="External" /><Relationship Type="http://schemas.openxmlformats.org/officeDocument/2006/relationships/hyperlink" Id="rId164" Target="https://doi.org/10.1098/rsif.2017.0213" TargetMode="External" /><Relationship Type="http://schemas.openxmlformats.org/officeDocument/2006/relationships/hyperlink" Id="rId142" Target="https://doi.org/10.1111/j.1467-8624.2004.00655.x" TargetMode="External" /><Relationship Type="http://schemas.openxmlformats.org/officeDocument/2006/relationships/hyperlink" Id="rId110" Target="https://doi.org/10.1111/j.1475-5661.2012.00511.x" TargetMode="External" /><Relationship Type="http://schemas.openxmlformats.org/officeDocument/2006/relationships/hyperlink" Id="rId166" Target="https://doi.org/10.1111/j.2041-210x.2012.00261.x" TargetMode="External" /><Relationship Type="http://schemas.openxmlformats.org/officeDocument/2006/relationships/hyperlink" Id="rId176" Target="https://doi.org/10.1111/jcpp.14082" TargetMode="External" /><Relationship Type="http://schemas.openxmlformats.org/officeDocument/2006/relationships/hyperlink" Id="rId168" Target="https://doi.org/10.1111/pcn.13714" TargetMode="External" /><Relationship Type="http://schemas.openxmlformats.org/officeDocument/2006/relationships/hyperlink" Id="rId116" Target="https://doi.org/10.1177/0308518X18787820" TargetMode="External" /><Relationship Type="http://schemas.openxmlformats.org/officeDocument/2006/relationships/hyperlink" Id="rId197" Target="https://doi.org/10.1177/0739456X17725148" TargetMode="External" /><Relationship Type="http://schemas.openxmlformats.org/officeDocument/2006/relationships/hyperlink" Id="rId148" Target="https://doi.org/10.1177/2158244018825171" TargetMode="External" /><Relationship Type="http://schemas.openxmlformats.org/officeDocument/2006/relationships/hyperlink" Id="rId140" Target="https://doi.org/10.1186/1471-2458-13-1166" TargetMode="External" /><Relationship Type="http://schemas.openxmlformats.org/officeDocument/2006/relationships/hyperlink" Id="rId154" Target="https://doi.org/10.1186/s12889-025-22861-7" TargetMode="External" /><Relationship Type="http://schemas.openxmlformats.org/officeDocument/2006/relationships/hyperlink" Id="rId170" Target="https://doi.org/10.1265/ehpm.25-00290" TargetMode="External" /><Relationship Type="http://schemas.openxmlformats.org/officeDocument/2006/relationships/hyperlink" Id="rId156" Target="https://doi.org/10.1371/journal.pmed.1003031" TargetMode="External" /><Relationship Type="http://schemas.openxmlformats.org/officeDocument/2006/relationships/hyperlink" Id="rId120" Target="https://doi.org/10.1371/journal.pone.0314687" TargetMode="External" /><Relationship Type="http://schemas.openxmlformats.org/officeDocument/2006/relationships/hyperlink" Id="rId162" Target="https://doi.org/10.14324/LRE.21.1.20" TargetMode="External" /><Relationship Type="http://schemas.openxmlformats.org/officeDocument/2006/relationships/hyperlink" Id="rId185" Target="https://doi.org/10.3102/0013189X20949504" TargetMode="External" /><Relationship Type="http://schemas.openxmlformats.org/officeDocument/2006/relationships/hyperlink" Id="rId124" Target="https://doi.org/10.3102/01623737221092450" TargetMode="External" /><Relationship Type="http://schemas.openxmlformats.org/officeDocument/2006/relationships/hyperlink" Id="rId172" Target="https://doi.org/10.3109/07420528.2013.826238" TargetMode="External" /><Relationship Type="http://schemas.openxmlformats.org/officeDocument/2006/relationships/hyperlink" Id="rId150" Target="https://doi.org/10.3390/educsci15010006" TargetMode="External" /><Relationship Type="http://schemas.openxmlformats.org/officeDocument/2006/relationships/hyperlink" Id="rId195" Target="https://epi.org.uk/annual-report-2023/" TargetMode="External" /><Relationship Type="http://schemas.openxmlformats.org/officeDocument/2006/relationships/hyperlink" Id="rId201" Target="https://epi.org.uk/publications-and-research/the-influence-of-headteachers-on-their-schools/" TargetMode="External" /><Relationship Type="http://schemas.openxmlformats.org/officeDocument/2006/relationships/hyperlink" Id="rId130" Target="https://explore-education-statistics.service.gov.uk/find-statistics/pupil-absence-in-schools-in-england/2024-25-autumn-and-spring-term" TargetMode="External" /><Relationship Type="http://schemas.openxmlformats.org/officeDocument/2006/relationships/hyperlink" Id="rId126" Target="https://explore-education-statistics.service.gov.uk/find-statistics/the-link-between-absence-and-attainment-at-ks2-and-ks4/2018-19" TargetMode="External" /><Relationship Type="http://schemas.openxmlformats.org/officeDocument/2006/relationships/hyperlink" Id="rId193" Target="https://ffteducationdatalab.org.uk/2023/11/are-pupils-who-live-further-away-from-their-school-absent-more-often/" TargetMode="External" /><Relationship Type="http://schemas.openxmlformats.org/officeDocument/2006/relationships/hyperlink" Id="rId182" Target="https://knowledge.uchicago.edu/record/7216" TargetMode="External" /><Relationship Type="http://schemas.openxmlformats.org/officeDocument/2006/relationships/hyperlink" Id="rId152" Target="https://opendocs.ids.ac.uk/articles/report/The_Contribution_of_Education_to_Economic_Growth/26453986/1" TargetMode="External" /><Relationship Type="http://schemas.openxmlformats.org/officeDocument/2006/relationships/hyperlink" Id="rId35" Target="https://osf.io/x82j3/overview" TargetMode="External" /><Relationship Type="http://schemas.openxmlformats.org/officeDocument/2006/relationships/hyperlink" Id="rId95" Target="https://reports.ofsted.gov.uk/provider/23/136164" TargetMode="External" /><Relationship Type="http://schemas.openxmlformats.org/officeDocument/2006/relationships/hyperlink" Id="rId58"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8" Target="https://www.gov.uk/government/publications/against-the-odds" TargetMode="External" /><Relationship Type="http://schemas.openxmlformats.org/officeDocument/2006/relationships/hyperlink" Id="rId132" Target="https://www.gov.uk/government/publications/every-child-achieving-and-thriving/every-child-achieving-and-thriving-html-version" TargetMode="External" /><Relationship Type="http://schemas.openxmlformats.org/officeDocument/2006/relationships/hyperlink" Id="rId180" Target="https://www.gov.uk/government/publications/examining-the-london-advantage-in-attainment-evidence-from-lsype" TargetMode="External" /><Relationship Type="http://schemas.openxmlformats.org/officeDocument/2006/relationships/hyperlink" Id="rId128" Target="https://www.gov.uk/government/publications/link-between-attendance-and-attainment" TargetMode="External" /><Relationship Type="http://schemas.openxmlformats.org/officeDocument/2006/relationships/hyperlink" Id="rId18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0" Target="https://www.nfer.ac.uk/publications/supporting-the-attainment-of-disadvantaged-pupils-articulating-success-and-good-practice/" TargetMode="External" /><Relationship Type="http://schemas.openxmlformats.org/officeDocument/2006/relationships/hyperlink" Id="rId114" Target="https://www.urban.org/sites/default/files/publication/99027/time_to_school_and_student_outcomes_in_dc_1.pdf" TargetMode="External" /><Relationship Type="http://schemas.openxmlformats.org/officeDocument/2006/relationships/hyperlink" Id="rId56"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0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30" Target="https://adamdennett.github.io/school_attainment_tool/" TargetMode="External" /><Relationship Type="http://schemas.openxmlformats.org/officeDocument/2006/relationships/hyperlink" Id="rId32" Target="https://adamdennett.github.io/school_attainment_tool/data_overview.html#missing-data" TargetMode="External" /><Relationship Type="http://schemas.openxmlformats.org/officeDocument/2006/relationships/hyperlink" Id="rId49" Target="https://adamdennett.github.io/school_attainment_tool/model_experiments.html" TargetMode="External" /><Relationship Type="http://schemas.openxmlformats.org/officeDocument/2006/relationships/hyperlink" Id="rId81" Target="https://adamdennett.github.io/school_attainment_tool/model_experiments.html#sec-two-stage-absence" TargetMode="External" /><Relationship Type="http://schemas.openxmlformats.org/officeDocument/2006/relationships/hyperlink" Id="rId47" Target="https://adamdennett.github.io/school_attainment_tool/model_results.html#stepwise-model-building" TargetMode="External" /><Relationship Type="http://schemas.openxmlformats.org/officeDocument/2006/relationships/hyperlink" Id="rId144" Target="https://cep.lse.ac.uk/_new/publications/abstract.asp?index=5752" TargetMode="External" /><Relationship Type="http://schemas.openxmlformats.org/officeDocument/2006/relationships/hyperlink" Id="rId122" Target="https://committees.parliament.uk/committee/203/education-committee/news/156024/forgotten-white-workingclass-pupils-let-down-by-decades-of-neglect-mps-say/" TargetMode="External" /><Relationship Type="http://schemas.openxmlformats.org/officeDocument/2006/relationships/hyperlink" Id="rId53" Target="https://democracy.brighton-hove.gov.uk/documents/s204040/School%20Admission%20Arrangements%202026-27.pdf" TargetMode="External" /><Relationship Type="http://schemas.openxmlformats.org/officeDocument/2006/relationships/hyperlink" Id="rId54" Target="https://democracy.brighton-hove.gov.uk/documents/s205834/School%20Admission%20Arrangements%202026-27.pdf" TargetMode="External" /><Relationship Type="http://schemas.openxmlformats.org/officeDocument/2006/relationships/hyperlink" Id="rId146" Target="https://doi.org/10.1002/berj.3297" TargetMode="External" /><Relationship Type="http://schemas.openxmlformats.org/officeDocument/2006/relationships/hyperlink" Id="rId136" Target="https://doi.org/10.1002/berj.3992" TargetMode="External" /><Relationship Type="http://schemas.openxmlformats.org/officeDocument/2006/relationships/hyperlink" Id="rId191" Target="https://doi.org/10.1007/978-3-031-98300-9_17" TargetMode="External" /><Relationship Type="http://schemas.openxmlformats.org/officeDocument/2006/relationships/hyperlink" Id="rId174" Target="https://doi.org/10.1007/s41105-017-0091-0" TargetMode="External" /><Relationship Type="http://schemas.openxmlformats.org/officeDocument/2006/relationships/hyperlink" Id="rId118" Target="https://doi.org/10.1016/j.econedurev.2023.102405" TargetMode="External" /><Relationship Type="http://schemas.openxmlformats.org/officeDocument/2006/relationships/hyperlink" Id="rId134" Target="https://doi.org/10.1016/j.jth.2023.101605" TargetMode="External" /><Relationship Type="http://schemas.openxmlformats.org/officeDocument/2006/relationships/hyperlink" Id="rId158" Target="https://doi.org/10.1016/j.psyneuen.2021.105371" TargetMode="External" /><Relationship Type="http://schemas.openxmlformats.org/officeDocument/2006/relationships/hyperlink" Id="rId199" Target="https://doi.org/10.1016/j.sleep.2018.10.041" TargetMode="External" /><Relationship Type="http://schemas.openxmlformats.org/officeDocument/2006/relationships/hyperlink" Id="rId187" Target="https://doi.org/10.1080/01425692.2025.2474040" TargetMode="External" /><Relationship Type="http://schemas.openxmlformats.org/officeDocument/2006/relationships/hyperlink" Id="rId112" Target="https://doi.org/10.1080/0305764X.2024.2420611" TargetMode="External" /><Relationship Type="http://schemas.openxmlformats.org/officeDocument/2006/relationships/hyperlink" Id="rId108" Target="https://doi.org/10.1080/09645292.2017.1366425" TargetMode="External" /><Relationship Type="http://schemas.openxmlformats.org/officeDocument/2006/relationships/hyperlink" Id="rId138" Target="https://doi.org/10.1093/ooec/odad029" TargetMode="External" /><Relationship Type="http://schemas.openxmlformats.org/officeDocument/2006/relationships/hyperlink" Id="rId164" Target="https://doi.org/10.1098/rsif.2017.0213" TargetMode="External" /><Relationship Type="http://schemas.openxmlformats.org/officeDocument/2006/relationships/hyperlink" Id="rId142" Target="https://doi.org/10.1111/j.1467-8624.2004.00655.x" TargetMode="External" /><Relationship Type="http://schemas.openxmlformats.org/officeDocument/2006/relationships/hyperlink" Id="rId110" Target="https://doi.org/10.1111/j.1475-5661.2012.00511.x" TargetMode="External" /><Relationship Type="http://schemas.openxmlformats.org/officeDocument/2006/relationships/hyperlink" Id="rId166" Target="https://doi.org/10.1111/j.2041-210x.2012.00261.x" TargetMode="External" /><Relationship Type="http://schemas.openxmlformats.org/officeDocument/2006/relationships/hyperlink" Id="rId176" Target="https://doi.org/10.1111/jcpp.14082" TargetMode="External" /><Relationship Type="http://schemas.openxmlformats.org/officeDocument/2006/relationships/hyperlink" Id="rId168" Target="https://doi.org/10.1111/pcn.13714" TargetMode="External" /><Relationship Type="http://schemas.openxmlformats.org/officeDocument/2006/relationships/hyperlink" Id="rId116" Target="https://doi.org/10.1177/0308518X18787820" TargetMode="External" /><Relationship Type="http://schemas.openxmlformats.org/officeDocument/2006/relationships/hyperlink" Id="rId197" Target="https://doi.org/10.1177/0739456X17725148" TargetMode="External" /><Relationship Type="http://schemas.openxmlformats.org/officeDocument/2006/relationships/hyperlink" Id="rId148" Target="https://doi.org/10.1177/2158244018825171" TargetMode="External" /><Relationship Type="http://schemas.openxmlformats.org/officeDocument/2006/relationships/hyperlink" Id="rId140" Target="https://doi.org/10.1186/1471-2458-13-1166" TargetMode="External" /><Relationship Type="http://schemas.openxmlformats.org/officeDocument/2006/relationships/hyperlink" Id="rId154" Target="https://doi.org/10.1186/s12889-025-22861-7" TargetMode="External" /><Relationship Type="http://schemas.openxmlformats.org/officeDocument/2006/relationships/hyperlink" Id="rId170" Target="https://doi.org/10.1265/ehpm.25-00290" TargetMode="External" /><Relationship Type="http://schemas.openxmlformats.org/officeDocument/2006/relationships/hyperlink" Id="rId156" Target="https://doi.org/10.1371/journal.pmed.1003031" TargetMode="External" /><Relationship Type="http://schemas.openxmlformats.org/officeDocument/2006/relationships/hyperlink" Id="rId120" Target="https://doi.org/10.1371/journal.pone.0314687" TargetMode="External" /><Relationship Type="http://schemas.openxmlformats.org/officeDocument/2006/relationships/hyperlink" Id="rId162" Target="https://doi.org/10.14324/LRE.21.1.20" TargetMode="External" /><Relationship Type="http://schemas.openxmlformats.org/officeDocument/2006/relationships/hyperlink" Id="rId185" Target="https://doi.org/10.3102/0013189X20949504" TargetMode="External" /><Relationship Type="http://schemas.openxmlformats.org/officeDocument/2006/relationships/hyperlink" Id="rId124" Target="https://doi.org/10.3102/01623737221092450" TargetMode="External" /><Relationship Type="http://schemas.openxmlformats.org/officeDocument/2006/relationships/hyperlink" Id="rId172" Target="https://doi.org/10.3109/07420528.2013.826238" TargetMode="External" /><Relationship Type="http://schemas.openxmlformats.org/officeDocument/2006/relationships/hyperlink" Id="rId150" Target="https://doi.org/10.3390/educsci15010006" TargetMode="External" /><Relationship Type="http://schemas.openxmlformats.org/officeDocument/2006/relationships/hyperlink" Id="rId195" Target="https://epi.org.uk/annual-report-2023/" TargetMode="External" /><Relationship Type="http://schemas.openxmlformats.org/officeDocument/2006/relationships/hyperlink" Id="rId201" Target="https://epi.org.uk/publications-and-research/the-influence-of-headteachers-on-their-schools/" TargetMode="External" /><Relationship Type="http://schemas.openxmlformats.org/officeDocument/2006/relationships/hyperlink" Id="rId130" Target="https://explore-education-statistics.service.gov.uk/find-statistics/pupil-absence-in-schools-in-england/2024-25-autumn-and-spring-term" TargetMode="External" /><Relationship Type="http://schemas.openxmlformats.org/officeDocument/2006/relationships/hyperlink" Id="rId126" Target="https://explore-education-statistics.service.gov.uk/find-statistics/the-link-between-absence-and-attainment-at-ks2-and-ks4/2018-19" TargetMode="External" /><Relationship Type="http://schemas.openxmlformats.org/officeDocument/2006/relationships/hyperlink" Id="rId193" Target="https://ffteducationdatalab.org.uk/2023/11/are-pupils-who-live-further-away-from-their-school-absent-more-often/" TargetMode="External" /><Relationship Type="http://schemas.openxmlformats.org/officeDocument/2006/relationships/hyperlink" Id="rId182" Target="https://knowledge.uchicago.edu/record/7216" TargetMode="External" /><Relationship Type="http://schemas.openxmlformats.org/officeDocument/2006/relationships/hyperlink" Id="rId152" Target="https://opendocs.ids.ac.uk/articles/report/The_Contribution_of_Education_to_Economic_Growth/26453986/1" TargetMode="External" /><Relationship Type="http://schemas.openxmlformats.org/officeDocument/2006/relationships/hyperlink" Id="rId35" Target="https://osf.io/x82j3/overview" TargetMode="External" /><Relationship Type="http://schemas.openxmlformats.org/officeDocument/2006/relationships/hyperlink" Id="rId95" Target="https://reports.ofsted.gov.uk/provider/23/136164" TargetMode="External" /><Relationship Type="http://schemas.openxmlformats.org/officeDocument/2006/relationships/hyperlink" Id="rId58"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8" Target="https://www.gov.uk/government/publications/against-the-odds" TargetMode="External" /><Relationship Type="http://schemas.openxmlformats.org/officeDocument/2006/relationships/hyperlink" Id="rId132" Target="https://www.gov.uk/government/publications/every-child-achieving-and-thriving/every-child-achieving-and-thriving-html-version" TargetMode="External" /><Relationship Type="http://schemas.openxmlformats.org/officeDocument/2006/relationships/hyperlink" Id="rId180" Target="https://www.gov.uk/government/publications/examining-the-london-advantage-in-attainment-evidence-from-lsype" TargetMode="External" /><Relationship Type="http://schemas.openxmlformats.org/officeDocument/2006/relationships/hyperlink" Id="rId128" Target="https://www.gov.uk/government/publications/link-between-attendance-and-attainment" TargetMode="External" /><Relationship Type="http://schemas.openxmlformats.org/officeDocument/2006/relationships/hyperlink" Id="rId18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0" Target="https://www.nfer.ac.uk/publications/supporting-the-attainment-of-disadvantaged-pupils-articulating-success-and-good-practice/" TargetMode="External" /><Relationship Type="http://schemas.openxmlformats.org/officeDocument/2006/relationships/hyperlink" Id="rId114" Target="https://www.urban.org/sites/default/files/publication/99027/time_to_school_and_student_outcomes_in_dc_1.pdf" TargetMode="External" /><Relationship Type="http://schemas.openxmlformats.org/officeDocument/2006/relationships/hyperlink" Id="rId56"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2026-08-19T12:35:51Z</dcterms:created>
  <dcterms:modified xsi:type="dcterms:W3CDTF">2026-08-19T12:35:51Z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2026-08-19</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