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52.png" ContentType="image/png"/>
  <Override PartName="/word/media/rId57.png" ContentType="image/png"/>
  <Override PartName="/word/media/rId67.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Pull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Dan Campbell-Meiklejohn</w:t>
      </w:r>
    </w:p>
    <w:p>
      <w:pPr>
        <w:pStyle w:val="Date"/>
      </w:pPr>
      <w:r>
        <w:t xml:space="preserve">2026-04-14</w:t>
      </w:r>
    </w:p>
    <w:p>
      <w:pPr>
        <w:pStyle w:val="AbstractTitle"/>
      </w:pPr>
      <w:r>
        <w:t xml:space="preserve">Abstract</w:t>
      </w:r>
    </w:p>
    <w:p>
      <w:pPr>
        <w:pStyle w:val="Abstract"/>
      </w:pPr>
      <w:r>
        <w:t xml:space="preserve">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have considerable social costs. In contrast, Brighton and Hove has the second worst absence rate in England. The council policy was pulling a costly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secondary school admissions policy proposals in 2024–25 were designed around the wrong local attainment drivers, which would not have occurred if the policy was directly informed by the available data.</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promoted to the public as premised on the assumption that attainment in the city was</w:t>
      </w:r>
      <w:r>
        <w:t xml:space="preserve"> </w:t>
      </w:r>
      <w:r>
        <w:t xml:space="preserve">‘driven by economic advantage’</w:t>
      </w:r>
      <w:r>
        <w:t xml:space="preserve"> </w:t>
      </w:r>
      <w:r>
        <w:t xml:space="preserve">and that redistributing pupils around the city would narrow the attainment gap. The response to the consultation was overwhelmingly negative from parents and schools alike, yet many did not have the tools to effectively challenge the council’s narrative and the core policy direction persisted - albeit eventually slightly watered down from the initial proposals.</w:t>
      </w:r>
    </w:p>
    <w:p>
      <w:pPr>
        <w:pStyle w:val="BodyText"/>
      </w:pPr>
      <w:r>
        <w:t xml:space="preserve">Raw data on the attainment gap, without context, was used by the local council as partial justification for the policies proposed. The city noted a correlation between concentration of disadvantage in schools, geography, and lower attainment. This was painted by the policy makers as a failure in need of urgent action to counter the assumed impact of economic advantage on school admissions. Due to the assumed dominance of the impact of economic advantage, the impacts of long school journeys to schools outside of local communities on safety, attainment, environment and wellbeing of affected children were not scrutinised in depth. It is our proposal that detailed data and analytics about the local situation would have led to a different frame of the city’s situation. Some rapidly produced analysis was put into the public domain by some of the authors of this paper</w:t>
      </w:r>
      <w:r>
        <w:rPr>
          <w:rStyle w:val="FootnoteReference"/>
        </w:rPr>
        <w:footnoteReference w:id="20"/>
      </w:r>
      <w:r>
        <w:t xml:space="preserve">, but this was produced as a response to, rather than contributing to, the creation of the policy. Consistent with the national picture, there is an attainment gap in Brighton and Hove. However, what we (the citizens of Brighton and Hove, including the local councillors developing policy) didn’t know it at the time, was prior to the policy proposals Brighton and Hove was one of the best performing Local Education Authorities in the Country for both disadvantaged (7th out of 152) and non-disadvantaged (5th out of 152) GCSE attainment, once you account for the factors we know influence that attainment. With this knowledge, the approach to improving outcomes for disadvantaged pupils could have been more effective by asking, for example,</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While we can’t know if open, accessible, location-specific analysis would have resulted in a change of policy direction, it would have facilitated far more informed policy development.</w:t>
      </w:r>
    </w:p>
    <w:p>
      <w:pPr>
        <w:pStyle w:val="BodyText"/>
      </w:pPr>
      <w:r>
        <w:t xml:space="preserve">The discussions that led to this paper took place over an 18 month period spanning the 2024 and 2025 secondary school admissions consultation in the city with a wide group of parents and stakeholders. Some were academics, some experienced in national policy making, some involved in school governance and teaching, others worked for the council in different capacities and others would simply identify as concerned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or indeed novel (the variables and effects are very similar to those reported by</w:t>
      </w:r>
      <w:r>
        <w:t xml:space="preserve"> </w:t>
      </w:r>
      <w:r>
        <w:t xml:space="preserve">Macleod et al. (2015)</w:t>
      </w:r>
      <w:r>
        <w:t xml:space="preserve"> </w:t>
      </w:r>
      <w:r>
        <w:t xml:space="preserve">over 10 years ago). Our intention is to show that with open, freely available data and variables that are along the right lines, it is possible to build a model explaining over 80% of the variation in school-level attainment with just a handful of predictors. Then, when we know the vast majority of influences on attainment and how they interact in different local contexts, we can answer locally targeted questions such as:</w:t>
      </w:r>
      <w:r>
        <w:t xml:space="preserve"> </w:t>
      </w:r>
      <w:r>
        <w:t xml:space="preserve">‘is changing the social mix in schools likely to improve disadvantaged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literature-review"/>
    <w:p>
      <w:pPr>
        <w:pStyle w:val="Heading1"/>
      </w:pPr>
      <w:r>
        <w:t xml:space="preserve">2. Literature review</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National Curriculum Key Stage 2 (KS2 - the latter stages of Primary School from ages 7 to 11</w:t>
      </w:r>
      <w:r>
        <w:rPr>
          <w:rStyle w:val="FootnoteReference"/>
        </w:rPr>
        <w:footnoteReference w:id="23"/>
      </w:r>
      <w:r>
        <w:t xml:space="preserve">).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(most students take around 8-10 GCSE subjects in total). One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To do this, what is required is an analysis which is able to combine as many of these drivers at the same time so that their relative influences and interactions can be assessed concurrently — which is where we now turn.</w:t>
      </w:r>
    </w:p>
    <w:bookmarkEnd w:id="27"/>
    <w:bookmarkEnd w:id="28"/>
    <w:bookmarkStart w:id="35"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 special schools are excluded. After listwise exclusion of cases with missing predictor values required for the log-linear specification (principally missing workforce or Ofsted data), the analysis sample used in the models is approximately 12,200 observations. All data are school-level aggregates; interpretations relate to this level of aggregation.</w:t>
      </w:r>
    </w:p>
    <w:bookmarkEnd w:id="31"/>
    <w:bookmarkStart w:id="34"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log(% overall absence), log(% pupils with English not first language),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2"/>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REML estimation.</w:t>
      </w:r>
    </w:p>
    <w:bookmarkEnd w:id="34"/>
    <w:bookmarkEnd w:id="35"/>
    <w:bookmarkStart w:id="51" w:name="results"/>
    <w:p>
      <w:pPr>
        <w:pStyle w:val="Heading1"/>
      </w:pPr>
      <w:r>
        <w:t xml:space="preserve">4. Results</w:t>
      </w:r>
    </w:p>
    <w:bookmarkStart w:id="36" w:name="model-fit"/>
    <w:p>
      <w:pPr>
        <w:pStyle w:val="Heading2"/>
      </w:pPr>
      <w:r>
        <w:t xml:space="preserve">4.1 Model fit</w:t>
      </w:r>
    </w:p>
    <w:p>
      <w:pPr>
        <w:pStyle w:val="FirstParagraph"/>
      </w:pPr>
      <w:r>
        <w:t xml:space="preserve">The models explain a substantial proportion of variance in school-level Attainment 8.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6"/>
    <w:bookmarkStart w:id="38"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7"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7"/>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8"/>
    <w:bookmarkStart w:id="50"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2" w:name="fig-standardised-coefficients"/>
          <w:p>
            <w:pPr>
              <w:pStyle w:val="Compact"/>
              <w:jc w:val="center"/>
            </w:pPr>
            <w:r>
              <w:drawing>
                <wp:inline>
                  <wp:extent cx="5334000" cy="3810000"/>
                  <wp:effectExtent b="0" l="0" r="0" t="0"/>
                  <wp:docPr descr="" title="" id="40" name="Picture"/>
                  <a:graphic>
                    <a:graphicData uri="http://schemas.openxmlformats.org/drawingml/2006/picture">
                      <pic:pic>
                        <pic:nvPicPr>
                          <pic:cNvPr descr="JEP_Paper_files/figure-docx/fig-standardised-coefficients-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2"/>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3"/>
      </w:r>
      <w:r>
        <w:t xml:space="preserve"> </w:t>
      </w:r>
      <w:r>
        <w:t xml:space="preserve">across all three pupil groups (all pupils, disadvantaged pupils and non-disadvantaged pupils - full model outputs available in the supplementary materials</w:t>
      </w:r>
      <w:r>
        <w:rPr>
          <w:rStyle w:val="FootnoteReference"/>
        </w:rPr>
        <w:footnoteReference w:id="44"/>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6"/>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possibly due to a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8"/>
      </w:r>
      <w:r>
        <w:t xml:space="preserve"> </w:t>
      </w:r>
      <w:r>
        <w:t xml:space="preserve">– a fact that emerged during the 2024 consultation, but not one that on its own moved the dial)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regularly attend. Disadvantaged pupils may lack the safety net of engaged parents, private tutors or revision resources that some less disadvantaged students have, which could be a factor in making classroom instruction more important for them. In this sense, attendance is the ultimate equity lever.</w:t>
      </w:r>
    </w:p>
    <w:p>
      <w:pPr>
        <w:pStyle w:val="BodyText"/>
      </w:pPr>
      <w:r>
        <w:t xml:space="preserve">These outcomes do not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remediating policies require longer journeys that risk increasing absence</w:t>
      </w:r>
      <w:r>
        <w:t xml:space="preserve"> </w:t>
      </w:r>
      <w:r>
        <w:t xml:space="preserve">(Thomson 2023)</w:t>
      </w:r>
      <w:r>
        <w:t xml:space="preserve">, they could be actively counter-productive given how much more negatively impactful absence is.</w:t>
      </w:r>
    </w:p>
    <w:bookmarkEnd w:id="50"/>
    <w:bookmarkEnd w:id="51"/>
    <w:bookmarkStart w:id="72" w:name="brighton-and-hove-case-study"/>
    <w:p>
      <w:pPr>
        <w:pStyle w:val="Heading1"/>
      </w:pPr>
      <w:r>
        <w:t xml:space="preserve">5. Brighton and Hove case study</w:t>
      </w:r>
    </w:p>
    <w:bookmarkStart w:id="56"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In October 2024, the council launched proposals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schools located at the geographic periphery of the city. Underpinning the proposals was an assertion that attainment in the city was</w:t>
      </w:r>
      <w:r>
        <w:t xml:space="preserve"> </w:t>
      </w:r>
      <w:r>
        <w:t xml:space="preserve">‘driven by economic advantage’</w:t>
      </w:r>
      <w:r>
        <w:t xml:space="preserve"> </w:t>
      </w:r>
      <w:r>
        <w:t xml:space="preserve">(e.g. housing costs near better performing schools - another common misconception empirically disproven in Brighton and Hove</w:t>
      </w:r>
      <w:r>
        <w:t xml:space="preserve"> </w:t>
      </w:r>
      <w:r>
        <w:t xml:space="preserve">Tan and Dennett (2025)</w:t>
      </w:r>
      <w:r>
        <w:t xml:space="preserve">) 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The public response was overwhelmingly negative, with the council’s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school commuting for many pupils.</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narrow the attainment gap (presumably by raising disadvantaged attainment). This was in addition to a 2023 policy giving FSM-eligible pupils priority in admissions, which was already affecting further mixing without majority opposition. That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may have factored into this policy design.</w:t>
      </w:r>
    </w:p>
    <w:p>
      <w:pPr>
        <w:pStyle w:val="BodyText"/>
      </w:pPr>
      <w:r>
        <w:t xml:space="preserve">Whether the availability of better evidence would have changed the political outcome is unknowable. But with lived experience of responding to the council’s proposals, we can say that accessible evidence</w:t>
      </w:r>
      <w:r>
        <w:t xml:space="preserve"> </w:t>
      </w:r>
      <w:r>
        <w:rPr>
          <w:i/>
          <w:iCs/>
        </w:rPr>
        <w:t xml:space="preserve">would</w:t>
      </w:r>
      <w:r>
        <w:t xml:space="preserve"> </w:t>
      </w:r>
      <w:r>
        <w:t xml:space="preserve">have enabled earlier and more constructive engagement. Without ease of data access, the compressed consultation timeline left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5" w:name="fig-catchments"/>
          <w:p>
            <w:pPr>
              <w:pStyle w:val="Compact"/>
              <w:jc w:val="center"/>
            </w:pPr>
            <w:r>
              <w:drawing>
                <wp:inline>
                  <wp:extent cx="5334000" cy="4572000"/>
                  <wp:effectExtent b="0" l="0" r="0" t="0"/>
                  <wp:docPr descr="" title="" id="53" name="Picture"/>
                  <a:graphic>
                    <a:graphicData uri="http://schemas.openxmlformats.org/drawingml/2006/picture">
                      <pic:pic>
                        <pic:nvPicPr>
                          <pic:cNvPr descr="JEP_Paper_files/figure-docx/fig-catchments-1.png" id="54" name="Picture"/>
                          <pic:cNvPicPr>
                            <a:picLocks noChangeArrowheads="1" noChangeAspect="1"/>
                          </pic:cNvPicPr>
                        </pic:nvPicPr>
                        <pic:blipFill>
                          <a:blip r:embed="rId5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5"/>
        </w:tc>
      </w:tr>
    </w:tbl>
    <w:bookmarkEnd w:id="56"/>
    <w:bookmarkStart w:id="61"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0" w:name="fig-caterpillar"/>
          <w:p>
            <w:pPr>
              <w:pStyle w:val="Compact"/>
              <w:jc w:val="center"/>
            </w:pPr>
            <w:r>
              <w:drawing>
                <wp:inline>
                  <wp:extent cx="5334000" cy="4572000"/>
                  <wp:effectExtent b="0" l="0" r="0" t="0"/>
                  <wp:docPr descr="" title="" id="58" name="Picture"/>
                  <a:graphic>
                    <a:graphicData uri="http://schemas.openxmlformats.org/drawingml/2006/picture">
                      <pic:pic>
                        <pic:nvPicPr>
                          <pic:cNvPr descr="JEP_Paper_files/figure-docx/fig-caterpillar-1.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0"/>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limited analysis.</w:t>
      </w:r>
    </w:p>
    <w:bookmarkEnd w:id="61"/>
    <w:bookmarkStart w:id="66"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5" w:name="fig-accelerating-returns"/>
          <w:p>
            <w:pPr>
              <w:pStyle w:val="Compact"/>
              <w:jc w:val="center"/>
            </w:pPr>
            <w:r>
              <w:drawing>
                <wp:inline>
                  <wp:extent cx="5334000" cy="3429000"/>
                  <wp:effectExtent b="0" l="0" r="0" t="0"/>
                  <wp:docPr descr="" title="" id="63" name="Picture"/>
                  <a:graphic>
                    <a:graphicData uri="http://schemas.openxmlformats.org/drawingml/2006/picture">
                      <pic:pic>
                        <pic:nvPicPr>
                          <pic:cNvPr descr="JEP_Paper_files/figure-docx/fig-accelerating-returns-1.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5"/>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for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66"/>
    <w:bookmarkStart w:id="71"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0" w:name="fig-obs-vs-pred"/>
          <w:p>
            <w:pPr>
              <w:pStyle w:val="Compact"/>
              <w:jc w:val="center"/>
            </w:pPr>
            <w:r>
              <w:drawing>
                <wp:inline>
                  <wp:extent cx="5334000" cy="6858000"/>
                  <wp:effectExtent b="0" l="0" r="0" t="0"/>
                  <wp:docPr descr="" title="" id="68" name="Picture"/>
                  <a:graphic>
                    <a:graphicData uri="http://schemas.openxmlformats.org/drawingml/2006/picture">
                      <pic:pic>
                        <pic:nvPicPr>
                          <pic:cNvPr descr="JEP_Paper_files/figure-docx/fig-obs-vs-pred-1.png" id="69" name="Picture"/>
                          <pic:cNvPicPr>
                            <a:picLocks noChangeArrowheads="1" noChangeAspect="1"/>
                          </pic:cNvPicPr>
                        </pic:nvPicPr>
                        <pic:blipFill>
                          <a:blip r:embed="rId67"/>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0"/>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1"/>
    <w:bookmarkEnd w:id="72"/>
    <w:bookmarkStart w:id="94" w:name="discussion"/>
    <w:p>
      <w:pPr>
        <w:pStyle w:val="Heading1"/>
      </w:pPr>
      <w:r>
        <w:t xml:space="preserve">6. Discussion</w:t>
      </w:r>
    </w:p>
    <w:bookmarkStart w:id="75"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73"/>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While this premise is false in the context of</w:t>
      </w:r>
      <w:r>
        <w:t xml:space="preserve"> </w:t>
      </w:r>
      <w:r>
        <w:t xml:space="preserve">Macleod et al. (2015)</w:t>
      </w:r>
      <w:r>
        <w:t xml:space="preserve">’s analysis for the DfE, our more up-to-date modelling confirms this was, at best, a flawed understanding;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Of the many negative impacts of longer journeys imposed by redistribution policies - e.g.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including stress</w:t>
      </w:r>
      <w:r>
        <w:t xml:space="preserve"> </w:t>
      </w:r>
      <w:r>
        <w:t xml:space="preserve">(Karan et al. 2021)</w:t>
      </w:r>
      <w:r>
        <w:t xml:space="preserve"> </w:t>
      </w:r>
      <w:r>
        <w:t xml:space="preserve">and general wellbeing</w:t>
      </w:r>
      <w:r>
        <w:t xml:space="preserve"> </w:t>
      </w:r>
      <w:r>
        <w:t xml:space="preserve">(Ding et al. 2023)</w:t>
      </w:r>
      <w:r>
        <w:t xml:space="preserve"> </w:t>
      </w:r>
      <w:r>
        <w:t xml:space="preserve">- they are also associated with higher absence in many countries</w:t>
      </w:r>
      <w:r>
        <w:t xml:space="preserve"> </w:t>
      </w:r>
      <w:r>
        <w:t xml:space="preserve">(Otsuka et al. 2025; Cordes et al. 2022; Blagg et al. 2018)</w:t>
      </w:r>
      <w:r>
        <w:t xml:space="preserve"> </w:t>
      </w:r>
      <w:r>
        <w:t xml:space="preserve">including England</w:t>
      </w:r>
      <w:r>
        <w:t xml:space="preserve"> </w:t>
      </w:r>
      <w:r>
        <w:t xml:space="preserve">(Thomson 2023)</w:t>
      </w:r>
      <w:r>
        <w:t xml:space="preserve"> </w:t>
      </w:r>
      <w:r>
        <w:t xml:space="preserve">— precisely the factor that most drags on attainment and the biggest problem already besetting Brighton and Hove. The council could be imposing policies that actively make the outcomes for disadvantaged children much worse through failing to engage with the evidence properly.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 and could be the kind of comment that without context, could do a lot of damage.</w:t>
      </w:r>
    </w:p>
    <w:bookmarkEnd w:id="75"/>
    <w:bookmarkStart w:id="78" w:name="absence-as-the-primary-policy-lever"/>
    <w:p>
      <w:pPr>
        <w:pStyle w:val="Heading2"/>
      </w:pPr>
      <w:r>
        <w:t xml:space="preserve">6.2 Absence as the primary policy lever</w:t>
      </w:r>
    </w:p>
    <w:p>
      <w:pPr>
        <w:pStyle w:val="FirstParagraph"/>
      </w:pPr>
      <w:r>
        <w:t xml:space="preserve">Perhaps the most striking finding is the complete absence of absence from the policy narrative. The city had the second worst absence rate in England in 2024–25 and has been consistently among the worst in England. Yet absence was not part of the policy conversation. It was not mentioned in any of the presentation slides in the initial public facing engagement</w:t>
      </w:r>
      <w:r>
        <w:rPr>
          <w:rStyle w:val="FootnoteReference"/>
        </w:rPr>
        <w:footnoteReference w:id="76"/>
      </w:r>
      <w:r>
        <w:t xml:space="preserve"> </w:t>
      </w:r>
      <w:r>
        <w:t xml:space="preserve">or any of the published materials accompanying the consultations. The irony is considerable: the city ranks 7th best for disadvantaged attainment after structural adjustments, but this strong underlying performance is still likely being dragged down by an extreme absence problem.</w:t>
      </w:r>
    </w:p>
    <w:p>
      <w:pPr>
        <w:pStyle w:val="BodyText"/>
      </w:pPr>
      <w:r>
        <w:t xml:space="preserve">Brighton and Hove’s absence rates are not a necessary consequence of its intake composition. The city has near-average FSM eligibility levels but near-worst absence, suggesting the problem is likely driven by local factors — attendance culture, enforcement practices, or community dynamics — rather than being an unavoidable correlate of disadvantage.</w:t>
      </w:r>
    </w:p>
    <w:bookmarkEnd w:id="78"/>
    <w:bookmarkStart w:id="86"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 and policy narratives are misleading.</w:t>
      </w:r>
    </w:p>
    <w:tbl>
      <w:tblPr>
        <w:tblStyle w:val="Table"/>
        <w:tblW w:type="pct" w:w="5000"/>
        <w:tblLayout w:type="fixed"/>
        <w:tblLook w:firstRow="0" w:lastRow="0" w:firstColumn="0" w:lastColumn="0" w:noHBand="0" w:noVBand="0" w:val="0000"/>
      </w:tblPr>
      <w:tblGrid>
        <w:gridCol w:w="7920"/>
      </w:tblGrid>
      <w:tr>
        <w:tc>
          <w:tcPr/>
          <w:bookmarkStart w:id="79"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79"/>
          <w:p/>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80"/>
      </w:r>
      <w:r>
        <w:t xml:space="preserve"> </w:t>
      </w:r>
      <w:r>
        <w:t xml:space="preserve">— supported by another more established activist group — Class Divide</w:t>
      </w:r>
      <w:r>
        <w:rPr>
          <w:rStyle w:val="FootnoteReference"/>
        </w:rPr>
        <w:footnoteReference w:id="82"/>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As a family deciding on where to send their child, they can decide based on how the school performs overall, or where their child is most likely to succeed. These do not always lead to the same answer. The latter means looking beyond the structural causes of attainment, and understanding how a school performs</w:t>
      </w:r>
      <w:r>
        <w:t xml:space="preserve"> </w:t>
      </w:r>
      <w:r>
        <w:rPr>
          <w:i/>
          <w:iCs/>
        </w:rPr>
        <w:t xml:space="preserve">beyond</w:t>
      </w:r>
      <w:r>
        <w:t xml:space="preserve"> </w:t>
      </w:r>
      <w:r>
        <w:t xml:space="preserve">the influence of those factors. In Brighton and Hove, 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the less popular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84"/>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There might be many reasons why parents would want to opt for Patcham High School over BACA, but the nuance afforded to the effectiveness of these schools by the modelling in this paper might have provided an alternative view that could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it’s impossible to know what the drivers of this issue are. But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86"/>
    <w:bookmarkStart w:id="87"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schools at the periphery of the city. Complicating things further, the closure of a school in an economically deprived area of the city in the mid 2000s has meant that students in this area were already forced to make long journeys to school to these under-subscribed schools on the outskirts of the city. Due to the effects of having large proportions of disadvantaged students in these peripheral schools captured by our model, this can cause lower raw score results and can further reduce applications to attend those schools. Since schools receive funding on a per pupil basis, keeping these schools financially viable is a legitimate concern. However, there is an inherent tension between optimising for financial sustainability and optimising for educational outcomes. At the city level, it is easy for a policy-maker to point to surface level data and assume the disadvantage concentrations in a school are a driving effect of attainment and popularity. The two are related, but for Brighton and Hove, it does not appear to be the case that rebalancing disadvantage levels across schools would have a net positive effect on attainment for individual pupils or the city.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 in Brighton and Hove.</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87"/>
    <w:bookmarkStart w:id="89"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88"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factors in the model — disadvantage, absence, prior attainment, workforce characteristics, selectivity and segregation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88"/>
    <w:bookmarkEnd w:id="89"/>
    <w:bookmarkStart w:id="92"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90"/>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92"/>
    <w:bookmarkStart w:id="93"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3"/>
    <w:bookmarkEnd w:id="94"/>
    <w:bookmarkStart w:id="95"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95"/>
    <w:bookmarkStart w:id="96" w:name="credit-authorship-contribution-statement"/>
    <w:p>
      <w:pPr>
        <w:pStyle w:val="Heading1"/>
      </w:pPr>
      <w:r>
        <w:t xml:space="preserve">CRediT authorship contribution statement</w:t>
      </w:r>
    </w:p>
    <w:p>
      <w:pPr>
        <w:pStyle w:val="FirstParagraph"/>
      </w:pPr>
      <w:r>
        <w:rPr>
          <w:b/>
          <w:bCs/>
        </w:rPr>
        <w:t xml:space="preserve">Adam Dennett:</w:t>
      </w:r>
      <w:r>
        <w:t xml:space="preserve"> </w:t>
      </w:r>
      <w:r>
        <w:t xml:space="preserve">Conceptualisation, Methodology, Software, Formal analysis, Data curation, Writing – original draft, Writing – review &amp; editing, Visualisation, Project administration.</w:t>
      </w:r>
      <w:r>
        <w:t xml:space="preserve"> </w:t>
      </w:r>
      <w:r>
        <w:rPr>
          <w:b/>
          <w:bCs/>
        </w:rPr>
        <w:t xml:space="preserve">Dan Campbell-Meiklejohn:</w:t>
      </w:r>
      <w:r>
        <w:t xml:space="preserve"> </w:t>
      </w:r>
      <w:r>
        <w:t xml:space="preserve">Methodology – refining and review; Writing – review &amp; editing.</w:t>
      </w:r>
    </w:p>
    <w:bookmarkEnd w:id="96"/>
    <w:bookmarkStart w:id="97"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97"/>
    <w:bookmarkStart w:id="98"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98"/>
    <w:bookmarkStart w:id="99"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99"/>
    <w:bookmarkStart w:id="186" w:name="references"/>
    <w:p>
      <w:pPr>
        <w:pStyle w:val="Heading1"/>
      </w:pPr>
      <w:r>
        <w:t xml:space="preserve">References</w:t>
      </w:r>
    </w:p>
    <w:bookmarkStart w:id="185" w:name="refs"/>
    <w:bookmarkStart w:id="101"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00">
        <w:r>
          <w:rPr>
            <w:rStyle w:val="Hyperlink"/>
          </w:rPr>
          <w:t xml:space="preserve">https://doi.org/10.1080/09645292.2017.1366425</w:t>
        </w:r>
      </w:hyperlink>
      <w:r>
        <w:t xml:space="preserve">.</w:t>
      </w:r>
    </w:p>
    <w:bookmarkEnd w:id="101"/>
    <w:bookmarkStart w:id="103"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02">
        <w:r>
          <w:rPr>
            <w:rStyle w:val="Hyperlink"/>
          </w:rPr>
          <w:t xml:space="preserve">https://doi.org/10.1111/j.1475-5661.2012.00511.x</w:t>
        </w:r>
      </w:hyperlink>
      <w:r>
        <w:t xml:space="preserve">.</w:t>
      </w:r>
    </w:p>
    <w:bookmarkEnd w:id="103"/>
    <w:bookmarkStart w:id="105"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4">
        <w:r>
          <w:rPr>
            <w:rStyle w:val="Hyperlink"/>
          </w:rPr>
          <w:t xml:space="preserve">https://doi.org/10.1080/0305764X.2024.2420611</w:t>
        </w:r>
      </w:hyperlink>
      <w:r>
        <w:t xml:space="preserve">.</w:t>
      </w:r>
    </w:p>
    <w:bookmarkEnd w:id="105"/>
    <w:bookmarkStart w:id="107"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06">
        <w:r>
          <w:rPr>
            <w:rStyle w:val="Hyperlink"/>
          </w:rPr>
          <w:t xml:space="preserve">https://www.urban.org/sites/default/files/publication/99027/time_to_school_and_student_outcomes_in_dc_1.pdf</w:t>
        </w:r>
      </w:hyperlink>
      <w:r>
        <w:t xml:space="preserve">.</w:t>
      </w:r>
    </w:p>
    <w:bookmarkEnd w:id="107"/>
    <w:bookmarkStart w:id="109"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08">
        <w:r>
          <w:rPr>
            <w:rStyle w:val="Hyperlink"/>
          </w:rPr>
          <w:t xml:space="preserve">https://doi.org/10.1177/0308518X18787820</w:t>
        </w:r>
      </w:hyperlink>
      <w:r>
        <w:t xml:space="preserve">.</w:t>
      </w:r>
    </w:p>
    <w:bookmarkEnd w:id="109"/>
    <w:bookmarkStart w:id="111"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10">
        <w:r>
          <w:rPr>
            <w:rStyle w:val="Hyperlink"/>
          </w:rPr>
          <w:t xml:space="preserve">https://doi.org/10.1016/j.econedurev.2023.102405</w:t>
        </w:r>
      </w:hyperlink>
      <w:r>
        <w:t xml:space="preserve">.</w:t>
      </w:r>
    </w:p>
    <w:bookmarkEnd w:id="111"/>
    <w:bookmarkStart w:id="113"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12">
        <w:r>
          <w:rPr>
            <w:rStyle w:val="Hyperlink"/>
          </w:rPr>
          <w:t xml:space="preserve">https://www.nuffieldfoundation.org/project/characterising-effective-teaching-2</w:t>
        </w:r>
      </w:hyperlink>
      <w:r>
        <w:t xml:space="preserve">.</w:t>
      </w:r>
    </w:p>
    <w:bookmarkEnd w:id="113"/>
    <w:bookmarkStart w:id="115"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14">
        <w:r>
          <w:rPr>
            <w:rStyle w:val="Hyperlink"/>
          </w:rPr>
          <w:t xml:space="preserve">https://doi.org/10.1371/journal.pone.0314687</w:t>
        </w:r>
      </w:hyperlink>
      <w:r>
        <w:t xml:space="preserve">.</w:t>
      </w:r>
    </w:p>
    <w:bookmarkEnd w:id="115"/>
    <w:bookmarkStart w:id="117"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16">
        <w:r>
          <w:rPr>
            <w:rStyle w:val="Hyperlink"/>
          </w:rPr>
          <w:t xml:space="preserve">https://committees.parliament.uk/committee/203/education-committee/news/156024/forgotten-white-workingclass-pupils-let-down-by-decades-of-neglect-mps-say/</w:t>
        </w:r>
      </w:hyperlink>
      <w:r>
        <w:t xml:space="preserve">.</w:t>
      </w:r>
    </w:p>
    <w:bookmarkEnd w:id="117"/>
    <w:bookmarkStart w:id="119"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18">
        <w:r>
          <w:rPr>
            <w:rStyle w:val="Hyperlink"/>
          </w:rPr>
          <w:t xml:space="preserve">https://doi.org/10.3102/01623737221092450</w:t>
        </w:r>
      </w:hyperlink>
      <w:r>
        <w:t xml:space="preserve">.</w:t>
      </w:r>
    </w:p>
    <w:bookmarkEnd w:id="119"/>
    <w:bookmarkStart w:id="12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20">
        <w:r>
          <w:rPr>
            <w:rStyle w:val="Hyperlink"/>
          </w:rPr>
          <w:t xml:space="preserve">https://explore-education-statistics.service.gov.uk/find-statistics/the-link-between-absence-and-attainment-at-ks2-and-ks4/2018-19</w:t>
        </w:r>
      </w:hyperlink>
      <w:r>
        <w:t xml:space="preserve">.</w:t>
      </w:r>
    </w:p>
    <w:bookmarkEnd w:id="121"/>
    <w:bookmarkStart w:id="12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22">
        <w:r>
          <w:rPr>
            <w:rStyle w:val="Hyperlink"/>
          </w:rPr>
          <w:t xml:space="preserve">https://www.gov.uk/government/publications/link-between-attendance-and-attainment</w:t>
        </w:r>
      </w:hyperlink>
      <w:r>
        <w:t xml:space="preserve">.</w:t>
      </w:r>
    </w:p>
    <w:bookmarkEnd w:id="123"/>
    <w:bookmarkStart w:id="12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24">
        <w:r>
          <w:rPr>
            <w:rStyle w:val="Hyperlink"/>
          </w:rPr>
          <w:t xml:space="preserve">https://explore-education-statistics.service.gov.uk/find-statistics/pupil-absence-in-schools-in-england/2024-25-autumn-and-spring-term</w:t>
        </w:r>
      </w:hyperlink>
      <w:r>
        <w:t xml:space="preserve">.</w:t>
      </w:r>
    </w:p>
    <w:bookmarkEnd w:id="125"/>
    <w:bookmarkStart w:id="12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26">
        <w:r>
          <w:rPr>
            <w:rStyle w:val="Hyperlink"/>
          </w:rPr>
          <w:t xml:space="preserve">https://www.gov.uk/government/publications/every-child-achieving-and-thriving/every-child-achieving-and-thriving-html-version</w:t>
        </w:r>
      </w:hyperlink>
      <w:r>
        <w:t xml:space="preserve">.</w:t>
      </w:r>
    </w:p>
    <w:bookmarkEnd w:id="127"/>
    <w:bookmarkStart w:id="129"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28">
        <w:r>
          <w:rPr>
            <w:rStyle w:val="Hyperlink"/>
          </w:rPr>
          <w:t xml:space="preserve">https://doi.org/10.1016/j.jth.2023.101605</w:t>
        </w:r>
      </w:hyperlink>
      <w:r>
        <w:t xml:space="preserve">.</w:t>
      </w:r>
    </w:p>
    <w:bookmarkEnd w:id="129"/>
    <w:bookmarkStart w:id="131"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30">
        <w:r>
          <w:rPr>
            <w:rStyle w:val="Hyperlink"/>
          </w:rPr>
          <w:t xml:space="preserve">https://doi.org/10.1002/berj.3992</w:t>
        </w:r>
      </w:hyperlink>
      <w:r>
        <w:t xml:space="preserve">.</w:t>
      </w:r>
    </w:p>
    <w:bookmarkEnd w:id="131"/>
    <w:bookmarkStart w:id="133"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32">
        <w:r>
          <w:rPr>
            <w:rStyle w:val="Hyperlink"/>
          </w:rPr>
          <w:t xml:space="preserve">https://doi.org/10.1093/ooec/odad029</w:t>
        </w:r>
      </w:hyperlink>
      <w:r>
        <w:t xml:space="preserve">.</w:t>
      </w:r>
    </w:p>
    <w:bookmarkEnd w:id="133"/>
    <w:bookmarkStart w:id="135"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34">
        <w:r>
          <w:rPr>
            <w:rStyle w:val="Hyperlink"/>
          </w:rPr>
          <w:t xml:space="preserve">https://doi.org/10.1186/1471-2458-13-1166</w:t>
        </w:r>
      </w:hyperlink>
      <w:r>
        <w:t xml:space="preserve">.</w:t>
      </w:r>
    </w:p>
    <w:bookmarkEnd w:id="135"/>
    <w:bookmarkStart w:id="137" w:name="ref-Fredriksen2004"/>
    <w:p>
      <w:pPr>
        <w:pStyle w:val="Bibliography"/>
      </w:pPr>
      <w:r>
        <w:t xml:space="preserve">Fredriksen, Katia, Jean Rhodes, Ranjini Reddy, and Niobe Way. 2004.</w:t>
      </w:r>
      <w:r>
        <w:t xml:space="preserve"> </w:t>
      </w:r>
      <w:r>
        <w:t xml:space="preserve">“Sleepless in</w:t>
      </w:r>
      <w:r>
        <w:t xml:space="preserve"> </w:t>
      </w:r>
      <w:r>
        <w:t xml:space="preserve">Chicago</w:t>
      </w:r>
      <w:r>
        <w:t xml:space="preserve">: Tracking the Effects of Adolescent Sleep Loss During the Middle School Years.”</w:t>
      </w:r>
      <w:r>
        <w:t xml:space="preserve"> </w:t>
      </w:r>
      <w:r>
        <w:rPr>
          <w:i/>
          <w:iCs/>
        </w:rPr>
        <w:t xml:space="preserve">Child Development</w:t>
      </w:r>
      <w:r>
        <w:t xml:space="preserve"> </w:t>
      </w:r>
      <w:r>
        <w:t xml:space="preserve">75 (1): 84–95.</w:t>
      </w:r>
      <w:r>
        <w:t xml:space="preserve"> </w:t>
      </w:r>
      <w:hyperlink r:id="rId136">
        <w:r>
          <w:rPr>
            <w:rStyle w:val="Hyperlink"/>
          </w:rPr>
          <w:t xml:space="preserve">https://doi.org/10.1111/j.1467-8624.2004.00655.x</w:t>
        </w:r>
      </w:hyperlink>
      <w:r>
        <w:t xml:space="preserve">.</w:t>
      </w:r>
    </w:p>
    <w:bookmarkEnd w:id="137"/>
    <w:bookmarkStart w:id="139"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38">
        <w:r>
          <w:rPr>
            <w:rStyle w:val="Hyperlink"/>
          </w:rPr>
          <w:t xml:space="preserve">https://cep.lse.ac.uk/_new/publications/abstract.asp?index=5752</w:t>
        </w:r>
      </w:hyperlink>
      <w:r>
        <w:t xml:space="preserve">.</w:t>
      </w:r>
    </w:p>
    <w:bookmarkEnd w:id="139"/>
    <w:bookmarkStart w:id="141"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40">
        <w:r>
          <w:rPr>
            <w:rStyle w:val="Hyperlink"/>
          </w:rPr>
          <w:t xml:space="preserve">https://doi.org/10.1002/berj.3297</w:t>
        </w:r>
      </w:hyperlink>
      <w:r>
        <w:t xml:space="preserve">.</w:t>
      </w:r>
    </w:p>
    <w:bookmarkEnd w:id="141"/>
    <w:bookmarkStart w:id="143"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42">
        <w:r>
          <w:rPr>
            <w:rStyle w:val="Hyperlink"/>
          </w:rPr>
          <w:t xml:space="preserve">https://doi.org/10.1177/2158244018825171</w:t>
        </w:r>
      </w:hyperlink>
      <w:r>
        <w:t xml:space="preserve">.</w:t>
      </w:r>
    </w:p>
    <w:bookmarkEnd w:id="143"/>
    <w:bookmarkStart w:id="145"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44">
        <w:r>
          <w:rPr>
            <w:rStyle w:val="Hyperlink"/>
          </w:rPr>
          <w:t xml:space="preserve">https://doi.org/10.3390/educsci15010006</w:t>
        </w:r>
      </w:hyperlink>
      <w:r>
        <w:t xml:space="preserve">.</w:t>
      </w:r>
    </w:p>
    <w:bookmarkEnd w:id="145"/>
    <w:bookmarkStart w:id="147"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46">
        <w:r>
          <w:rPr>
            <w:rStyle w:val="Hyperlink"/>
          </w:rPr>
          <w:t xml:space="preserve">https://opendocs.ids.ac.uk/articles/report/The_Contribution_of_Education_to_Economic_Growth/26453986/1</w:t>
        </w:r>
      </w:hyperlink>
      <w:r>
        <w:t xml:space="preserve">.</w:t>
      </w:r>
    </w:p>
    <w:bookmarkEnd w:id="147"/>
    <w:bookmarkStart w:id="149"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48">
        <w:r>
          <w:rPr>
            <w:rStyle w:val="Hyperlink"/>
          </w:rPr>
          <w:t xml:space="preserve">https://doi.org/10.1186/s12889-025-22847-5</w:t>
        </w:r>
      </w:hyperlink>
      <w:r>
        <w:t xml:space="preserve">.</w:t>
      </w:r>
    </w:p>
    <w:bookmarkEnd w:id="149"/>
    <w:bookmarkStart w:id="151"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50">
        <w:r>
          <w:rPr>
            <w:rStyle w:val="Hyperlink"/>
          </w:rPr>
          <w:t xml:space="preserve">https://doi.org/10.1016/j.psyneuen.2021.105371</w:t>
        </w:r>
      </w:hyperlink>
      <w:r>
        <w:t xml:space="preserve">.</w:t>
      </w:r>
    </w:p>
    <w:bookmarkEnd w:id="151"/>
    <w:bookmarkStart w:id="153"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52">
        <w:r>
          <w:rPr>
            <w:rStyle w:val="Hyperlink"/>
          </w:rPr>
          <w:t xml:space="preserve">https://www.nfer.ac.uk/publications/supporting-the-attainment-of-disadvantaged-pupils-articulating-success-and-good-practice/</w:t>
        </w:r>
      </w:hyperlink>
      <w:r>
        <w:t xml:space="preserve">.</w:t>
      </w:r>
    </w:p>
    <w:bookmarkEnd w:id="153"/>
    <w:bookmarkStart w:id="155"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54">
        <w:r>
          <w:rPr>
            <w:rStyle w:val="Hyperlink"/>
          </w:rPr>
          <w:t xml:space="preserve">https://doi.org/10.14324/LRE.21.1.20</w:t>
        </w:r>
      </w:hyperlink>
      <w:r>
        <w:t xml:space="preserve">.</w:t>
      </w:r>
    </w:p>
    <w:bookmarkEnd w:id="155"/>
    <w:bookmarkStart w:id="157"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56">
        <w:r>
          <w:rPr>
            <w:rStyle w:val="Hyperlink"/>
          </w:rPr>
          <w:t xml:space="preserve">https://doi.org/10.1111/pcn.13708</w:t>
        </w:r>
      </w:hyperlink>
      <w:r>
        <w:t xml:space="preserve">.</w:t>
      </w:r>
    </w:p>
    <w:bookmarkEnd w:id="157"/>
    <w:bookmarkStart w:id="159"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58">
        <w:r>
          <w:rPr>
            <w:rStyle w:val="Hyperlink"/>
          </w:rPr>
          <w:t xml:space="preserve">https://doi.org/10.1265/ehpm.25-00089</w:t>
        </w:r>
      </w:hyperlink>
      <w:r>
        <w:t xml:space="preserve">.</w:t>
      </w:r>
    </w:p>
    <w:bookmarkEnd w:id="159"/>
    <w:bookmarkStart w:id="161"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60">
        <w:r>
          <w:rPr>
            <w:rStyle w:val="Hyperlink"/>
          </w:rPr>
          <w:t xml:space="preserve">https://doi.org/10.3109/07420528.2013.826238</w:t>
        </w:r>
      </w:hyperlink>
      <w:r>
        <w:t xml:space="preserve">.</w:t>
      </w:r>
    </w:p>
    <w:bookmarkEnd w:id="161"/>
    <w:bookmarkStart w:id="163"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62">
        <w:r>
          <w:rPr>
            <w:rStyle w:val="Hyperlink"/>
          </w:rPr>
          <w:t xml:space="preserve">https://doi.org/10.1007/s41105-017-0086-x</w:t>
        </w:r>
      </w:hyperlink>
      <w:r>
        <w:t xml:space="preserve">.</w:t>
      </w:r>
    </w:p>
    <w:bookmarkEnd w:id="163"/>
    <w:bookmarkStart w:id="165"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64">
        <w:r>
          <w:rPr>
            <w:rStyle w:val="Hyperlink"/>
          </w:rPr>
          <w:t xml:space="preserve">https://www.gov.uk/government/publications/against-the-odds</w:t>
        </w:r>
      </w:hyperlink>
      <w:r>
        <w:t xml:space="preserve">.</w:t>
      </w:r>
    </w:p>
    <w:bookmarkEnd w:id="165"/>
    <w:bookmarkStart w:id="167"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66">
        <w:r>
          <w:rPr>
            <w:rStyle w:val="Hyperlink"/>
          </w:rPr>
          <w:t xml:space="preserve">https://www.gov.uk/government/publications/examining-the-london-advantage-in-attainment-evidence-from-lsype</w:t>
        </w:r>
      </w:hyperlink>
      <w:r>
        <w:t xml:space="preserve">.</w:t>
      </w:r>
    </w:p>
    <w:bookmarkEnd w:id="167"/>
    <w:bookmarkStart w:id="16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68"/>
    <w:bookmarkStart w:id="170"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69">
        <w:r>
          <w:rPr>
            <w:rStyle w:val="Hyperlink"/>
          </w:rPr>
          <w:t xml:space="preserve">https://doi.org/10.1080/01425692.2025.2474040</w:t>
        </w:r>
      </w:hyperlink>
      <w:r>
        <w:t xml:space="preserve">.</w:t>
      </w:r>
    </w:p>
    <w:bookmarkEnd w:id="170"/>
    <w:bookmarkStart w:id="172"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71">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72"/>
    <w:bookmarkStart w:id="174"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73">
        <w:r>
          <w:rPr>
            <w:rStyle w:val="Hyperlink"/>
          </w:rPr>
          <w:t xml:space="preserve">https://doi.org/10.1007/978-3-031-98300-9_17</w:t>
        </w:r>
      </w:hyperlink>
      <w:r>
        <w:t xml:space="preserve">.</w:t>
      </w:r>
    </w:p>
    <w:bookmarkEnd w:id="174"/>
    <w:bookmarkStart w:id="176"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75">
        <w:r>
          <w:rPr>
            <w:rStyle w:val="Hyperlink"/>
          </w:rPr>
          <w:t xml:space="preserve">https://ffteducationdatalab.org.uk/2023/11/are-pupils-who-live-further-away-from-their-school-absent-more-often/</w:t>
        </w:r>
      </w:hyperlink>
      <w:r>
        <w:t xml:space="preserve">.</w:t>
      </w:r>
    </w:p>
    <w:bookmarkEnd w:id="176"/>
    <w:bookmarkStart w:id="178"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77">
        <w:r>
          <w:rPr>
            <w:rStyle w:val="Hyperlink"/>
          </w:rPr>
          <w:t xml:space="preserve">https://epi.org.uk/annual-report-2023/</w:t>
        </w:r>
      </w:hyperlink>
      <w:r>
        <w:t xml:space="preserve">.</w:t>
      </w:r>
    </w:p>
    <w:bookmarkEnd w:id="178"/>
    <w:bookmarkStart w:id="180"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79">
        <w:r>
          <w:rPr>
            <w:rStyle w:val="Hyperlink"/>
          </w:rPr>
          <w:t xml:space="preserve">https://doi.org/10.1177/0739456X17725148</w:t>
        </w:r>
      </w:hyperlink>
      <w:r>
        <w:t xml:space="preserve">.</w:t>
      </w:r>
    </w:p>
    <w:bookmarkEnd w:id="180"/>
    <w:bookmarkStart w:id="182"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81">
        <w:r>
          <w:rPr>
            <w:rStyle w:val="Hyperlink"/>
          </w:rPr>
          <w:t xml:space="preserve">https://doi.org/10.1016/j.sleep.2018.12.004</w:t>
        </w:r>
      </w:hyperlink>
      <w:r>
        <w:t xml:space="preserve">.</w:t>
      </w:r>
    </w:p>
    <w:bookmarkEnd w:id="182"/>
    <w:bookmarkStart w:id="184"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83">
        <w:r>
          <w:rPr>
            <w:rStyle w:val="Hyperlink"/>
          </w:rPr>
          <w:t xml:space="preserve">https://epi.org.uk/publications-and-research/the-influence-of-headteachers-on-their-schools/</w:t>
        </w:r>
      </w:hyperlink>
      <w:r>
        <w:t xml:space="preserve">.</w:t>
      </w:r>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p>
  </w:footnote>
  <w:footnote w:id="32">
    <w:p>
      <w:pPr>
        <w:pStyle w:val="FootnoteText"/>
      </w:pPr>
      <w:r>
        <w:rPr>
          <w:rStyle w:val="FootnoteReference"/>
        </w:rPr>
        <w:footnoteRef/>
      </w:r>
      <w:r>
        <w:t xml:space="preserve"> </w:t>
      </w:r>
      <w:r>
        <w:t xml:space="preserve">See data overview for details</w:t>
      </w:r>
      <w:r>
        <w:t xml:space="preserve"> </w:t>
      </w:r>
      <w:hyperlink r:id="rId33">
        <w:r>
          <w:rPr>
            <w:rStyle w:val="Hyperlink"/>
          </w:rPr>
          <w:t xml:space="preserve">https://adamdennett.github.io/school_attainment_tool/data_overview.html</w:t>
        </w:r>
      </w:hyperlink>
    </w:p>
  </w:footnote>
  <w:footnote w:id="43">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4">
    <w:p>
      <w:pPr>
        <w:pStyle w:val="FootnoteText"/>
      </w:pPr>
      <w:r>
        <w:rPr>
          <w:rStyle w:val="FootnoteReference"/>
        </w:rPr>
        <w:footnoteRef/>
      </w:r>
      <w:r>
        <w:t xml:space="preserve"> </w:t>
      </w:r>
      <w:r>
        <w:t xml:space="preserve">Stepwise Models for all pupil groups</w:t>
      </w:r>
      <w:r>
        <w:t xml:space="preserve"> </w:t>
      </w:r>
      <w:hyperlink r:id="rId45">
        <w:r>
          <w:rPr>
            <w:rStyle w:val="Hyperlink"/>
          </w:rPr>
          <w:t xml:space="preserve">https://adamdennett.github.io/school_attainment_tool/model_results.html#stepwise-model-building</w:t>
        </w:r>
      </w:hyperlink>
    </w:p>
  </w:footnote>
  <w:footnote w:id="46">
    <w:p>
      <w:pPr>
        <w:pStyle w:val="FootnoteText"/>
      </w:pPr>
      <w:r>
        <w:rPr>
          <w:rStyle w:val="FootnoteReference"/>
        </w:rPr>
        <w:footnoteRef/>
      </w:r>
      <w:r>
        <w:t xml:space="preserve"> </w:t>
      </w:r>
      <w:r>
        <w:t xml:space="preserve">See supplementary material for robustness checks:</w:t>
      </w:r>
      <w:r>
        <w:t xml:space="preserve"> </w:t>
      </w:r>
      <w:hyperlink r:id="rId47">
        <w:r>
          <w:rPr>
            <w:rStyle w:val="Hyperlink"/>
          </w:rPr>
          <w:t xml:space="preserve">https://adamdennett.github.io/school_attainment_tool/model_experiments.html</w:t>
        </w:r>
      </w:hyperlink>
    </w:p>
  </w:footnote>
  <w:footnote w:id="48">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49">
        <w:r>
          <w:rPr>
            <w:rStyle w:val="Hyperlink"/>
          </w:rPr>
          <w:t xml:space="preserve">https://adamdennett.github.io/BH_Schools_Consultation/absence.html#trick-or-treatment</w:t>
        </w:r>
      </w:hyperlink>
    </w:p>
  </w:footnote>
  <w:footnote w:id="73">
    <w:p>
      <w:pPr>
        <w:pStyle w:val="FootnoteText"/>
      </w:pPr>
      <w:r>
        <w:rPr>
          <w:rStyle w:val="FootnoteReference"/>
        </w:rPr>
        <w:footnoteRef/>
      </w:r>
      <w:r>
        <w:t xml:space="preserve"> </w:t>
      </w:r>
      <w:r>
        <w:t xml:space="preserve">Brighton and Hove Council 2024 Consultation Papers can be downloaded from here:</w:t>
      </w:r>
      <w:r>
        <w:t xml:space="preserve"> </w:t>
      </w:r>
      <w:hyperlink r:id="rId74">
        <w:r>
          <w:rPr>
            <w:rStyle w:val="Hyperlink"/>
          </w:rPr>
          <w:t xml:space="preserve">https://yourvoice.brighton-hove.gov.uk/en-GB/projects/school-admission-arrangements-public-consultation/1</w:t>
        </w:r>
      </w:hyperlink>
    </w:p>
  </w:footnote>
  <w:footnote w:id="76">
    <w:p>
      <w:pPr>
        <w:pStyle w:val="FootnoteText"/>
      </w:pPr>
      <w:r>
        <w:rPr>
          <w:rStyle w:val="FootnoteReference"/>
        </w:rPr>
        <w:footnoteRef/>
      </w:r>
      <w:r>
        <w:t xml:space="preserve"> </w:t>
      </w:r>
      <w:r>
        <w:t xml:space="preserve">Slides available on the Brighton and Hove City Council Website here</w:t>
      </w:r>
      <w:r>
        <w:t xml:space="preserve"> </w:t>
      </w:r>
      <w:hyperlink r:id="rId77">
        <w:r>
          <w:rPr>
            <w:rStyle w:val="Hyperlink"/>
          </w:rPr>
          <w:t xml:space="preserve">https://yourvoice.brighton-hove.gov.uk/en-GB/projects/secondary-school-engagement-exercise/1</w:t>
        </w:r>
      </w:hyperlink>
    </w:p>
  </w:footnote>
  <w:footnote w:id="80">
    <w:p>
      <w:pPr>
        <w:pStyle w:val="FootnoteText"/>
      </w:pPr>
      <w:r>
        <w:rPr>
          <w:rStyle w:val="FootnoteReference"/>
        </w:rPr>
        <w:footnoteRef/>
      </w:r>
      <w:r>
        <w:t xml:space="preserve"> </w:t>
      </w:r>
      <w:hyperlink r:id="rId81">
        <w:r>
          <w:rPr>
            <w:rStyle w:val="Hyperlink"/>
          </w:rPr>
          <w:t xml:space="preserve">https://educationequity.kit.com/</w:t>
        </w:r>
      </w:hyperlink>
    </w:p>
  </w:footnote>
  <w:footnote w:id="82">
    <w:p>
      <w:pPr>
        <w:pStyle w:val="FootnoteText"/>
      </w:pPr>
      <w:r>
        <w:rPr>
          <w:rStyle w:val="FootnoteReference"/>
        </w:rPr>
        <w:footnoteRef/>
      </w:r>
      <w:r>
        <w:t xml:space="preserve"> </w:t>
      </w:r>
      <w:hyperlink r:id="rId83">
        <w:r>
          <w:rPr>
            <w:rStyle w:val="Hyperlink"/>
          </w:rPr>
          <w:t xml:space="preserve">https://www.classdivide.co.uk/</w:t>
        </w:r>
      </w:hyperlink>
    </w:p>
  </w:footnote>
  <w:footnote w:id="84">
    <w:p>
      <w:pPr>
        <w:pStyle w:val="FootnoteText"/>
      </w:pPr>
      <w:r>
        <w:rPr>
          <w:rStyle w:val="FootnoteReference"/>
        </w:rPr>
        <w:footnoteRef/>
      </w:r>
      <w:r>
        <w:t xml:space="preserve"> </w:t>
      </w:r>
      <w:hyperlink r:id="rId85">
        <w:r>
          <w:rPr>
            <w:rStyle w:val="Hyperlink"/>
          </w:rPr>
          <w:t xml:space="preserve">https://reports.ofsted.gov.uk/provider/23/136164</w:t>
        </w:r>
      </w:hyperlink>
    </w:p>
  </w:footnote>
  <w:footnote w:id="90">
    <w:p>
      <w:pPr>
        <w:pStyle w:val="FootnoteText"/>
      </w:pPr>
      <w:r>
        <w:rPr>
          <w:rStyle w:val="FootnoteReference"/>
        </w:rPr>
        <w:footnoteRef/>
      </w:r>
      <w:r>
        <w:t xml:space="preserve"> </w:t>
      </w:r>
      <w:r>
        <w:t xml:space="preserve">School Attainment Policy Simulator:</w:t>
      </w:r>
      <w:r>
        <w:t xml:space="preserve"> </w:t>
      </w:r>
      <w:hyperlink r:id="rId91">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hyperlink" Id="rId9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9"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3" Target="https://adamdennett.github.io/school_attainment_tool/data_overview.html" TargetMode="External" /><Relationship Type="http://schemas.openxmlformats.org/officeDocument/2006/relationships/hyperlink" Id="rId47" Target="https://adamdennett.github.io/school_attainment_tool/model_experiments.html" TargetMode="External" /><Relationship Type="http://schemas.openxmlformats.org/officeDocument/2006/relationships/hyperlink" Id="rId45" Target="https://adamdennett.github.io/school_attainment_tool/model_results.html#stepwise-model-building" TargetMode="External" /><Relationship Type="http://schemas.openxmlformats.org/officeDocument/2006/relationships/hyperlink" Id="rId138" Target="https://cep.lse.ac.uk/_new/publications/abstract.asp?index=5752" TargetMode="External" /><Relationship Type="http://schemas.openxmlformats.org/officeDocument/2006/relationships/hyperlink" Id="rId116" Target="https://committees.parliament.uk/committee/203/education-committee/news/156024/forgotten-white-workingclass-pupils-let-down-by-decades-of-neglect-mps-say/" TargetMode="External" /><Relationship Type="http://schemas.openxmlformats.org/officeDocument/2006/relationships/hyperlink" Id="rId140" Target="https://doi.org/10.1002/berj.3297" TargetMode="External" /><Relationship Type="http://schemas.openxmlformats.org/officeDocument/2006/relationships/hyperlink" Id="rId130" Target="https://doi.org/10.1002/berj.3992" TargetMode="External" /><Relationship Type="http://schemas.openxmlformats.org/officeDocument/2006/relationships/hyperlink" Id="rId173" Target="https://doi.org/10.1007/978-3-031-98300-9_17" TargetMode="External" /><Relationship Type="http://schemas.openxmlformats.org/officeDocument/2006/relationships/hyperlink" Id="rId162" Target="https://doi.org/10.1007/s41105-017-0086-x" TargetMode="External" /><Relationship Type="http://schemas.openxmlformats.org/officeDocument/2006/relationships/hyperlink" Id="rId110" Target="https://doi.org/10.1016/j.econedurev.2023.102405" TargetMode="External" /><Relationship Type="http://schemas.openxmlformats.org/officeDocument/2006/relationships/hyperlink" Id="rId128" Target="https://doi.org/10.1016/j.jth.2023.101605" TargetMode="External" /><Relationship Type="http://schemas.openxmlformats.org/officeDocument/2006/relationships/hyperlink" Id="rId150" Target="https://doi.org/10.1016/j.psyneuen.2021.105371" TargetMode="External" /><Relationship Type="http://schemas.openxmlformats.org/officeDocument/2006/relationships/hyperlink" Id="rId181" Target="https://doi.org/10.1016/j.sleep.2018.12.004" TargetMode="External" /><Relationship Type="http://schemas.openxmlformats.org/officeDocument/2006/relationships/hyperlink" Id="rId169" Target="https://doi.org/10.1080/01425692.2025.2474040" TargetMode="External" /><Relationship Type="http://schemas.openxmlformats.org/officeDocument/2006/relationships/hyperlink" Id="rId104" Target="https://doi.org/10.1080/0305764X.2024.2420611" TargetMode="External" /><Relationship Type="http://schemas.openxmlformats.org/officeDocument/2006/relationships/hyperlink" Id="rId100" Target="https://doi.org/10.1080/09645292.2017.1366425" TargetMode="External" /><Relationship Type="http://schemas.openxmlformats.org/officeDocument/2006/relationships/hyperlink" Id="rId132" Target="https://doi.org/10.1093/ooec/odad029" TargetMode="External" /><Relationship Type="http://schemas.openxmlformats.org/officeDocument/2006/relationships/hyperlink" Id="rId136" Target="https://doi.org/10.1111/j.1467-8624.2004.00655.x" TargetMode="External" /><Relationship Type="http://schemas.openxmlformats.org/officeDocument/2006/relationships/hyperlink" Id="rId102" Target="https://doi.org/10.1111/j.1475-5661.2012.00511.x" TargetMode="External" /><Relationship Type="http://schemas.openxmlformats.org/officeDocument/2006/relationships/hyperlink" Id="rId156" Target="https://doi.org/10.1111/pcn.13708" TargetMode="External" /><Relationship Type="http://schemas.openxmlformats.org/officeDocument/2006/relationships/hyperlink" Id="rId108" Target="https://doi.org/10.1177/0308518X18787820" TargetMode="External" /><Relationship Type="http://schemas.openxmlformats.org/officeDocument/2006/relationships/hyperlink" Id="rId179" Target="https://doi.org/10.1177/0739456X17725148" TargetMode="External" /><Relationship Type="http://schemas.openxmlformats.org/officeDocument/2006/relationships/hyperlink" Id="rId142" Target="https://doi.org/10.1177/2158244018825171" TargetMode="External" /><Relationship Type="http://schemas.openxmlformats.org/officeDocument/2006/relationships/hyperlink" Id="rId134" Target="https://doi.org/10.1186/1471-2458-13-1166" TargetMode="External" /><Relationship Type="http://schemas.openxmlformats.org/officeDocument/2006/relationships/hyperlink" Id="rId148" Target="https://doi.org/10.1186/s12889-025-22847-5" TargetMode="External" /><Relationship Type="http://schemas.openxmlformats.org/officeDocument/2006/relationships/hyperlink" Id="rId158" Target="https://doi.org/10.1265/ehpm.25-00089" TargetMode="External" /><Relationship Type="http://schemas.openxmlformats.org/officeDocument/2006/relationships/hyperlink" Id="rId114" Target="https://doi.org/10.1371/journal.pone.0314687" TargetMode="External" /><Relationship Type="http://schemas.openxmlformats.org/officeDocument/2006/relationships/hyperlink" Id="rId154" Target="https://doi.org/10.14324/LRE.21.1.20" TargetMode="External" /><Relationship Type="http://schemas.openxmlformats.org/officeDocument/2006/relationships/hyperlink" Id="rId118" Target="https://doi.org/10.3102/01623737221092450" TargetMode="External" /><Relationship Type="http://schemas.openxmlformats.org/officeDocument/2006/relationships/hyperlink" Id="rId160" Target="https://doi.org/10.3109/07420528.2013.826238" TargetMode="External" /><Relationship Type="http://schemas.openxmlformats.org/officeDocument/2006/relationships/hyperlink" Id="rId144" Target="https://doi.org/10.3390/educsci15010006" TargetMode="External" /><Relationship Type="http://schemas.openxmlformats.org/officeDocument/2006/relationships/hyperlink" Id="rId81" Target="https://educationequity.kit.com/" TargetMode="External" /><Relationship Type="http://schemas.openxmlformats.org/officeDocument/2006/relationships/hyperlink" Id="rId177" Target="https://epi.org.uk/annual-report-2023/" TargetMode="External" /><Relationship Type="http://schemas.openxmlformats.org/officeDocument/2006/relationships/hyperlink" Id="rId183" Target="https://epi.org.uk/publications-and-research/the-influence-of-headteachers-on-their-schools/" TargetMode="External" /><Relationship Type="http://schemas.openxmlformats.org/officeDocument/2006/relationships/hyperlink" Id="rId124" Target="https://explore-education-statistics.service.gov.uk/find-statistics/pupil-absence-in-schools-in-england/2024-25-autumn-and-spring-term" TargetMode="External" /><Relationship Type="http://schemas.openxmlformats.org/officeDocument/2006/relationships/hyperlink" Id="rId120" Target="https://explore-education-statistics.service.gov.uk/find-statistics/the-link-between-absence-and-attainment-at-ks2-and-ks4/2018-19" TargetMode="External" /><Relationship Type="http://schemas.openxmlformats.org/officeDocument/2006/relationships/hyperlink" Id="rId175" Target="https://ffteducationdatalab.org.uk/2023/11/are-pupils-who-live-further-away-from-their-school-absent-more-often/" TargetMode="External" /><Relationship Type="http://schemas.openxmlformats.org/officeDocument/2006/relationships/hyperlink" Id="rId146" Target="https://opendocs.ids.ac.uk/articles/report/The_Contribution_of_Education_to_Economic_Growth/26453986/1" TargetMode="External" /><Relationship Type="http://schemas.openxmlformats.org/officeDocument/2006/relationships/hyperlink" Id="rId85" Target="https://reports.ofsted.gov.uk/provider/23/136164" TargetMode="External" /><Relationship Type="http://schemas.openxmlformats.org/officeDocument/2006/relationships/hyperlink" Id="rId83" Target="https://www.classdivide.co.uk/" TargetMode="External" /><Relationship Type="http://schemas.openxmlformats.org/officeDocument/2006/relationships/hyperlink" Id="rId164" Target="https://www.gov.uk/government/publications/against-the-odds" TargetMode="External" /><Relationship Type="http://schemas.openxmlformats.org/officeDocument/2006/relationships/hyperlink" Id="rId126" Target="https://www.gov.uk/government/publications/every-child-achieving-and-thriving/every-child-achieving-and-thriving-html-version" TargetMode="External" /><Relationship Type="http://schemas.openxmlformats.org/officeDocument/2006/relationships/hyperlink" Id="rId166" Target="https://www.gov.uk/government/publications/examining-the-london-advantage-in-attainment-evidence-from-lsype" TargetMode="External" /><Relationship Type="http://schemas.openxmlformats.org/officeDocument/2006/relationships/hyperlink" Id="rId122" Target="https://www.gov.uk/government/publications/link-between-attendance-and-attainment" TargetMode="External" /><Relationship Type="http://schemas.openxmlformats.org/officeDocument/2006/relationships/hyperlink" Id="rId17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2" Target="https://www.nfer.ac.uk/publications/supporting-the-attainment-of-disadvantaged-pupils-articulating-success-and-good-practice/" TargetMode="External" /><Relationship Type="http://schemas.openxmlformats.org/officeDocument/2006/relationships/hyperlink" Id="rId112" Target="https://www.nuffieldfoundation.org/project/characterising-effective-teaching-2" TargetMode="External" /><Relationship Type="http://schemas.openxmlformats.org/officeDocument/2006/relationships/hyperlink" Id="rId106" Target="https://www.urban.org/sites/default/files/publication/99027/time_to_school_and_student_outcomes_in_dc_1.pdf" TargetMode="External" /><Relationship Type="http://schemas.openxmlformats.org/officeDocument/2006/relationships/hyperlink" Id="rId74" Target="https://yourvoice.brighton-hove.gov.uk/en-GB/projects/school-admission-arrangements-public-consultation/1" TargetMode="External" /><Relationship Type="http://schemas.openxmlformats.org/officeDocument/2006/relationships/hyperlink" Id="rId77"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9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9"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3" Target="https://adamdennett.github.io/school_attainment_tool/data_overview.html" TargetMode="External" /><Relationship Type="http://schemas.openxmlformats.org/officeDocument/2006/relationships/hyperlink" Id="rId47" Target="https://adamdennett.github.io/school_attainment_tool/model_experiments.html" TargetMode="External" /><Relationship Type="http://schemas.openxmlformats.org/officeDocument/2006/relationships/hyperlink" Id="rId45" Target="https://adamdennett.github.io/school_attainment_tool/model_results.html#stepwise-model-building" TargetMode="External" /><Relationship Type="http://schemas.openxmlformats.org/officeDocument/2006/relationships/hyperlink" Id="rId138" Target="https://cep.lse.ac.uk/_new/publications/abstract.asp?index=5752" TargetMode="External" /><Relationship Type="http://schemas.openxmlformats.org/officeDocument/2006/relationships/hyperlink" Id="rId116" Target="https://committees.parliament.uk/committee/203/education-committee/news/156024/forgotten-white-workingclass-pupils-let-down-by-decades-of-neglect-mps-say/" TargetMode="External" /><Relationship Type="http://schemas.openxmlformats.org/officeDocument/2006/relationships/hyperlink" Id="rId140" Target="https://doi.org/10.1002/berj.3297" TargetMode="External" /><Relationship Type="http://schemas.openxmlformats.org/officeDocument/2006/relationships/hyperlink" Id="rId130" Target="https://doi.org/10.1002/berj.3992" TargetMode="External" /><Relationship Type="http://schemas.openxmlformats.org/officeDocument/2006/relationships/hyperlink" Id="rId173" Target="https://doi.org/10.1007/978-3-031-98300-9_17" TargetMode="External" /><Relationship Type="http://schemas.openxmlformats.org/officeDocument/2006/relationships/hyperlink" Id="rId162" Target="https://doi.org/10.1007/s41105-017-0086-x" TargetMode="External" /><Relationship Type="http://schemas.openxmlformats.org/officeDocument/2006/relationships/hyperlink" Id="rId110" Target="https://doi.org/10.1016/j.econedurev.2023.102405" TargetMode="External" /><Relationship Type="http://schemas.openxmlformats.org/officeDocument/2006/relationships/hyperlink" Id="rId128" Target="https://doi.org/10.1016/j.jth.2023.101605" TargetMode="External" /><Relationship Type="http://schemas.openxmlformats.org/officeDocument/2006/relationships/hyperlink" Id="rId150" Target="https://doi.org/10.1016/j.psyneuen.2021.105371" TargetMode="External" /><Relationship Type="http://schemas.openxmlformats.org/officeDocument/2006/relationships/hyperlink" Id="rId181" Target="https://doi.org/10.1016/j.sleep.2018.12.004" TargetMode="External" /><Relationship Type="http://schemas.openxmlformats.org/officeDocument/2006/relationships/hyperlink" Id="rId169" Target="https://doi.org/10.1080/01425692.2025.2474040" TargetMode="External" /><Relationship Type="http://schemas.openxmlformats.org/officeDocument/2006/relationships/hyperlink" Id="rId104" Target="https://doi.org/10.1080/0305764X.2024.2420611" TargetMode="External" /><Relationship Type="http://schemas.openxmlformats.org/officeDocument/2006/relationships/hyperlink" Id="rId100" Target="https://doi.org/10.1080/09645292.2017.1366425" TargetMode="External" /><Relationship Type="http://schemas.openxmlformats.org/officeDocument/2006/relationships/hyperlink" Id="rId132" Target="https://doi.org/10.1093/ooec/odad029" TargetMode="External" /><Relationship Type="http://schemas.openxmlformats.org/officeDocument/2006/relationships/hyperlink" Id="rId136" Target="https://doi.org/10.1111/j.1467-8624.2004.00655.x" TargetMode="External" /><Relationship Type="http://schemas.openxmlformats.org/officeDocument/2006/relationships/hyperlink" Id="rId102" Target="https://doi.org/10.1111/j.1475-5661.2012.00511.x" TargetMode="External" /><Relationship Type="http://schemas.openxmlformats.org/officeDocument/2006/relationships/hyperlink" Id="rId156" Target="https://doi.org/10.1111/pcn.13708" TargetMode="External" /><Relationship Type="http://schemas.openxmlformats.org/officeDocument/2006/relationships/hyperlink" Id="rId108" Target="https://doi.org/10.1177/0308518X18787820" TargetMode="External" /><Relationship Type="http://schemas.openxmlformats.org/officeDocument/2006/relationships/hyperlink" Id="rId179" Target="https://doi.org/10.1177/0739456X17725148" TargetMode="External" /><Relationship Type="http://schemas.openxmlformats.org/officeDocument/2006/relationships/hyperlink" Id="rId142" Target="https://doi.org/10.1177/2158244018825171" TargetMode="External" /><Relationship Type="http://schemas.openxmlformats.org/officeDocument/2006/relationships/hyperlink" Id="rId134" Target="https://doi.org/10.1186/1471-2458-13-1166" TargetMode="External" /><Relationship Type="http://schemas.openxmlformats.org/officeDocument/2006/relationships/hyperlink" Id="rId148" Target="https://doi.org/10.1186/s12889-025-22847-5" TargetMode="External" /><Relationship Type="http://schemas.openxmlformats.org/officeDocument/2006/relationships/hyperlink" Id="rId158" Target="https://doi.org/10.1265/ehpm.25-00089" TargetMode="External" /><Relationship Type="http://schemas.openxmlformats.org/officeDocument/2006/relationships/hyperlink" Id="rId114" Target="https://doi.org/10.1371/journal.pone.0314687" TargetMode="External" /><Relationship Type="http://schemas.openxmlformats.org/officeDocument/2006/relationships/hyperlink" Id="rId154" Target="https://doi.org/10.14324/LRE.21.1.20" TargetMode="External" /><Relationship Type="http://schemas.openxmlformats.org/officeDocument/2006/relationships/hyperlink" Id="rId118" Target="https://doi.org/10.3102/01623737221092450" TargetMode="External" /><Relationship Type="http://schemas.openxmlformats.org/officeDocument/2006/relationships/hyperlink" Id="rId160" Target="https://doi.org/10.3109/07420528.2013.826238" TargetMode="External" /><Relationship Type="http://schemas.openxmlformats.org/officeDocument/2006/relationships/hyperlink" Id="rId144" Target="https://doi.org/10.3390/educsci15010006" TargetMode="External" /><Relationship Type="http://schemas.openxmlformats.org/officeDocument/2006/relationships/hyperlink" Id="rId81" Target="https://educationequity.kit.com/" TargetMode="External" /><Relationship Type="http://schemas.openxmlformats.org/officeDocument/2006/relationships/hyperlink" Id="rId177" Target="https://epi.org.uk/annual-report-2023/" TargetMode="External" /><Relationship Type="http://schemas.openxmlformats.org/officeDocument/2006/relationships/hyperlink" Id="rId183" Target="https://epi.org.uk/publications-and-research/the-influence-of-headteachers-on-their-schools/" TargetMode="External" /><Relationship Type="http://schemas.openxmlformats.org/officeDocument/2006/relationships/hyperlink" Id="rId124" Target="https://explore-education-statistics.service.gov.uk/find-statistics/pupil-absence-in-schools-in-england/2024-25-autumn-and-spring-term" TargetMode="External" /><Relationship Type="http://schemas.openxmlformats.org/officeDocument/2006/relationships/hyperlink" Id="rId120" Target="https://explore-education-statistics.service.gov.uk/find-statistics/the-link-between-absence-and-attainment-at-ks2-and-ks4/2018-19" TargetMode="External" /><Relationship Type="http://schemas.openxmlformats.org/officeDocument/2006/relationships/hyperlink" Id="rId175" Target="https://ffteducationdatalab.org.uk/2023/11/are-pupils-who-live-further-away-from-their-school-absent-more-often/" TargetMode="External" /><Relationship Type="http://schemas.openxmlformats.org/officeDocument/2006/relationships/hyperlink" Id="rId146" Target="https://opendocs.ids.ac.uk/articles/report/The_Contribution_of_Education_to_Economic_Growth/26453986/1" TargetMode="External" /><Relationship Type="http://schemas.openxmlformats.org/officeDocument/2006/relationships/hyperlink" Id="rId85" Target="https://reports.ofsted.gov.uk/provider/23/136164" TargetMode="External" /><Relationship Type="http://schemas.openxmlformats.org/officeDocument/2006/relationships/hyperlink" Id="rId83" Target="https://www.classdivide.co.uk/" TargetMode="External" /><Relationship Type="http://schemas.openxmlformats.org/officeDocument/2006/relationships/hyperlink" Id="rId164" Target="https://www.gov.uk/government/publications/against-the-odds" TargetMode="External" /><Relationship Type="http://schemas.openxmlformats.org/officeDocument/2006/relationships/hyperlink" Id="rId126" Target="https://www.gov.uk/government/publications/every-child-achieving-and-thriving/every-child-achieving-and-thriving-html-version" TargetMode="External" /><Relationship Type="http://schemas.openxmlformats.org/officeDocument/2006/relationships/hyperlink" Id="rId166" Target="https://www.gov.uk/government/publications/examining-the-london-advantage-in-attainment-evidence-from-lsype" TargetMode="External" /><Relationship Type="http://schemas.openxmlformats.org/officeDocument/2006/relationships/hyperlink" Id="rId122" Target="https://www.gov.uk/government/publications/link-between-attendance-and-attainment" TargetMode="External" /><Relationship Type="http://schemas.openxmlformats.org/officeDocument/2006/relationships/hyperlink" Id="rId17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2" Target="https://www.nfer.ac.uk/publications/supporting-the-attainment-of-disadvantaged-pupils-articulating-success-and-good-practice/" TargetMode="External" /><Relationship Type="http://schemas.openxmlformats.org/officeDocument/2006/relationships/hyperlink" Id="rId112" Target="https://www.nuffieldfoundation.org/project/characterising-effective-teaching-2" TargetMode="External" /><Relationship Type="http://schemas.openxmlformats.org/officeDocument/2006/relationships/hyperlink" Id="rId106" Target="https://www.urban.org/sites/default/files/publication/99027/time_to_school_and_student_outcomes_in_dc_1.pdf" TargetMode="External" /><Relationship Type="http://schemas.openxmlformats.org/officeDocument/2006/relationships/hyperlink" Id="rId74" Target="https://yourvoice.brighton-hove.gov.uk/en-GB/projects/school-admission-arrangements-public-consultation/1" TargetMode="External" /><Relationship Type="http://schemas.openxmlformats.org/officeDocument/2006/relationships/hyperlink" Id="rId77"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Pull the Right Lever: School Attainment, Open Data Analytics and Local Education Policy in England</dc:title>
  <dc:creator>Adam Dennett; Dan Campbell-Meiklejohn</dc:creator>
  <cp:keywords>school attainment, education policy, school absence, disadvantage gap, multilevel modelling, open data</cp:keywords>
  <dcterms:created xsi:type="dcterms:W3CDTF">2026-04-14T20:15:33Z</dcterms:created>
  <dcterms:modified xsi:type="dcterms:W3CDTF">2026-04-14T20:15:33Z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have considerable social costs. In contrast, Brighton and Hove has the second worst absence rate in England. The council policy was pulling a costly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2026-04-14</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