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1CBF4" w14:textId="77777777" w:rsidR="000E107D" w:rsidRDefault="00000000">
      <w:pPr>
        <w:pStyle w:val="Title"/>
      </w:pPr>
      <w:r>
        <w:t>Pulling the Right Lever: School Attainment, Open Data Analytics and Local Education Policy in England</w:t>
      </w:r>
    </w:p>
    <w:p w14:paraId="32883F94" w14:textId="77777777" w:rsidR="000E107D" w:rsidRDefault="00000000">
      <w:pPr>
        <w:pStyle w:val="AbstractTitle"/>
      </w:pPr>
      <w:r>
        <w:t>Abstract</w:t>
      </w:r>
    </w:p>
    <w:p w14:paraId="2FFBD28E" w14:textId="697A868A" w:rsidR="00F81C80" w:rsidRDefault="00000000">
      <w:pPr>
        <w:pStyle w:val="Abstract"/>
      </w:pPr>
      <w:r>
        <w:t>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p w14:paraId="1C884DCD" w14:textId="77777777" w:rsidR="00F81C80" w:rsidRDefault="00F81C80">
      <w:pPr>
        <w:spacing w:after="200" w:line="240" w:lineRule="auto"/>
        <w:rPr>
          <w:sz w:val="22"/>
        </w:rPr>
      </w:pPr>
      <w:r>
        <w:br w:type="page"/>
      </w:r>
    </w:p>
    <w:p w14:paraId="6AC9577E" w14:textId="77777777" w:rsidR="000E107D" w:rsidRDefault="00000000">
      <w:pPr>
        <w:pStyle w:val="Heading1"/>
      </w:pPr>
      <w:bookmarkStart w:id="0" w:name="introduction"/>
      <w:r>
        <w:lastRenderedPageBreak/>
        <w:t>1. Introduction</w:t>
      </w:r>
    </w:p>
    <w:p w14:paraId="492E68AC" w14:textId="77777777" w:rsidR="000E107D" w:rsidRDefault="00000000">
      <w:pPr>
        <w:pStyle w:val="FirstParagraph"/>
      </w:pPr>
      <w:r>
        <w:t>Pupil outcomes, including attainment, are a recurrent policy theme given the established links to individual life outcomes (Farquharson et al. 2024) and our collective national success through measures such as economic productivity (Grant 2017). The UK Government’s 2026 schools white paper (DfE 2026) 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14:paraId="1472578B" w14:textId="77777777" w:rsidR="000E107D" w:rsidRDefault="00000000">
      <w:pPr>
        <w:pStyle w:val="BodyText"/>
      </w:pPr>
      <w:r>
        <w:t>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14:paraId="019526CC" w14:textId="77777777" w:rsidR="000E107D" w:rsidRDefault="00000000">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 ‘driven by economic advantage’ and that redistributing pupils would narrow the attainment gap. The public response was overwhelmingly </w:t>
      </w:r>
      <w:r>
        <w:lastRenderedPageBreak/>
        <w:t>negative, yet parents and schools lacked the tools to challenge the proposals effectively and the core policy direction persisted, albeit slightly watered down.</w:t>
      </w:r>
    </w:p>
    <w:p w14:paraId="51FE1588" w14:textId="77777777" w:rsidR="000E107D" w:rsidRDefault="00000000">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 </w:t>
      </w:r>
      <w:r>
        <w:rPr>
          <w:i/>
          <w:iCs/>
        </w:rPr>
        <w:t>after controlling for absence in particular</w:t>
      </w:r>
      <w:r>
        <w:t>, Brighton and Hove was already among the highest-performing LEAs nationally for taking students beyond those factors - ranking 15th of 151 for disadvantaged pupils and 4th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 “what can we learn from what the city is doing right?” and “would asking pupils to travel out of their communities to schools jeopardise this success?” Some rapidly-produced analysis was put into the public domain by some of the authors of this paper</w:t>
      </w:r>
      <w:r>
        <w:rPr>
          <w:rStyle w:val="FootnoteReference"/>
        </w:rPr>
        <w:footnoteReference w:id="1"/>
      </w:r>
      <w:r>
        <w:t>, but as a response to, not a contribution to, policy formation.</w:t>
      </w:r>
    </w:p>
    <w:p w14:paraId="1B8CEFCE" w14:textId="77777777" w:rsidR="000E107D" w:rsidRDefault="00000000">
      <w:pPr>
        <w:pStyle w:val="BodyText"/>
      </w:pPr>
      <w:r>
        <w:lastRenderedPageBreak/>
        <w:t>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 Macleod et al. (2015) over a decade ago. Our intention is to show that with freely available open data and a small set of well-chosen variables, it is possible to build a model explaining close to 80% of the variation in school-level Attainment 8, and then to use it to answer locally targeted questions such as: ‘is changing the social mix in schools likely to improve disadvantaged pupil attainment?’, ‘what is the most important factor affecting attainment in a particular LEA?’, and ‘which schools are doing better or worse than expected?’. We report effects in GCSE-point units rather than standard deviations so that they have more direct meaning for policy makers.</w:t>
      </w:r>
    </w:p>
    <w:p w14:paraId="08D87846" w14:textId="77777777" w:rsidR="000E107D" w:rsidRDefault="00000000">
      <w:pPr>
        <w:pStyle w:val="BodyText"/>
      </w:pPr>
      <w:r>
        <w:t>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14:paraId="738ABF03" w14:textId="77777777" w:rsidR="000E107D" w:rsidRDefault="00000000">
      <w:pPr>
        <w:pStyle w:val="BodyText"/>
      </w:pPr>
      <w:r>
        <w:t xml:space="preserve">The paper proceeds as follows. We briefly review the literature on secondary school attainment drivers, then outline our modelling approach using DfE open data. We present results showing </w:t>
      </w:r>
      <w:r>
        <w:lastRenderedPageBreak/>
        <w:t>which factors matter most and how they interact, before applying these findings to Brighton and Hove. We conclude with implications for local and national education policy.</w:t>
      </w:r>
    </w:p>
    <w:p w14:paraId="2CCECF07" w14:textId="77777777" w:rsidR="000E107D" w:rsidRDefault="00000000">
      <w:pPr>
        <w:pStyle w:val="Heading1"/>
      </w:pPr>
      <w:bookmarkStart w:id="1" w:name="X6c5e88f05ffb4b99244fe6316fbbde4006e9a28"/>
      <w:bookmarkEnd w:id="0"/>
      <w:r>
        <w:t>2. Literature review: factors affecting pupil attainment</w:t>
      </w:r>
    </w:p>
    <w:p w14:paraId="14E8F99E" w14:textId="77777777" w:rsidR="000E107D" w:rsidRDefault="00000000">
      <w:pPr>
        <w:pStyle w:val="Heading2"/>
      </w:pPr>
      <w:bookmarkStart w:id="2" w:name="X27e2b6e819b781033a4a4801b80f2ee81de4995"/>
      <w:r>
        <w:t>2.1 Socio-economic background and disadvantage</w:t>
      </w:r>
    </w:p>
    <w:p w14:paraId="48BCCD1B" w14:textId="77777777" w:rsidR="000E107D" w:rsidRDefault="00000000">
      <w:pPr>
        <w:pStyle w:val="FirstParagraph"/>
      </w:pPr>
      <w:r>
        <w:t>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 (Tuckett et al. 2023). It is this ‘attainment-gap’ 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 Stopforth and Gayle (2025); Macleod et al. (2015); Tuckett et al. (2023)).</w:t>
      </w:r>
    </w:p>
    <w:p w14:paraId="0E15732E" w14:textId="77777777" w:rsidR="000E107D" w:rsidRDefault="00000000">
      <w:pPr>
        <w:pStyle w:val="BodyText"/>
      </w:pPr>
      <w:r>
        <w:t>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14:paraId="67F0748A" w14:textId="77777777" w:rsidR="000E107D" w:rsidRDefault="00000000">
      <w:pPr>
        <w:pStyle w:val="BodyText"/>
      </w:pPr>
      <w:r>
        <w:lastRenderedPageBreak/>
        <w:t>Inequalities in GCSE outcomes are substantially mediated by prior attainment at National Curriculum Key Stage 2 (KS2 - the latter stages of primary school from ages 7 to 11</w:t>
      </w:r>
      <w:r>
        <w:rPr>
          <w:rStyle w:val="FootnoteReference"/>
        </w:rPr>
        <w:footnoteReference w:id="2"/>
      </w:r>
      <w:r>
        <w:t>), reflecting 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 ‘almost no cost’ - a conjecture that overlooks real-world consequences for communities, particularly where local social geographies mean de-concentration requires children travelling long distances.</w:t>
      </w:r>
    </w:p>
    <w:p w14:paraId="0EB3C141" w14:textId="77777777" w:rsidR="000E107D" w:rsidRDefault="00000000">
      <w:pPr>
        <w:pStyle w:val="Heading2"/>
      </w:pPr>
      <w:bookmarkStart w:id="3" w:name="attendance"/>
      <w:bookmarkEnd w:id="2"/>
      <w:r>
        <w:t>2.2 Attendance</w:t>
      </w:r>
    </w:p>
    <w:p w14:paraId="21099C67" w14:textId="77777777" w:rsidR="000E107D" w:rsidRDefault="00000000">
      <w:pPr>
        <w:pStyle w:val="FirstParagraph"/>
      </w:pPr>
      <w:r>
        <w:t xml:space="preserve">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w:t>
      </w:r>
      <w:r>
        <w:lastRenderedPageBreak/>
        <w:t>(Riordan et al. 2021) conclude that the correlation between attendance and progress is ‘most likely to be causal’.</w:t>
      </w:r>
    </w:p>
    <w:p w14:paraId="08C1E154" w14:textId="77777777" w:rsidR="000E107D" w:rsidRDefault="00000000">
      <w:pPr>
        <w:pStyle w:val="BodyText"/>
      </w:pPr>
      <w:r>
        <w:t>Post-pandemic persistent absence has risen sharply, from around 10.5% pre-pandemic to approximately 21.9% in secondary schools by 2023/24, with rates for FSM-eligible pupils around 32% (DfE 2025b). This compounds the challenge of disentangling school-level from pupil-level effects.</w:t>
      </w:r>
    </w:p>
    <w:p w14:paraId="10EE190D" w14:textId="77777777" w:rsidR="000E107D" w:rsidRDefault="00000000">
      <w:pPr>
        <w:pStyle w:val="BodyText"/>
      </w:pPr>
      <w:r>
        <w:t xml:space="preserve">How far attendance is amenable to </w:t>
      </w:r>
      <w:r>
        <w:rPr>
          <w:i/>
          <w:iCs/>
        </w:rPr>
        <w:t>school-level</w:t>
      </w:r>
      <w:r>
        <w:t xml:space="preserve"> 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p>
    <w:p w14:paraId="1943D0C8" w14:textId="77777777" w:rsidR="000E107D" w:rsidRDefault="00000000">
      <w:pPr>
        <w:pStyle w:val="Heading2"/>
      </w:pPr>
      <w:bookmarkStart w:id="4" w:name="other-factors"/>
      <w:bookmarkEnd w:id="3"/>
      <w:r>
        <w:t>2.3 Other factors</w:t>
      </w:r>
    </w:p>
    <w:p w14:paraId="59AD3FF4" w14:textId="77777777" w:rsidR="000E107D" w:rsidRDefault="00000000">
      <w:pPr>
        <w:pStyle w:val="FirstParagraph"/>
      </w:pPr>
      <w:r>
        <w:t xml:space="preserve">Ethnic inequalities are persistent (Gillborn et al. 2017), though Gorard et al. (2025) show these are substantially reduced when controlling for pupil-level characteristics. The under-performance of disadvantaged White British pupils, particularly boys, has attracted policy attention, with </w:t>
      </w:r>
      <w:r>
        <w:lastRenderedPageBreak/>
        <w:t>causes contested between place-based deprivation and cultural factors (Strand 2021; Commons Education Committee 2021).</w:t>
      </w:r>
    </w:p>
    <w:p w14:paraId="667B4F6D" w14:textId="77777777" w:rsidR="000E107D" w:rsidRDefault="00000000">
      <w:pPr>
        <w:pStyle w:val="BodyText"/>
      </w:pPr>
      <w:r>
        <w:t>School-level selectivity inflates raw performance metrics. Anders et al. (2024) find that the private school premium effectively disappears once socio-economic background is controlled for. Burgess et al. (2018) show grammar schools reinforce socio-economic stratification without overall attainment benefits.</w:t>
      </w:r>
    </w:p>
    <w:p w14:paraId="23A2F5FF" w14:textId="77777777" w:rsidR="000E107D" w:rsidRDefault="00000000">
      <w:pPr>
        <w:pStyle w:val="BodyText"/>
      </w:pPr>
      <w:r>
        <w:t>Workforce factors including effective leadership (Zuccollo et al. 2023), teaching quality (Burgess et al. 2023), and teacher retention (Gibbons et al. 2018; Menzies 2023) contribute to variation in attainment, with effects felt most acutely by disadvantaged students (Allen et al. 2018). The ‘London Effect’ (the apparent boost to attainment for disadvantaged pupils who live in the Capital) (Ross et al. 2020) reflects a localised concentration of agency factors - parental expectations, homework hours, lower unauthorised absence - rather than a purely geographic phenomenon.</w:t>
      </w:r>
    </w:p>
    <w:p w14:paraId="3DC3F29B" w14:textId="77777777" w:rsidR="000E107D" w:rsidRDefault="00000000">
      <w:pPr>
        <w:pStyle w:val="BodyText"/>
      </w:pPr>
      <w:r>
        <w:t>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p w14:paraId="213EFC47" w14:textId="77777777" w:rsidR="000E107D" w:rsidRDefault="00000000">
      <w:pPr>
        <w:pStyle w:val="Heading1"/>
      </w:pPr>
      <w:bookmarkStart w:id="5" w:name="data-and-methods"/>
      <w:bookmarkEnd w:id="1"/>
      <w:bookmarkEnd w:id="4"/>
      <w:r>
        <w:lastRenderedPageBreak/>
        <w:t>3. Data and methods</w:t>
      </w:r>
    </w:p>
    <w:p w14:paraId="0860ECB7" w14:textId="77777777" w:rsidR="000E107D" w:rsidRDefault="00000000">
      <w:pPr>
        <w:pStyle w:val="Heading2"/>
      </w:pPr>
      <w:bookmarkStart w:id="6" w:name="data"/>
      <w:r>
        <w:t>3.1 Data</w:t>
      </w:r>
    </w:p>
    <w:p w14:paraId="0965CF72" w14:textId="77777777" w:rsidR="000E107D" w:rsidRDefault="00000000">
      <w:pPr>
        <w:pStyle w:val="FirstParagraph"/>
      </w:pPr>
      <w:r>
        <w:t>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3"/>
      </w:r>
      <w:r>
        <w:t xml:space="preserve"> The full panel comprises 13,419 school-year observations from 3,523 academies and maintained schools across 152 LEAs. Independent schools, colleges and ‘special schools’ (those catering more for pupils with special educational needs and disabilities) are excluded. After the exclusion of cases with missing predictor values or imputation of those values required for the log-linear specification (principally missing workforce or Ofsted data in 2024-25, together with KS2 prior attainment, which is not published for that year because the relevant cohort’s primary assessments were cancelled during the pandemic - see section 3.2</w:t>
      </w:r>
      <w:r>
        <w:rPr>
          <w:rStyle w:val="FootnoteReference"/>
        </w:rPr>
        <w:footnoteReference w:id="4"/>
      </w:r>
      <w:r>
        <w:t>), the analysis sample used in the models is approximately 12,200 observations. All data are school-level aggregates; interpretations relate to this level of aggregation.</w:t>
      </w:r>
    </w:p>
    <w:p w14:paraId="21D40D46" w14:textId="77777777" w:rsidR="000E107D" w:rsidRDefault="00000000">
      <w:pPr>
        <w:pStyle w:val="Heading2"/>
      </w:pPr>
      <w:bookmarkStart w:id="7" w:name="model-specification"/>
      <w:bookmarkEnd w:id="6"/>
      <w:r>
        <w:t>3.2 Model specification</w:t>
      </w:r>
    </w:p>
    <w:p w14:paraId="5F0E0D7F" w14:textId="77777777" w:rsidR="000E107D" w:rsidRDefault="00000000">
      <w:pPr>
        <w:pStyle w:val="FirstParagraph"/>
      </w:pPr>
      <w:r>
        <w:t xml:space="preserve">We fit multilevel linear mixed effects models (LMEs) with schools nested within LEAs within regions (Snijders 2012). The outcome is log-transformed Attainment 8 (for all, disadvantaged </w:t>
      </w:r>
      <w:r>
        <w:lastRenderedPageBreak/>
        <w:t xml:space="preserve">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 </w:t>
      </w:r>
      <w:r>
        <w:rPr>
          <w:i/>
          <w:iCs/>
        </w:rPr>
        <w:t>not</w:t>
      </w:r>
      <w:r>
        <w:t xml:space="preserve"> 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p>
    <w:p w14:paraId="39289D86" w14:textId="77777777" w:rsidR="000E107D" w:rsidRDefault="00000000">
      <w:pPr>
        <w:pStyle w:val="BodyText"/>
      </w:pPr>
      <w:r>
        <w:t>The model specification is:</w:t>
      </w:r>
    </w:p>
    <w:p w14:paraId="662FF618" w14:textId="77777777" w:rsidR="000E107D" w:rsidRDefault="00000000">
      <w:pPr>
        <w:pStyle w:val="BodyText"/>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m:rPr>
                      <m:nor/>
                    </m:rPr>
                    <m:t>ATT8</m:t>
                  </m:r>
                </m:e>
                <m:sub>
                  <m:r>
                    <w:rPr>
                      <w:rFonts w:ascii="Cambria Math" w:hAnsi="Cambria Math"/>
                    </w:rPr>
                    <m:t>ij</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kij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year</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Ofsted</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region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LA|region</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oMath>
      </m:oMathPara>
    </w:p>
    <w:p w14:paraId="5900DD72" w14:textId="77777777" w:rsidR="000E107D" w:rsidRDefault="00000000">
      <w:pPr>
        <w:pStyle w:val="FirstParagraph"/>
      </w:pPr>
      <w:r>
        <w:t xml:space="preserve">where </w:t>
      </w:r>
      <m:oMath>
        <m:r>
          <w:rPr>
            <w:rFonts w:ascii="Cambria Math" w:hAnsi="Cambria Math"/>
          </w:rPr>
          <m:t>i</m:t>
        </m:r>
      </m:oMath>
      <w:r>
        <w:t xml:space="preserve"> indexes schools, </w:t>
      </w:r>
      <m:oMath>
        <m:r>
          <w:rPr>
            <w:rFonts w:ascii="Cambria Math" w:hAnsi="Cambria Math"/>
          </w:rPr>
          <m:t>j</m:t>
        </m:r>
      </m:oMath>
      <w:r>
        <w:t xml:space="preserve"> indexes year-observations, the </w:t>
      </w:r>
      <m:oMath>
        <m:sSub>
          <m:sSubPr>
            <m:ctrlPr>
              <w:rPr>
                <w:rFonts w:ascii="Cambria Math" w:hAnsi="Cambria Math"/>
              </w:rPr>
            </m:ctrlPr>
          </m:sSubPr>
          <m:e>
            <m:r>
              <w:rPr>
                <w:rFonts w:ascii="Cambria Math" w:hAnsi="Cambria Math"/>
              </w:rPr>
              <m:t>β</m:t>
            </m:r>
          </m:e>
          <m:sub>
            <m:r>
              <w:rPr>
                <w:rFonts w:ascii="Cambria Math" w:hAnsi="Cambria Math"/>
              </w:rPr>
              <m:t>k</m:t>
            </m:r>
          </m:sub>
        </m:sSub>
      </m:oMath>
      <w:r>
        <w:t xml:space="preserve"> are fixed-effect coefficients, and the </w:t>
      </w:r>
      <m:oMath>
        <m:r>
          <w:rPr>
            <w:rFonts w:ascii="Cambria Math" w:hAnsi="Cambria Math"/>
          </w:rPr>
          <m:t>u</m:t>
        </m:r>
      </m:oMath>
      <w:r>
        <w:t xml:space="preserve"> terms are random-effect intercepts for year, Ofsted rating, region, and LEA nested within region.</w:t>
      </w:r>
    </w:p>
    <w:p w14:paraId="113C3961" w14:textId="77777777" w:rsidR="000E107D" w:rsidRDefault="00000000">
      <w:pPr>
        <w:pStyle w:val="BodyText"/>
      </w:pPr>
      <w:r>
        <w:t xml:space="preserve">Fixed-effect predictors comprise: log(% KS4 pupils who are disadvantaged - % FSM), log(% overall absence - % Absence), log(% pupils with English as an additional language - % EAL), mean KS2 prior attainment (the cohort’s average KS2 scaled score, centred at the national </w:t>
      </w:r>
      <w:r>
        <w:lastRenderedPageBreak/>
        <w:t>standard of 100), selective admissions (dummy), Gorard Segregation Index (LA-level), teacher retention rate, leadership pay proportion, and log(teacher sickness days).</w:t>
      </w:r>
    </w:p>
    <w:p w14:paraId="4E720558" w14:textId="77777777" w:rsidR="000E107D" w:rsidRDefault="00000000">
      <w:pPr>
        <w:pStyle w:val="BodyText"/>
      </w:pPr>
      <w:r>
        <w:t xml:space="preserve">The selective-admissions variable is the DfE’s own performance-tables admissions classification, and within our state-funded sample it distinguishes three groups: wholly </w:t>
      </w:r>
      <w:r>
        <w:rPr>
          <w:i/>
          <w:iCs/>
        </w:rPr>
        <w:t>selective</w:t>
      </w:r>
      <w:r>
        <w:t xml:space="preserve"> 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 </w:t>
      </w:r>
      <w:r>
        <w:rPr>
          <w:i/>
          <w:iCs/>
        </w:rPr>
        <w:t>full</w:t>
      </w:r>
      <w:r>
        <w:t xml:space="preserve"> academic selection, benchmarked against non-selective schools whose intakes are shaped by the same local grammar systems. It does not capture partial selection, banding, aptitude-based selection or faith-based oversubscription criteria, all of which fall within the ‘other non-selective’ category and are consequently unmeasured here; faith schools in particular are not separately identified in the main model.</w:t>
      </w:r>
    </w:p>
    <w:p w14:paraId="0743E946" w14:textId="77777777" w:rsidR="000E107D" w:rsidRDefault="00000000">
      <w:pPr>
        <w:pStyle w:val="BodyText"/>
      </w:pPr>
      <w:r>
        <w:t xml:space="preserve">There are two points relating to the prior-attainment variable that need highlighting. Firstly, we control for prior attainment using the cohort’s </w:t>
      </w:r>
      <w:r>
        <w:rPr>
          <w:i/>
          <w:iCs/>
        </w:rPr>
        <w:t>mean KS2 scaled score</w:t>
      </w:r>
      <w:r>
        <w:t>,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5"/>
      </w:r>
      <w:r>
        <w:t xml:space="preserve"> For 2024-25 we therefore </w:t>
      </w:r>
      <w:r>
        <w:lastRenderedPageBreak/>
        <w:t>carry forward each school’s most recently observed value (or, where that is unavailable, its mean across observed years), and the affected rows are flagged in the panel (see Supplementary material</w:t>
      </w:r>
      <w:r>
        <w:rPr>
          <w:rStyle w:val="FootnoteReference"/>
        </w:rPr>
        <w:footnoteReference w:id="6"/>
      </w:r>
      <w:r>
        <w:t xml:space="preserve"> 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p>
    <w:p w14:paraId="5358CFE9" w14:textId="77777777" w:rsidR="000E107D" w:rsidRDefault="00000000">
      <w:pPr>
        <w:pStyle w:val="BodyText"/>
      </w:pPr>
      <w:r>
        <w:t xml:space="preserve">An earlier version of this analysis controlled for prior attainment using only the </w:t>
      </w:r>
      <w:r>
        <w:rPr>
          <w:i/>
          <w:iCs/>
        </w:rPr>
        <w:t>percentage of pupils with low KS2 prior attainment</w:t>
      </w:r>
      <w:r>
        <w:t>. In this iteration we look at the mean KS2 score. This implications of this change are discussed below.</w:t>
      </w:r>
    </w:p>
    <w:p w14:paraId="112D014D" w14:textId="77777777" w:rsidR="000E107D" w:rsidRDefault="00000000">
      <w:pPr>
        <w:pStyle w:val="BodyText"/>
      </w:pPr>
      <w:r>
        <w:t xml:space="preserve">We fit separate models for overall Attainment 8, disadvantaged-pupil Attainment 8, and non-disadvantaged-pupil Attainment 8, as both panel models (all four years) and individual year models. Models were estimated using the </w:t>
      </w:r>
      <w:r>
        <w:rPr>
          <w:rStyle w:val="VerbatimChar"/>
        </w:rPr>
        <w:t>lme4</w:t>
      </w:r>
      <w:r>
        <w:t xml:space="preserve"> package in R with Restricted Maximum Likelihood estimation.</w:t>
      </w:r>
    </w:p>
    <w:p w14:paraId="0697B0C8" w14:textId="77777777" w:rsidR="000E107D" w:rsidRDefault="00000000">
      <w:pPr>
        <w:pStyle w:val="BodyText"/>
      </w:pPr>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 </w:t>
      </w:r>
      <w:r>
        <w:rPr>
          <w:rStyle w:val="FootnoteReference"/>
        </w:rPr>
        <w:footnoteReference w:id="7"/>
      </w:r>
      <w:r>
        <w:t>.</w:t>
      </w:r>
    </w:p>
    <w:p w14:paraId="046598EA" w14:textId="77777777" w:rsidR="000E107D" w:rsidRDefault="00000000">
      <w:pPr>
        <w:pStyle w:val="Heading1"/>
      </w:pPr>
      <w:bookmarkStart w:id="8" w:name="results"/>
      <w:bookmarkEnd w:id="5"/>
      <w:bookmarkEnd w:id="7"/>
      <w:r>
        <w:lastRenderedPageBreak/>
        <w:t>4. Results</w:t>
      </w:r>
    </w:p>
    <w:p w14:paraId="48A7FB96" w14:textId="77777777" w:rsidR="000E107D" w:rsidRDefault="00000000">
      <w:pPr>
        <w:pStyle w:val="Heading2"/>
      </w:pPr>
      <w:bookmarkStart w:id="9" w:name="model-fit"/>
      <w:r>
        <w:t>4.1 Model fit</w:t>
      </w:r>
    </w:p>
    <w:p w14:paraId="6F6B7445" w14:textId="77777777" w:rsidR="000E107D" w:rsidRDefault="00000000">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 calculate indicative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proxying the proportion of Attainment 8 variance explained by each model. For all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plus random effects) is 0.78, with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effects alone) of 0.65. For disadvantaged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is 0.73; for non-disadvantaged pupils, 0.8. School-level attainment is remarkably predictable from these structural factors, which makes them very useful for exploring the effectiveness of local policy levers.</w:t>
      </w:r>
    </w:p>
    <w:p w14:paraId="08585F8D" w14:textId="77777777" w:rsidR="000E107D" w:rsidRDefault="00000000">
      <w:pPr>
        <w:pStyle w:val="Heading2"/>
      </w:pPr>
      <w:bookmarkStart w:id="10" w:name="stepwise-decomposition"/>
      <w:bookmarkEnd w:id="9"/>
      <w:r>
        <w:t>4.2 Stepwise decomposition</w:t>
      </w:r>
    </w:p>
    <w:p w14:paraId="415647AA" w14:textId="77777777" w:rsidR="000E107D" w:rsidRDefault="00000000">
      <w:pPr>
        <w:pStyle w:val="FirstParagraph"/>
      </w:pPr>
      <w:r>
        <w:rPr>
          <w:i/>
          <w:iCs/>
        </w:rPr>
        <w:t>[Table 1: Stepwise progression to the full multilevel model for overall Attainment 8. — about here]</w:t>
      </w:r>
    </w:p>
    <w:p w14:paraId="26081B60" w14:textId="77777777" w:rsidR="000E107D" w:rsidRDefault="00000000">
      <w:pPr>
        <w:pStyle w:val="BodyText"/>
      </w:pPr>
      <w:r>
        <w:t xml:space="preserve">The stepwise progression in </w:t>
      </w:r>
      <w:hyperlink w:anchor="tbl-stepwise">
        <w:r w:rsidR="000E107D">
          <w:rPr>
            <w:rStyle w:val="Hyperlink"/>
          </w:rPr>
          <w:t>Table 1</w:t>
        </w:r>
      </w:hyperlink>
      <w:r>
        <w:t xml:space="preserve"> 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shares explanatory power attributed to deprivation, reducing the coefficient of %FSM, and adds further explanation, together they now account for over 60% of </w:t>
      </w:r>
      <w:r>
        <w:lastRenderedPageBreak/>
        <w:t>the variation in Attainment 8 scores. Adding prior attainment in Model 3 reduces both FSM and absence coefficients further. By Model 3, with just three variables, close to 70% of attainment variation is explained, with the t-values (in some respects a standardised version of the coefficients allowing for a degree of relative comparison) showing that % absence (t = -60.5) is the most important variable, mean KS2 prior attainment (t = 58.2) the next most important and % FSM the least influential (t = -21.0).</w:t>
      </w:r>
    </w:p>
    <w:p w14:paraId="200F0AD1" w14:textId="77777777" w:rsidR="000E107D" w:rsidRDefault="00000000">
      <w:pPr>
        <w:pStyle w:val="BodyText"/>
      </w:pPr>
      <w:r>
        <w:t xml:space="preserve">Before we get to Model 4, at this point, it is worth noting that in this iteration of the analysis we switch from low KS2 prior attainment to mean KS2 score - the difference materially affects two of 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 model controlling only for the low-attainment share cannot distinguish them, and so systematically under-adjusts for schools whose advantage lies at the </w:t>
      </w:r>
      <w:r>
        <w:rPr>
          <w:i/>
          <w:iCs/>
        </w:rPr>
        <w:t>top</w:t>
      </w:r>
      <w:r>
        <w:t xml:space="preserve"> of the distribution. Mean KS2 score, contrastingly, reflects the whole distribution - both tails - and produces a better model fit (a reduction in AIC of over 500 for the all-pupil model); once it is included, the low-attainment share adds nothing further (t = -0.45).</w:t>
      </w:r>
    </w:p>
    <w:p w14:paraId="7C1EBEB3" w14:textId="77777777" w:rsidR="000E107D" w:rsidRDefault="00000000">
      <w:pPr>
        <w:pStyle w:val="BodyText"/>
      </w:pPr>
      <w:r>
        <w:t xml:space="preserve">This matters for the interpretation of the analysis. The coefficient on concentrations of disadvantage falls by roughly a </w:t>
      </w:r>
      <w:r>
        <w:rPr>
          <w:i/>
          <w:iCs/>
        </w:rPr>
        <w:t>quarter</w:t>
      </w:r>
      <w:r>
        <w:t xml:space="preserve"> for all pupils, because the low-attainment share had been leaving part of the intake difference between high- and low-FSM schools unmeasured, and the FSM variable had been absorbing it. Properly controlled, disadvantage concentration is an even </w:t>
      </w:r>
      <w:r>
        <w:rPr>
          <w:i/>
          <w:iCs/>
        </w:rPr>
        <w:t>weaker</w:t>
      </w:r>
      <w:r>
        <w:t xml:space="preserve"> predictor of attainment than our earlier specification implied. For disadvantaged pupils specifically, the positive coefficient on disadvantage concentration becomes both larger and far more clearly distinguishable from zero (</w:t>
      </w:r>
      <w:r>
        <w:rPr>
          <w:i/>
          <w:iCs/>
        </w:rPr>
        <w:t>t</w:t>
      </w:r>
      <w:r>
        <w:t xml:space="preserve"> rising from 2.1 to 5.6) - disadvantaged pupils in high </w:t>
      </w:r>
      <w:r>
        <w:lastRenderedPageBreak/>
        <w:t>disadvantage schools are even more positively affected by this than our earlier specification led us to believe. The absence coefficient, by contrast, barely moves - under 3% in either pupil group - so the paper’s central finding is unaffected by the choice. The practical lesson is that in modelling KS4 outcomes it is not sufficient to ask how many pupils arrived behind; how many arrived ahead matters just as much, and controlling just for the low prior attainment tale has the effect of quietly over-crediting schools for intake advantages they did not create.</w:t>
      </w:r>
    </w:p>
    <w:p w14:paraId="4286E3DF" w14:textId="77777777" w:rsidR="000E107D" w:rsidRDefault="00000000">
      <w:pPr>
        <w:pStyle w:val="BodyText"/>
      </w:pPr>
      <w:r>
        <w:t xml:space="preserve">We should add a note of caution relating to interpretations following this improvement. Prior attainment at Key Stage 2 is not independent of disadvantage: a large chunk of prior attainment actually reflects the inequalities a child has already experienced before secondary school ever begins (Stopforth and Gayle 2025; Gorard and Siddiqui 2019). A variable that captures the whole intake distribution therefore absorbs correspondingly more of the poverty signal than one that captures just the low attainment tail - which is precisely why the disadvantage coefficient attenuates when we make the switch from low to mean KS2 attainment. The coefficient that survives this control should not, then, be read as an estimate of how much poverty matters to attainment. It is a </w:t>
      </w:r>
      <w:r>
        <w:rPr>
          <w:i/>
          <w:iCs/>
        </w:rPr>
        <w:t>within-intake</w:t>
      </w:r>
      <w:r>
        <w:t xml:space="preserve"> comparison: what remains once schools receiving similar cohorts are set alongside one another. The total contribution of disadvantage to attainment is substantially larger than that residual coefficient implies, and nothing in our analysis should be taken to suggest otherwise. What our models do identify is the marginal association with the </w:t>
      </w:r>
      <w:r>
        <w:rPr>
          <w:i/>
          <w:iCs/>
        </w:rPr>
        <w:t>concentration</w:t>
      </w:r>
      <w:r>
        <w:t xml:space="preserve"> of disadvantage at school level, holding intake constant - a much narrower quantity, and the one the 2023 (FSM priority) and 2024 (increased mixing) Brighton and Hove policy propositions actually turned on.</w:t>
      </w:r>
    </w:p>
    <w:p w14:paraId="4BE0ABD1" w14:textId="77777777" w:rsidR="000E107D" w:rsidRDefault="00000000">
      <w:pPr>
        <w:pStyle w:val="BodyText"/>
      </w:pPr>
      <w:r>
        <w:t xml:space="preserve">Prior attainment carries an additional structural meaning due to Ofqual’s ‘comparable outcomes’ approach, which calibrates national GCSE grade boundaries against the incoming cohort’s KS2 </w:t>
      </w:r>
      <w:r>
        <w:lastRenderedPageBreak/>
        <w:t>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p>
    <w:p w14:paraId="052C478C" w14:textId="77777777" w:rsidR="000E107D" w:rsidRDefault="00000000">
      <w:pPr>
        <w:pStyle w:val="BodyText"/>
      </w:pPr>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from 0.65 (marginal) to 0.78 (conditional), indicating that 13% of attainment variance is tied to these grouping factors - capturing unmeasured factors such as school culture, leadership quality, local authority support services, and community characteristics. The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captures the model’s total explained variance, which includes the substantial variance shared between correlated structural predictors due to shared underlying causes (e.g. poverty). As </w:t>
      </w:r>
      <w:hyperlink w:anchor="tbl-stepwise">
        <w:r w:rsidR="000E107D">
          <w:rPr>
            <w:rStyle w:val="Hyperlink"/>
          </w:rPr>
          <w:t>Table 1</w:t>
        </w:r>
      </w:hyperlink>
      <w:r>
        <w:t xml:space="preserve"> 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p>
    <w:p w14:paraId="0EC17870" w14:textId="77777777" w:rsidR="000E107D" w:rsidRDefault="00000000">
      <w:pPr>
        <w:pStyle w:val="BodyText"/>
      </w:pPr>
      <w:r>
        <w:t>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8"/>
      </w:r>
      <w:r>
        <w:t xml:space="preserve">). The fixed-effect form is also </w:t>
      </w:r>
      <w:r>
        <w:lastRenderedPageBreak/>
        <w:t xml:space="preserve">informative in its own right: relative to an ‘Outstanding’ school, and holding intake constant, a ‘Good’ rating is associated with roughly 1.9 fewer Attainment 8 points, ‘Requires Improvement’ with 4.0 fewer, and ‘Inadequate’ 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 </w:t>
      </w:r>
      <w:r>
        <w:rPr>
          <w:i/>
          <w:iCs/>
        </w:rPr>
        <w:t>increases</w:t>
      </w:r>
      <w:r>
        <w:t xml:space="preserve"> the estimated absence effect by 12–15%, so its inclusion makes our headline absence figure, if anything, conservative.</w:t>
      </w:r>
    </w:p>
    <w:p w14:paraId="2F362B78" w14:textId="77777777" w:rsidR="000E107D" w:rsidRDefault="00000000">
      <w:pPr>
        <w:pStyle w:val="BodyText"/>
      </w:pPr>
      <w:r>
        <w:t>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p>
    <w:p w14:paraId="4C2E58B5" w14:textId="77777777" w:rsidR="000E107D" w:rsidRDefault="00000000">
      <w:pPr>
        <w:pStyle w:val="BodyText"/>
      </w:pPr>
      <w:r>
        <w:t>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sidR="000E107D">
          <w:rPr>
            <w:rStyle w:val="Hyperlink"/>
          </w:rPr>
          <w:t>Figure 4</w:t>
        </w:r>
      </w:hyperlink>
      <w:r>
        <w:t xml:space="preserve">), which translates the coefficients into the expected </w:t>
      </w:r>
      <w:r>
        <w:lastRenderedPageBreak/>
        <w:t>Attainment 8 gain from a one-percentage-point change at each point along the absence and disadvantage distributions.</w:t>
      </w:r>
    </w:p>
    <w:p w14:paraId="290E07D9" w14:textId="77777777" w:rsidR="000E107D" w:rsidRDefault="00000000">
      <w:pPr>
        <w:pStyle w:val="Heading2"/>
      </w:pPr>
      <w:bookmarkStart w:id="11" w:name="relative-variable-importance"/>
      <w:bookmarkEnd w:id="10"/>
      <w:r>
        <w:t>4.3 Relative variable importance</w:t>
      </w:r>
    </w:p>
    <w:p w14:paraId="1A4FDF7C" w14:textId="77777777" w:rsidR="000E107D" w:rsidRDefault="00000000">
      <w:pPr>
        <w:pStyle w:val="FirstParagraph"/>
      </w:pPr>
      <w:r>
        <w:rPr>
          <w:i/>
          <w:iCs/>
        </w:rPr>
        <w:t>[Figure 1: Standardised coefficients showing relative variable importance across pupil groups. Bars show the change in log(ATT8) associated with a one-SD shift in each predictor. — about here]</w:t>
      </w:r>
    </w:p>
    <w:p w14:paraId="053D4EC0" w14:textId="77777777" w:rsidR="000E107D" w:rsidRDefault="000E107D">
      <w:pPr>
        <w:pStyle w:val="BodyText"/>
      </w:pPr>
      <w:hyperlink w:anchor="fig-standardised-coefficients">
        <w:r>
          <w:rPr>
            <w:rStyle w:val="Hyperlink"/>
          </w:rPr>
          <w:t>Figure 1</w:t>
        </w:r>
      </w:hyperlink>
      <w:r w:rsidR="00000000">
        <w:t xml:space="preserve"> compares the standardised coefficients</w:t>
      </w:r>
      <w:r w:rsidR="00000000">
        <w:rPr>
          <w:rStyle w:val="FootnoteReference"/>
        </w:rPr>
        <w:footnoteReference w:id="9"/>
      </w:r>
      <w:r w:rsidR="00000000">
        <w:t xml:space="preserve"> across all three pupil groups (all pupils, disadvantaged pupils and non-disadvantaged pupils - full model outputs available in the supplementary materials</w:t>
      </w:r>
      <w:r w:rsidR="00000000">
        <w:rPr>
          <w:rStyle w:val="FootnoteReference"/>
        </w:rPr>
        <w:footnoteReference w:id="10"/>
      </w:r>
      <w:r w:rsidR="00000000">
        <w:t xml:space="preserve">). Two predictors stand well clear of the rest, and which of them leads depends on the pupil group. Mean KS2 prior attainment has the largest standardised coefficient for all pupils and for non-disadvantaged pupils; for disadvantaged pupils, absence is larger. Prior attainment enters with a </w:t>
      </w:r>
      <w:r w:rsidR="00000000">
        <w:rPr>
          <w:i/>
          <w:iCs/>
        </w:rPr>
        <w:t>positive</w:t>
      </w:r>
      <w:r w:rsidR="00000000">
        <w:t xml:space="preserve"> sign - cohorts arriving from primary school with higher average KS2 scores go on to higher Attainment 8 - and its prominence is unsurprising, since it is the closest thing in the model to a direct measure of the intake a school receives.</w:t>
      </w:r>
    </w:p>
    <w:p w14:paraId="1C02BFCB" w14:textId="77777777" w:rsidR="000E107D" w:rsidRDefault="00000000">
      <w:pPr>
        <w:pStyle w:val="BodyText"/>
      </w:pPr>
      <w:r>
        <w:t xml:space="preserve">The distinction that matters for policy is that these two variables are not equally available to act on. Prior attainment is inherited: for a cohort already in secondary school it is fixed, and no </w:t>
      </w:r>
      <w:r>
        <w:lastRenderedPageBreak/>
        <w:t>admissions or improvement decision taken by a local authority can alter it. It belongs in the model as a control for intake, not as a lever. Absence, by contrast, is at least partly open to intervention, and it is the largest such factor for every pupil group. It is also markedly more important for disadvantaged pupils; for this group, the standardised coefficient for absence is roughly a third larger than the next most impactful predictor, whereas for non-disadvantaged pupils, prior attainment is the dominant factor.</w:t>
      </w:r>
    </w:p>
    <w:p w14:paraId="30849062" w14:textId="77777777" w:rsidR="000E107D" w:rsidRDefault="000E107D">
      <w:pPr>
        <w:pStyle w:val="BodyText"/>
      </w:pPr>
      <w:hyperlink w:anchor="fig-standardised-coefficients">
        <w:r>
          <w:rPr>
            <w:rStyle w:val="Hyperlink"/>
          </w:rPr>
          <w:t>Figure 1</w:t>
        </w:r>
      </w:hyperlink>
      <w:r w:rsidR="00000000">
        <w:t xml:space="preserve"> 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p>
    <w:p w14:paraId="68A3DDEF" w14:textId="77777777" w:rsidR="000E107D" w:rsidRDefault="00000000">
      <w:pPr>
        <w:pStyle w:val="BodyText"/>
      </w:pPr>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 </w:t>
      </w:r>
      <w:r>
        <w:rPr>
          <w:i/>
          <w:iCs/>
        </w:rPr>
        <w:t>positive</w:t>
      </w:r>
      <w:r>
        <w:t xml:space="preserve"> -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w:t>
      </w:r>
      <w:r>
        <w:lastRenderedPageBreak/>
        <w:t>measures.</w:t>
      </w:r>
      <w:r>
        <w:rPr>
          <w:rStyle w:val="FootnoteReference"/>
        </w:rPr>
        <w:footnoteReference w:id="11"/>
      </w:r>
      <w:r>
        <w:t xml:space="preserve"> In the full multilevel model, this positive coefficient shrinks substantially, suggesting the effect operates through LEA-level and Ofsted-level factors rather than concentration </w:t>
      </w:r>
      <w:r>
        <w:rPr>
          <w:i/>
          <w:iCs/>
        </w:rPr>
        <w:t>per se</w:t>
      </w:r>
      <w:r>
        <w:t xml:space="preserve"> - schools with higher FSM proportions in certain LEAs appear to have developed effective support systems, possibly through targeted use of Pupil Premium funding and other specialisations.</w:t>
      </w:r>
    </w:p>
    <w:p w14:paraId="71860DF6" w14:textId="77777777" w:rsidR="000E107D" w:rsidRDefault="00000000">
      <w:pPr>
        <w:pStyle w:val="BodyText"/>
      </w:pPr>
      <w:r>
        <w:t xml:space="preserve">We should be careful about the interpretation of this positive coefficient. One reading is that equivalent disadvantaged pupils do genuinely better in higher-concentration schools (‘differing effects’). But an alternative is that the FSM binary cannot distinguish the depth or duration of disadvantage, so the disadvantaged pupils in a 50%-FSM school may differ systematically from those in a 20%-FSM school in ways our aggregate measures do not capture (‘differing pupils’).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 </w:t>
      </w:r>
      <w:r>
        <w:rPr>
          <w:i/>
          <w:iCs/>
        </w:rPr>
        <w:t>harms</w:t>
      </w:r>
      <w:r>
        <w:t xml:space="preserve"> their attainment, and therefore no support for the premise that de-concentration would </w:t>
      </w:r>
      <w:r>
        <w:rPr>
          <w:i/>
          <w:iCs/>
        </w:rPr>
        <w:t>improve</w:t>
      </w:r>
      <w:r>
        <w:t xml:space="preserve"> it.</w:t>
      </w:r>
    </w:p>
    <w:p w14:paraId="3ED28509" w14:textId="77777777" w:rsidR="000E107D" w:rsidRDefault="00000000">
      <w:pPr>
        <w:pStyle w:val="BodyText"/>
      </w:pPr>
      <w:r>
        <w:lastRenderedPageBreak/>
        <w:t>For non-disadvantaged pupils, the effect of higher disadvantage concentrations is more clearly negative - being in a higher-disadvantage school depresses Attainment 8 for this group, possibly through peer effects or curriculum-resourcing dynamics. Both findings challenge the ‘no cost’ conjecture and, in the Brighton and Hove context, suggest that further mixing of an already comparatively well-integrated set of schools could be counter-productive for disadvantaged attainment.</w:t>
      </w:r>
    </w:p>
    <w:p w14:paraId="2D468F0D" w14:textId="77777777" w:rsidR="000E107D" w:rsidRDefault="00000000">
      <w:pPr>
        <w:pStyle w:val="BodyText"/>
      </w:pPr>
      <w:r>
        <w:t>Absence is the biggest modifiable predictor across all groups and is more important still for disadvantaged pupils, for whom it accounts for roughly a third of the combined standardised effect of every predictor in the model.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p w14:paraId="06EAA4F7" w14:textId="77777777" w:rsidR="000E107D" w:rsidRDefault="00000000">
      <w:pPr>
        <w:pStyle w:val="Heading1"/>
      </w:pPr>
      <w:bookmarkStart w:id="12" w:name="brighton-and-hove-case-study"/>
      <w:bookmarkEnd w:id="8"/>
      <w:bookmarkEnd w:id="11"/>
      <w:r>
        <w:t>5. Brighton and Hove case study</w:t>
      </w:r>
    </w:p>
    <w:p w14:paraId="72C756E4" w14:textId="77777777" w:rsidR="000E107D" w:rsidRDefault="00000000">
      <w:pPr>
        <w:pStyle w:val="Heading2"/>
      </w:pPr>
      <w:bookmarkStart w:id="13" w:name="local-context"/>
      <w:r>
        <w:t>5.1 Local context</w:t>
      </w:r>
    </w:p>
    <w:p w14:paraId="645D6DC0" w14:textId="77777777" w:rsidR="000E107D" w:rsidRDefault="00000000">
      <w:pPr>
        <w:pStyle w:val="FirstParagraph"/>
      </w:pPr>
      <w:r>
        <w:t>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sidR="000E107D">
          <w:rPr>
            <w:rStyle w:val="Hyperlink"/>
          </w:rPr>
          <w:t>Figure 2</w:t>
        </w:r>
      </w:hyperlink>
      <w:r>
        <w:t xml:space="preserve">) with a lottery tie-break for oversubscribed schools - </w:t>
      </w:r>
      <w:r>
        <w:lastRenderedPageBreak/>
        <w:t>making admissions very different to most other places in England where distance typically determines priority (Allen et al. 2013).</w:t>
      </w:r>
    </w:p>
    <w:p w14:paraId="6F484194" w14:textId="77777777" w:rsidR="000E107D" w:rsidRDefault="00000000">
      <w:pPr>
        <w:pStyle w:val="BodyText"/>
      </w:pPr>
      <w:r>
        <w:t>In October 2024, the council launched proposals to amend the secondary school admissions process. The cabinet papers</w:t>
      </w:r>
      <w:r>
        <w:rPr>
          <w:rStyle w:val="FootnoteReference"/>
        </w:rPr>
        <w:footnoteReference w:id="12"/>
      </w:r>
      <w:r>
        <w:t xml:space="preserve"> set out three stated objectives: </w:t>
      </w:r>
      <w:r>
        <w:rPr>
          <w:i/>
          <w:iCs/>
        </w:rPr>
        <w:t>‘a school system where all pupils get access to a great education’</w:t>
      </w:r>
      <w:r>
        <w:t xml:space="preserve">, improving </w:t>
      </w:r>
      <w:r>
        <w:rPr>
          <w:i/>
          <w:iCs/>
        </w:rPr>
        <w:t>‘the education offer for disadvantaged pupils by reducing some schools’ barriers to success’</w:t>
      </w:r>
      <w:r>
        <w:t xml:space="preserve">, and </w:t>
      </w:r>
      <w:r>
        <w:rPr>
          <w:i/>
          <w:iCs/>
        </w:rPr>
        <w:t>‘better equality of outcomes - results not driven by economic advantage’</w:t>
      </w:r>
      <w:r>
        <w:t xml:space="preserve">. Alongside ran a School Organisation Strategy commitment to </w:t>
      </w:r>
      <w:r>
        <w:rPr>
          <w:i/>
          <w:iCs/>
        </w:rPr>
        <w:t>‘schools which are sustainable and able to thrive’</w:t>
      </w:r>
      <w:r>
        <w:t xml:space="preserve"> 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 </w:t>
      </w:r>
      <w:r>
        <w:rPr>
          <w:i/>
          <w:iCs/>
        </w:rPr>
        <w:t>‘driven by economic advantage’</w:t>
      </w:r>
      <w:r>
        <w:t xml:space="preserve"> - a framing that implied that those who could afford to do so paid a housing premium to be near better schools in the city, but a characterisation empirically challenged in this context by Tan and Dennett (2025) who found that proximity to good schools in the city had a very small impact on prices. The 2024 proposals </w:t>
      </w:r>
      <w:r>
        <w:lastRenderedPageBreak/>
        <w:t>built on a 2023 policy giving FSM-eligible pupils priority at schools below the city-average (30%) FSM share, which was already producing flows from peripheral to central catchments.</w:t>
      </w:r>
    </w:p>
    <w:p w14:paraId="4208BB02" w14:textId="77777777" w:rsidR="000E107D" w:rsidRDefault="00000000">
      <w:pPr>
        <w:pStyle w:val="BodyText"/>
      </w:pPr>
      <w:r>
        <w:t xml:space="preserve">The public response was overwhelmingly negative, with the council’s pre-consultation feedback summary noting </w:t>
      </w:r>
      <w:r>
        <w:rPr>
          <w:i/>
          <w:iCs/>
        </w:rPr>
        <w:t>‘a strong preference for improving existing schools rather than redistributing students, alongside deep concerns about potential impacts on community cohesion and student wellbeing’</w:t>
      </w:r>
      <w:r>
        <w:t>.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13"/>
      </w:r>
      <w:r>
        <w:t xml:space="preserve"> 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14"/>
      </w:r>
      <w:r>
        <w:t xml:space="preserve"> - which included sections on attendance, leadership, governance and targeted support - was not referenced in the 2024 consultation materials.</w:t>
      </w:r>
    </w:p>
    <w:p w14:paraId="63FB1976" w14:textId="77777777" w:rsidR="000E107D" w:rsidRDefault="00000000">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w:t>
      </w:r>
      <w:r>
        <w:lastRenderedPageBreak/>
        <w:t>for the complexity of the issues at stake. What follows demonstrates what that evidence looks like and how it could inform future debates in Brighton and Hove and beyond.</w:t>
      </w:r>
    </w:p>
    <w:p w14:paraId="330CA6A0" w14:textId="77777777" w:rsidR="000E107D" w:rsidRDefault="00000000">
      <w:pPr>
        <w:pStyle w:val="BodyText"/>
      </w:pPr>
      <w:r>
        <w:rPr>
          <w:i/>
          <w:iCs/>
        </w:rPr>
        <w:t>[Figure 2: Brighton and Hove secondary schools with 2025/26 catchment boundaries. — about here]</w:t>
      </w:r>
    </w:p>
    <w:p w14:paraId="07610B0A" w14:textId="77777777" w:rsidR="000E107D" w:rsidRDefault="00000000">
      <w:pPr>
        <w:pStyle w:val="Heading2"/>
      </w:pPr>
      <w:bookmarkStart w:id="14" w:name="local-authority-effects"/>
      <w:bookmarkEnd w:id="13"/>
      <w:r>
        <w:t>5.2 Local authority effects</w:t>
      </w:r>
    </w:p>
    <w:p w14:paraId="30F139FA" w14:textId="77777777" w:rsidR="000E107D" w:rsidRDefault="00000000">
      <w:pPr>
        <w:pStyle w:val="FirstParagraph"/>
      </w:pPr>
      <w:r>
        <w:rPr>
          <w:i/>
          <w:iCs/>
        </w:rPr>
        <w:t>[Figure 3: LA random intercepts for disadvantaged-pupil attainment (imputed full panel model). Top and bottom 10 LAs labelled; Brighton and Hove highlighted. — about here]</w:t>
      </w:r>
    </w:p>
    <w:p w14:paraId="314A0044" w14:textId="77777777" w:rsidR="000E107D" w:rsidRDefault="000E107D">
      <w:pPr>
        <w:pStyle w:val="BodyText"/>
      </w:pPr>
      <w:hyperlink w:anchor="fig-caterpillar">
        <w:r>
          <w:rPr>
            <w:rStyle w:val="Hyperlink"/>
          </w:rPr>
          <w:t>Figure 3</w:t>
        </w:r>
      </w:hyperlink>
      <w:r w:rsidR="00000000">
        <w:t xml:space="preserve"> shows the local-authority random intercepts for disadvantaged-pupil attainment. Conditional on the structural factors in the model - including school absence - Brighton and Hove ranks 15th of 151 local authorities (top 10%), a positive random intercept equivalent to roughly +1.6 Attainment 8 points 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14:paraId="7EF8FF60" w14:textId="77777777" w:rsidR="000E107D" w:rsidRDefault="00000000">
      <w:pPr>
        <w:pStyle w:val="BodyText"/>
      </w:pPr>
      <w:r>
        <w:t xml:space="preserve">That conditional ranking, however, depends on a modelling choice that turns out to carry most of the result. Controlling for absence estimates the city’s performance </w:t>
      </w:r>
      <w:r>
        <w:rPr>
          <w:i/>
          <w:iCs/>
        </w:rPr>
        <w:t>given</w:t>
      </w:r>
      <w:r>
        <w:t xml:space="preserve"> the attendance its pupils actually record - and Brighton and Hove has among the worst attendance of any authority in England. </w:t>
      </w:r>
      <w:hyperlink w:anchor="tbl-la-absence">
        <w:r w:rsidR="000E107D">
          <w:rPr>
            <w:rStyle w:val="Hyperlink"/>
          </w:rPr>
          <w:t>Table 2</w:t>
        </w:r>
      </w:hyperlink>
      <w:r>
        <w:t xml:space="preserve"> 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p>
    <w:p w14:paraId="3169FB70" w14:textId="77777777" w:rsidR="000E107D" w:rsidRDefault="00000000">
      <w:pPr>
        <w:pStyle w:val="BodyText"/>
      </w:pPr>
      <w:r>
        <w:rPr>
          <w:i/>
          <w:iCs/>
        </w:rPr>
        <w:lastRenderedPageBreak/>
        <w:t>[Table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p>
    <w:p w14:paraId="49DFD160" w14:textId="77777777" w:rsidR="000E107D" w:rsidRDefault="00000000">
      <w:pPr>
        <w:pStyle w:val="BodyText"/>
      </w:pPr>
      <w:r>
        <w:t>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14:paraId="2A7039FA" w14:textId="77777777" w:rsidR="000E107D" w:rsidRDefault="00000000">
      <w:pPr>
        <w:pStyle w:val="BodyText"/>
      </w:pPr>
      <w:r>
        <w:t>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p>
    <w:p w14:paraId="2E6CE717" w14:textId="77777777" w:rsidR="000E107D" w:rsidRDefault="00000000">
      <w:pPr>
        <w:pStyle w:val="BodyText"/>
      </w:pPr>
      <w:r>
        <w:t xml:space="preserve">Two features of the city’s absence confirm that this is a local problem rather than an inevitability of its intake. First, Brighton and Hove’s disadvantage is unexceptional: its mean school-level </w:t>
      </w:r>
      <w:r>
        <w:lastRenderedPageBreak/>
        <w:t xml:space="preserve">free-school-meal rate (25.2%) is slightly </w:t>
      </w:r>
      <w:r>
        <w:rPr>
          <w:i/>
          <w:iCs/>
        </w:rPr>
        <w:t>below</w:t>
      </w:r>
      <w:r>
        <w:t xml:space="preserve"> 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p w14:paraId="22EA2AD5" w14:textId="77777777" w:rsidR="000E107D" w:rsidRDefault="00000000">
      <w:pPr>
        <w:pStyle w:val="Heading2"/>
      </w:pPr>
      <w:bookmarkStart w:id="15" w:name="X2c44da290b91186546cdc06847184f26ab3e331"/>
      <w:bookmarkEnd w:id="14"/>
      <w:r>
        <w:t>5.3 Comparing policy levers: absence versus disadvantage</w:t>
      </w:r>
    </w:p>
    <w:p w14:paraId="0C7A002E" w14:textId="77777777" w:rsidR="000E107D" w:rsidRDefault="00000000">
      <w:pPr>
        <w:pStyle w:val="FirstParagraph"/>
      </w:pPr>
      <w:r>
        <w:t xml:space="preserve">Because the model uses log-transformed variables, the same percentage-point change produces different effects depending on where a school starts - returns </w:t>
      </w:r>
      <w:r>
        <w:rPr>
          <w:i/>
          <w:iCs/>
        </w:rPr>
        <w:t>accelerate</w:t>
      </w:r>
      <w:r>
        <w:t xml:space="preserve"> as values improve. </w:t>
      </w:r>
      <w:hyperlink w:anchor="fig-accelerating-returns">
        <w:r w:rsidR="000E107D">
          <w:rPr>
            <w:rStyle w:val="Hyperlink"/>
          </w:rPr>
          <w:t>Figure 4</w:t>
        </w:r>
      </w:hyperlink>
      <w:r>
        <w:t xml:space="preserve"> places both the absence and FSM levers on a common y-axis.</w:t>
      </w:r>
    </w:p>
    <w:p w14:paraId="3F658D2C" w14:textId="77777777" w:rsidR="000E107D" w:rsidRDefault="00000000">
      <w:pPr>
        <w:pStyle w:val="BodyText"/>
      </w:pPr>
      <w:r>
        <w:rPr>
          <w:i/>
          <w:iCs/>
        </w:rPr>
        <w:t>[Figure 4: Accelerating returns: each percentage-point reduction buys a progressively larger ATT8 gain (reading right to left). Absence delivers substantially larger gains than FSM at every level. Brighton and Hove schools marked on each curve. — about here]</w:t>
      </w:r>
    </w:p>
    <w:p w14:paraId="35E5AE1F" w14:textId="77777777" w:rsidR="000E107D" w:rsidRDefault="00000000">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 </w:t>
      </w:r>
      <w:r>
        <w:rPr>
          <w:i/>
          <w:iCs/>
        </w:rPr>
        <w:t>widens</w:t>
      </w:r>
      <w:r>
        <w:t xml:space="preserve"> as values improve. Third, schools with the highest proportions of disadvantage and to a lesser extent, absence, will notice the least impact on attainment if those levels change. Fourth, Brighton and Hove schools cluster </w:t>
      </w:r>
      <w:r>
        <w:lastRenderedPageBreak/>
        <w:t>in the flatter right-hand portion for both variables, but for every school, changes in absence are likely to affect more noticable changes in attainment than changes in disadvantage.</w:t>
      </w:r>
    </w:p>
    <w:p w14:paraId="4755ACA2" w14:textId="77777777" w:rsidR="000E107D" w:rsidRDefault="00000000">
      <w:pPr>
        <w:pStyle w:val="BodyText"/>
      </w:pPr>
      <w:r>
        <w:t>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3.4 times as important as FSM for predicting attainment.</w:t>
      </w:r>
    </w:p>
    <w:p w14:paraId="3CCCA6BB" w14:textId="77777777" w:rsidR="000E107D" w:rsidRDefault="00000000">
      <w:pPr>
        <w:pStyle w:val="BodyText"/>
      </w:pPr>
      <w:r>
        <w:t>Bringing schools above the national average for absence down to it would produce predicted gains averaging +2.8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p w14:paraId="122532A5" w14:textId="77777777" w:rsidR="000E107D" w:rsidRDefault="00000000">
      <w:pPr>
        <w:pStyle w:val="Heading2"/>
      </w:pPr>
      <w:bookmarkStart w:id="16" w:name="contextualised-school-performance"/>
      <w:bookmarkEnd w:id="15"/>
      <w:r>
        <w:t>5.4 Contextualised school performance</w:t>
      </w:r>
    </w:p>
    <w:p w14:paraId="3814AE32" w14:textId="77777777" w:rsidR="000E107D" w:rsidRDefault="00000000">
      <w:pPr>
        <w:pStyle w:val="FirstParagraph"/>
      </w:pPr>
      <w:r>
        <w:rPr>
          <w:i/>
          <w:iCs/>
        </w:rPr>
        <w:t>[Figure 5: Observed versus predicted Attainment 8 for Brighton and Hove schools (highlighted) against all schools nationally, 2024–25. — about here]</w:t>
      </w:r>
    </w:p>
    <w:p w14:paraId="0C6B8E3B" w14:textId="77777777" w:rsidR="000E107D" w:rsidRDefault="000E107D">
      <w:pPr>
        <w:pStyle w:val="BodyText"/>
      </w:pPr>
      <w:hyperlink w:anchor="fig-obs-vs-pred">
        <w:r>
          <w:rPr>
            <w:rStyle w:val="Hyperlink"/>
          </w:rPr>
          <w:t>Figure 5</w:t>
        </w:r>
      </w:hyperlink>
      <w:r w:rsidR="00000000">
        <w:t xml:space="preserve"> shows observed versus predicted Attainment 8 for the latest year across all schools in England (grey) with Brighton and Hove schools highlighted (pink). The close clustering of the points around the diagonal line is a visual representation of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00000000">
        <w:t xml:space="preserve"> 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w:t>
      </w:r>
      <w:r w:rsidR="00000000">
        <w:lastRenderedPageBreak/>
        <w:t>might think of as contextualised ‘value-added’ measures - more nuanced than Progress 8 - as this model-based value added accounts for far more than just prior attainment in its representation.</w:t>
      </w:r>
    </w:p>
    <w:p w14:paraId="153C2DA6" w14:textId="77777777" w:rsidR="000E107D" w:rsidRDefault="00000000">
      <w:pPr>
        <w:pStyle w:val="Heading2"/>
      </w:pPr>
      <w:bookmarkStart w:id="17" w:name="X8ff19f05081feb947c9bfda17930b607e81aacb"/>
      <w:bookmarkEnd w:id="16"/>
      <w:r>
        <w:t>5.5 Decomposing absence: structural intake versus school management</w:t>
      </w:r>
    </w:p>
    <w:p w14:paraId="40B00655" w14:textId="77777777" w:rsidR="000E107D" w:rsidRDefault="00000000">
      <w:pPr>
        <w:pStyle w:val="FirstParagraph"/>
      </w:pPr>
      <w:r>
        <w:t xml:space="preserve">The contextualised value-added reading above hides a complication. Our headline model treats school-level absence as a single factor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 ‘value-added’ reflects what the school does </w:t>
      </w:r>
      <w:r>
        <w:rPr>
          <w:i/>
          <w:iCs/>
        </w:rPr>
        <w:t>given</w:t>
      </w:r>
      <w:r>
        <w:t xml:space="preserve"> its attendance, not what it does </w:t>
      </w:r>
      <w:r>
        <w:rPr>
          <w:i/>
          <w:iCs/>
        </w:rPr>
        <w:t>to</w:t>
      </w:r>
      <w:r>
        <w:t xml:space="preserve"> its attendance.</w:t>
      </w:r>
    </w:p>
    <w:p w14:paraId="3BEFBA3B" w14:textId="77777777" w:rsidR="000E107D" w:rsidRDefault="00000000">
      <w:pPr>
        <w:pStyle w:val="BodyText"/>
      </w:pPr>
      <w:r>
        <w:t>Two parallel models</w:t>
      </w:r>
      <w:r>
        <w:rPr>
          <w:rStyle w:val="FootnoteReference"/>
        </w:rPr>
        <w:footnoteReference w:id="15"/>
      </w:r>
      <w:r>
        <w:t xml:space="preserve"> separate these elements from each other and in doing so we adjust for what a school inherits, not for what it does. Firstly, we model school-level absence on the variables we treat as exogenous (FSM, EAL, mean KS2 prior attainment, segregation, plus place and year random effects), producing for every school-year an </w:t>
      </w:r>
      <w:r>
        <w:rPr>
          <w:i/>
          <w:iCs/>
        </w:rPr>
        <w:t>expected absence</w:t>
      </w:r>
      <w:r>
        <w:t xml:space="preserve"> (intake-predicted - around 55% of the variation) and a </w:t>
      </w:r>
      <w:r>
        <w:rPr>
          <w:i/>
          <w:iCs/>
        </w:rPr>
        <w:t>residual/excess absence</w:t>
      </w:r>
      <w:r>
        <w:t xml:space="preserve"> — the part beyond what its intake would predict, which is the school’s own contribution to its attendance (around 45% of the variation). Secondly, we fit the attainment model on the same intake variables but with </w:t>
      </w:r>
      <w:r>
        <w:rPr>
          <w:i/>
          <w:iCs/>
        </w:rPr>
        <w:t>no</w:t>
      </w:r>
      <w:r>
        <w:t xml:space="preserve"> absence control and no workforce predictors, since attendance management and workforce </w:t>
      </w:r>
      <w:r>
        <w:lastRenderedPageBreak/>
        <w:t>decisions are things a school does rather than things it receives. The school-level residual from this second model is a more honest value-added measure: it is the school’s total contribution to attainment, with attendance management counted inside that contribution rather than stripped away as a control.</w:t>
      </w:r>
    </w:p>
    <w:p w14:paraId="76C82A9E" w14:textId="77777777" w:rsidR="000E107D" w:rsidRDefault="00000000">
      <w:pPr>
        <w:pStyle w:val="BodyText"/>
      </w:pPr>
      <w:r>
        <w:t>There are two issues with this that we should make clear. The first is because neither sub-model controls for observed absence, any absence that is genuinely outside a school’s control, but not captured by intake or place (for example SEND related absence), will be charged to the school’s value added. The first-stage model explains 55% of absence variation, so what remains unexplained is quite large and thus could give a false impression of value added. The second issue relates to how we interpret the coefficients in this exercise - they can’t simply be interpreted as effects. We know how important absence is from our earlier models, so leaving it out doesn’t remove its influence, that influence is redistributed across the variables that remain. And because disadvantage is correlated with absence, that then absorbs most of the effect Therefore we only take the residuals from this model. Every disadvantage estimate reported elsewhere in this paper comes from the headline specification, which controls absence directly.</w:t>
      </w:r>
    </w:p>
    <w:p w14:paraId="7817F0A6" w14:textId="77777777" w:rsidR="000E107D" w:rsidRDefault="00000000">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 </w:t>
      </w:r>
      <w:r>
        <w:rPr>
          <w:i/>
          <w:iCs/>
        </w:rPr>
        <w:t>and</w:t>
      </w:r>
      <w:r>
        <w:t xml:space="preserve"> cross-departmental work - public health, children’s services, area-level deprivation policy - because much of what schools deal with on attendance is inherited rather than generated.</w:t>
      </w:r>
    </w:p>
    <w:p w14:paraId="4977F6E2" w14:textId="77777777" w:rsidR="000E107D" w:rsidRDefault="00000000">
      <w:pPr>
        <w:pStyle w:val="BodyText"/>
      </w:pPr>
      <w:r>
        <w:rPr>
          <w:i/>
          <w:iCs/>
        </w:rPr>
        <w:lastRenderedPageBreak/>
        <w:t>[Figure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14:paraId="1A470935" w14:textId="77777777" w:rsidR="000E107D" w:rsidRDefault="00000000">
      <w:pPr>
        <w:pStyle w:val="BodyText"/>
      </w:pPr>
      <w:r>
        <w:t>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sidR="000E107D">
          <w:rPr>
            <w:rStyle w:val="Hyperlink"/>
          </w:rPr>
          <w:t>Figure 6</w:t>
        </w:r>
      </w:hyperlink>
      <w:r>
        <w:t>),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14:paraId="3238E636" w14:textId="77777777" w:rsidR="000E107D" w:rsidRDefault="00000000">
      <w:pPr>
        <w:pStyle w:val="BodyText"/>
      </w:pPr>
      <w:r>
        <w:t>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 “fix attendance” improvement story is not available. Schools in Q3 are the most natural targets for council-led attendance interventions, and Q1 schools are where the city should look for practice worth sharing.</w:t>
      </w:r>
    </w:p>
    <w:p w14:paraId="4BE462AF" w14:textId="77777777" w:rsidR="000E107D" w:rsidRDefault="00000000">
      <w:pPr>
        <w:pStyle w:val="BodyText"/>
      </w:pPr>
      <w:r>
        <w:lastRenderedPageBreak/>
        <w:t>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p w14:paraId="13AAAED7" w14:textId="77777777" w:rsidR="000E107D" w:rsidRDefault="00000000">
      <w:pPr>
        <w:pStyle w:val="Heading1"/>
      </w:pPr>
      <w:bookmarkStart w:id="18" w:name="discussion"/>
      <w:bookmarkEnd w:id="12"/>
      <w:bookmarkEnd w:id="17"/>
      <w:r>
        <w:t>6. Discussion</w:t>
      </w:r>
    </w:p>
    <w:p w14:paraId="16022ABA" w14:textId="77777777" w:rsidR="000E107D" w:rsidRDefault="00000000">
      <w:pPr>
        <w:pStyle w:val="Heading2"/>
      </w:pPr>
      <w:bookmarkStart w:id="19" w:name="Xd3364b35d543c93770b334c5dc736f1edb746ee"/>
      <w:r>
        <w:t>6.1 The danger of single-lever policy thinking</w:t>
      </w:r>
    </w:p>
    <w:p w14:paraId="6C2DD305" w14:textId="77777777" w:rsidR="000E107D" w:rsidRDefault="00000000">
      <w:pPr>
        <w:pStyle w:val="FirstParagraph"/>
      </w:pPr>
      <w:r>
        <w:t>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16"/>
      </w:r>
      <w:r>
        <w:t>, it was stated:</w:t>
      </w:r>
    </w:p>
    <w:p w14:paraId="35056286" w14:textId="77777777" w:rsidR="000E107D" w:rsidRDefault="00000000">
      <w:pPr>
        <w:pStyle w:val="BlockText"/>
      </w:pPr>
      <w:r>
        <w:rPr>
          <w:i/>
          <w:iCs/>
        </w:rPr>
        <w:t>“We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14:paraId="2AA18453" w14:textId="77777777" w:rsidR="000E107D" w:rsidRDefault="00000000">
      <w:pPr>
        <w:pStyle w:val="FirstParagraph"/>
      </w:pPr>
      <w:r>
        <w:t xml:space="preserve">This premise sits awkwardly with the existing evidence base. Macleod et al. (2015)’s earlier analysis for the DfE found that, controlling for intake characteristics, schools with higher </w:t>
      </w:r>
      <w:r>
        <w:lastRenderedPageBreak/>
        <w:t xml:space="preserve">concentrations of disadvantage tend to do </w:t>
      </w:r>
      <w:r>
        <w:rPr>
          <w:i/>
          <w:iCs/>
        </w:rPr>
        <w:t>better</w:t>
      </w:r>
      <w:r>
        <w:t xml:space="preserve"> for their disadvantaged pupils, not worse. Our more up-to-date modelling on four years of national data reaches the same conclusion. When it comes to attainment,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unintended aversive outcomes.</w:t>
      </w:r>
    </w:p>
    <w:p w14:paraId="115E2F3C" w14:textId="77777777" w:rsidR="000E107D" w:rsidRDefault="00000000">
      <w:pPr>
        <w:pStyle w:val="BodyText"/>
      </w:pPr>
      <w:r>
        <w:t xml:space="preserve">It is worth setting this in the longer context of what school-effectiveness research has consistently found, because our result is not a novel or contrarian one. Ever since Coleman et al. (1966), the share of variation in pupil outcomes attributable to differences </w:t>
      </w:r>
      <w:r>
        <w:rPr>
          <w:i/>
          <w:iCs/>
        </w:rPr>
        <w:t>between</w:t>
      </w:r>
      <w:r>
        <w:t xml:space="preserve"> schools - as opposed to differences in the pupils they admit and the circumstances those pupils bring - has been estimated at something in the order of 8 to 15 per cent. The landmark English study by Smith and Tomlinson (1989) settled on around a tenth, and Teddlie and Reynolds (2000) confirm that broad range across countries and phases. Our own between-school decomposition using recent data in England, reported in the supplementary material, arrives at something similar. This matters for how much any redistribution policy based on school performance measures can be expected to achieve: if differences in pupil outcomes between schools are little to do with what those schools do but are instead driven by wider societal impacts on the students they are admitting, then a policy that redistributes pupils between schools operates on a comparatively small share of the variance in the first place - it is working on the smaller term while leaving the harder, larger problem untouched. It will be an ineffective plaster stuck on the wider problem of social inequalities.</w:t>
      </w:r>
    </w:p>
    <w:p w14:paraId="6546C46C" w14:textId="77777777" w:rsidR="000E107D" w:rsidRDefault="00000000">
      <w:pPr>
        <w:pStyle w:val="BodyText"/>
      </w:pPr>
      <w:r>
        <w:lastRenderedPageBreak/>
        <w:t>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 ‘almost no cost’ (Gorard and Siddiqui 2019) sits awkwardly with this second-order literature.</w:t>
      </w:r>
    </w:p>
    <w:p w14:paraId="66EA42D7" w14:textId="77777777" w:rsidR="000E107D" w:rsidRDefault="00000000">
      <w:pPr>
        <w:pStyle w:val="BodyText"/>
      </w:pPr>
      <w:r>
        <w:t xml:space="preserve">It is worth making the mechanism explicit, because it clarifies how an admissions reform actually reaches attainment. There are two pathways. The first is the intended one: changing where pupils go alters the </w:t>
      </w:r>
      <w:r>
        <w:rPr>
          <w:i/>
          <w:iCs/>
        </w:rPr>
        <w:t>FSM composition</w:t>
      </w:r>
      <w:r>
        <w:t xml:space="preserve"> of individual schools, which our modelling shows </w:t>
      </w:r>
      <w:r>
        <w:lastRenderedPageBreak/>
        <w:t xml:space="preserve">has, at most, a small effect on attainment - and for disadvantaged pupils, an effect that if anything runs the wrong way. The second is unintended: moving pupils further from home increases </w:t>
      </w:r>
      <w:r>
        <w:rPr>
          <w:i/>
          <w:iCs/>
        </w:rPr>
        <w:t>travel</w:t>
      </w:r>
      <w:r>
        <w:t xml:space="preserve">, which the evidence above links to </w:t>
      </w:r>
      <w:r>
        <w:rPr>
          <w:i/>
          <w:iCs/>
        </w:rPr>
        <w:t>higher absence.</w:t>
      </w:r>
      <w:r>
        <w:t xml:space="preserve"> Recent research also clearly 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 </w:t>
      </w:r>
      <w:r>
        <w:rPr>
          <w:i/>
          <w:iCs/>
        </w:rPr>
        <w:t>expected</w:t>
      </w:r>
      <w:r>
        <w:t xml:space="preserve"> effects derived from national associations, not an evaluation of the 2023 free-school-meal-priority policy or the 2026 arrangements, which post-date our outcome data and whose effects the council’s own commissioned follow-up work has yet to report.</w:t>
      </w:r>
    </w:p>
    <w:p w14:paraId="4413299E" w14:textId="77777777" w:rsidR="000E107D" w:rsidRDefault="00000000">
      <w:pPr>
        <w:pStyle w:val="Heading2"/>
      </w:pPr>
      <w:bookmarkStart w:id="20" w:name="X721a00ff84e807512ec4207f4efbd7031d30b61"/>
      <w:bookmarkEnd w:id="19"/>
      <w:r>
        <w:t>6.2 Attendance as the most impactful single lever</w:t>
      </w:r>
    </w:p>
    <w:p w14:paraId="2E306160" w14:textId="77777777" w:rsidR="000E107D" w:rsidRDefault="00000000">
      <w:pPr>
        <w:pStyle w:val="FirstParagraph"/>
      </w:pPr>
      <w:r>
        <w:t xml:space="preserve">A policy conversation about Brighton and Hove’s disadvantage attainment gap that wants to make the largest predictable difference should put attendance at its centre. This sits squarely within the council’s own framing: the December 2024 cabinet report named </w:t>
      </w:r>
      <w:r>
        <w:rPr>
          <w:i/>
          <w:iCs/>
        </w:rPr>
        <w:t>‘reducing some schools’ barriers to success’</w:t>
      </w:r>
      <w:r>
        <w:t xml:space="preserve"> for disadvantaged pupils as one of its three core objectives for the </w:t>
      </w:r>
      <w:r>
        <w:lastRenderedPageBreak/>
        <w:t xml:space="preserve">2026/27 admissions changes </w:t>
      </w:r>
      <w:r>
        <w:rPr>
          <w:rStyle w:val="FootnoteReference"/>
        </w:rPr>
        <w:footnoteReference w:id="17"/>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 </w:t>
      </w:r>
      <w:r>
        <w:rPr>
          <w:i/>
          <w:iCs/>
        </w:rPr>
        <w:t>‘reducing barriers to success’</w:t>
      </w:r>
      <w:r>
        <w:t xml:space="preserve"> 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 </w:t>
      </w:r>
      <w:r>
        <w:rPr>
          <w:i/>
          <w:iCs/>
        </w:rPr>
        <w:t>without</w:t>
      </w:r>
      <w:r>
        <w:t xml:space="preserve"> the social, health and travel costs that a redistribution-led approach might produce.</w:t>
      </w:r>
    </w:p>
    <w:p w14:paraId="11146496" w14:textId="77777777" w:rsidR="000E107D" w:rsidRDefault="00000000">
      <w:pPr>
        <w:pStyle w:val="BodyText"/>
      </w:pPr>
      <w:r>
        <w:t>We should reiterate that Brighton and Hove’s absence rates are not a necessary consequence of its intake. One response to an earlier presentation of this argument, advanced locally by the campaign group Class Divide</w:t>
      </w:r>
      <w:r>
        <w:rPr>
          <w:rStyle w:val="FootnoteReference"/>
        </w:rPr>
        <w:footnoteReference w:id="18"/>
      </w:r>
      <w:r>
        <w:t xml:space="preserve">, offered a memorable analogy: absence is the mould, poverty is the damp. On this view, treating absence directly is futile, because the underlying poverty will simply keep bringing it back. The analogy captures something real. At pupil level the association </w:t>
      </w:r>
      <w:r>
        <w:lastRenderedPageBreak/>
        <w:t>between disadvantage and absence is strong and well evidenced (DfE 2025b), and our own decomposition (section 5.5) finds that a substantial part of school-level absence is inherited from intake rather than generated by the school. Any serious attendance strategy must therefore engage with the material circumstances of families, not merely with attendance procedures.</w:t>
      </w:r>
    </w:p>
    <w:p w14:paraId="5663979F" w14:textId="77777777" w:rsidR="000E107D" w:rsidRDefault="00000000">
      <w:pPr>
        <w:pStyle w:val="BodyText"/>
      </w:pPr>
      <w:r>
        <w:t>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p>
    <w:p w14:paraId="45BC9364" w14:textId="77777777" w:rsidR="000E107D" w:rsidRDefault="00000000">
      <w:pPr>
        <w:pStyle w:val="BodyText"/>
      </w:pPr>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of just 0.05. Brighton and Hove’s own position makes the point clearly. Its FSM rate (28.8%) is slightly </w:t>
      </w:r>
      <w:r>
        <w:rPr>
          <w:i/>
          <w:iCs/>
        </w:rPr>
        <w:t>below</w:t>
      </w:r>
      <w:r>
        <w:t xml:space="preserve"> 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 </w:t>
      </w:r>
      <w:r>
        <w:rPr>
          <w:i/>
          <w:iCs/>
        </w:rPr>
        <w:t>highest</w:t>
      </w:r>
      <w:r>
        <w:t xml:space="preserve"> absence of all, some 2.3 percentage points above their average. And where </w:t>
      </w:r>
      <w:r>
        <w:lastRenderedPageBreak/>
        <w:t>absence fell in 94% of local authorities between 2021–22 and 2024–25, the city’s did not move. At the risk of stretching the metaphor too far, there is damp in many places but the mould is markedly worse here, and it is not getting better as it is elsewhere.</w:t>
      </w:r>
    </w:p>
    <w:p w14:paraId="6E6F3AFE" w14:textId="77777777" w:rsidR="000E107D" w:rsidRDefault="00000000">
      <w:pPr>
        <w:pStyle w:val="BodyText"/>
      </w:pPr>
      <w:r>
        <w:t>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19"/>
      </w:r>
      <w:r>
        <w:t>,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p w14:paraId="3C37100B" w14:textId="77777777" w:rsidR="000E107D" w:rsidRDefault="00000000">
      <w:pPr>
        <w:pStyle w:val="Heading2"/>
      </w:pPr>
      <w:bookmarkStart w:id="21" w:name="Xe20933ab3677df6d1953e5d7ada5fd38009a941"/>
      <w:bookmarkEnd w:id="20"/>
      <w:r>
        <w:lastRenderedPageBreak/>
        <w:t>6.3 A new value-added view to support better local decisions</w:t>
      </w:r>
    </w:p>
    <w:p w14:paraId="276F53E2" w14:textId="77777777" w:rsidR="000E107D" w:rsidRDefault="00000000">
      <w:pPr>
        <w:pStyle w:val="FirstParagraph"/>
      </w:pPr>
      <w:r>
        <w:t xml:space="preserve">Another contribution of this work is methodological. The multilevel model lets us look beyond a school’s raw attainment outcomes and ask how much it is adding </w:t>
      </w:r>
      <w:r>
        <w:rPr>
          <w:i/>
          <w:iCs/>
        </w:rPr>
        <w:t>over and above</w:t>
      </w:r>
      <w:r>
        <w:t xml:space="preserve"> 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14:paraId="74F1CF6D" w14:textId="77777777" w:rsidR="000E107D" w:rsidRDefault="00000000">
      <w:pPr>
        <w:pStyle w:val="BodyText"/>
      </w:pPr>
      <w:r>
        <w:rPr>
          <w:i/>
          <w:iCs/>
        </w:rPr>
        <w:t>[Table 3: Value-added rankings for Brighton and Hove schools (panel model residuals by year, in Attainment 8 points). — about here]</w:t>
      </w:r>
    </w:p>
    <w:p w14:paraId="7BAF8FFD" w14:textId="77777777" w:rsidR="000E107D" w:rsidRDefault="00000000">
      <w:pPr>
        <w:pStyle w:val="BodyText"/>
      </w:pPr>
      <w:r>
        <w:t>During the 2024 consultation, the public debate shifted from how the council’s proposals would improve disadvantaged attainment to how they would facilitate parental choice. An activist group (Equity in Education</w:t>
      </w:r>
      <w:r>
        <w:rPr>
          <w:rStyle w:val="FootnoteReference"/>
        </w:rPr>
        <w:footnoteReference w:id="20"/>
      </w:r>
      <w:r>
        <w:t xml:space="preserve"> - supported by Class Divide) emerged from within the BACA catchment advocating for alternatives to that school. While each parent has their reasons for wanting a different choice, at the time, BACA had a ‘requires improvement’ Ofsted rating and some of the city’s lowest raw attainment scores. A considerable number of BACA-catchment parents subsequently opted for Patcham School - ‘Good’ rated, mid-table on raw attainment, in a more prosperous neighbouring catchment.</w:t>
      </w:r>
    </w:p>
    <w:p w14:paraId="1933E5CF" w14:textId="77777777" w:rsidR="000E107D" w:rsidRDefault="00000000">
      <w:pPr>
        <w:pStyle w:val="BodyText"/>
      </w:pPr>
      <w:r>
        <w:lastRenderedPageBreak/>
        <w:t xml:space="preserve">However, the contextualised picture differs sharply. BACA sits in one of the most deprived parts of the city, experiences absence well above the high city average, has around 50% FSM and 30% low prior attainment; Yet, BACA out-performs every other school in the city for disadvantaged pupils, including those popularly viewed as the ‘best’. Once these cohort differences are accounted for, the league tables in </w:t>
      </w:r>
      <w:hyperlink w:anchor="tbl-league">
        <w:r w:rsidR="000E107D">
          <w:rPr>
            <w:rStyle w:val="Hyperlink"/>
          </w:rPr>
          <w:t>Table 3</w:t>
        </w:r>
      </w:hyperlink>
      <w:r>
        <w:t xml:space="preserve"> (derived from </w:t>
      </w:r>
      <w:hyperlink w:anchor="fig-obs-vs-pred">
        <w:r w:rsidR="000E107D">
          <w:rPr>
            <w:rStyle w:val="Hyperlink"/>
          </w:rPr>
          <w:t>Figure 5</w:t>
        </w:r>
      </w:hyperlink>
      <w:r>
        <w:t>) show that in 2024-25 a disadvantaged pupil at BACA left, on average, with GCSE results around 5.7 points higher than a comparable pupil at a similar school elsewhere in England, with a four-year average around 3.1 points higher - substantially above the fraction of a point that might be expected from altering schools’ disadvantage mix. Its April 2025 Ofsted upgrade to ‘Good’ in all five areas</w:t>
      </w:r>
      <w:r>
        <w:rPr>
          <w:rStyle w:val="FootnoteReference"/>
        </w:rPr>
        <w:footnoteReference w:id="21"/>
      </w:r>
      <w:r>
        <w:t xml:space="preserve"> is unsurprising in the context of this analysis, but would have been surprising to anyone looking only at prior raw attainment and Ofsted ratings.</w:t>
      </w:r>
    </w:p>
    <w:p w14:paraId="7703E447" w14:textId="77777777" w:rsidR="000E107D" w:rsidRDefault="00000000">
      <w:pPr>
        <w:pStyle w:val="Heading2"/>
      </w:pPr>
      <w:bookmarkStart w:id="22" w:name="viability-versus-attainment"/>
      <w:bookmarkEnd w:id="21"/>
      <w:r>
        <w:t>6.4 Viability versus attainment</w:t>
      </w:r>
    </w:p>
    <w:p w14:paraId="6B596CD4" w14:textId="77777777" w:rsidR="000E107D" w:rsidRDefault="00000000">
      <w:pPr>
        <w:pStyle w:val="FirstParagraph"/>
      </w:pPr>
      <w:r>
        <w:t>The Brighton and Hove City Council cabinet papers of 5th December 2024</w:t>
      </w:r>
      <w:r>
        <w:rPr>
          <w:rStyle w:val="FootnoteReference"/>
        </w:rPr>
        <w:footnoteReference w:id="22"/>
      </w:r>
      <w:r>
        <w:t xml:space="preserve"> set out the financial-sustainability rationale plainly. Schools in England are funded almost entirely on a per-pupil basis, so falling pupil numbers across the city would, in time, leave some schools struggling to operate efficiently or </w:t>
      </w:r>
      <w:r>
        <w:rPr>
          <w:i/>
          <w:iCs/>
        </w:rPr>
        <w:t>‘offer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 </w:t>
      </w:r>
      <w:r>
        <w:rPr>
          <w:i/>
          <w:iCs/>
        </w:rPr>
        <w:t xml:space="preserve">‘the </w:t>
      </w:r>
      <w:r>
        <w:rPr>
          <w:i/>
          <w:iCs/>
        </w:rPr>
        <w:lastRenderedPageBreak/>
        <w:t>largest percentage of [disadvantaged] pupils attend the schools with the lowest pupil numbers’</w:t>
      </w:r>
      <w:r>
        <w:t xml:space="preserve"> —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14:paraId="60B0F6BA" w14:textId="77777777" w:rsidR="000E107D" w:rsidRDefault="00000000">
      <w:pPr>
        <w:pStyle w:val="BodyText"/>
      </w:pPr>
      <w:r>
        <w:t>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p w14:paraId="7FF62531" w14:textId="77777777" w:rsidR="000E107D" w:rsidRDefault="00000000">
      <w:pPr>
        <w:pStyle w:val="Heading2"/>
      </w:pPr>
      <w:bookmarkStart w:id="23" w:name="X66de271a6aca02794f420f50f4d8a324e8e27cc"/>
      <w:bookmarkEnd w:id="22"/>
      <w:r>
        <w:t>6.5 Conditional performance and the cost of absence</w:t>
      </w:r>
    </w:p>
    <w:p w14:paraId="20FDD106" w14:textId="77777777" w:rsidR="000E107D" w:rsidRDefault="00000000">
      <w:pPr>
        <w:pStyle w:val="FirstParagraph"/>
      </w:pPr>
      <w:r>
        <w:t xml:space="preserve">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15th of 151 for how far disadvantaged attainment exceeds what intake predicts; without that control they rank 69th and are statistically ordinary. We take neither number as the whole truth. Together </w:t>
      </w:r>
      <w:r>
        <w:lastRenderedPageBreak/>
        <w:t>they say something more useful than either alone: Brighton and Hove’s schools appear to be genuinely effective for the pupils who attend them, and the city’s attendance problem is large enough to erase that advantage in the aggregate.</w:t>
      </w:r>
    </w:p>
    <w:p w14:paraId="44488F59" w14:textId="77777777" w:rsidR="000E107D" w:rsidRDefault="00000000">
      <w:pPr>
        <w:pStyle w:val="BodyText"/>
      </w:pPr>
      <w:r>
        <w:t>The distance between the two rankings has a concrete interpretation. It is roughly 1.4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14:paraId="2EB01DB4" w14:textId="77777777" w:rsidR="000E107D" w:rsidRDefault="00000000">
      <w:pPr>
        <w:pStyle w:val="BodyText"/>
      </w:pPr>
      <w:r>
        <w:t>This reframes what the 2024 consultation got right and what it got wrong. The council was not wrong that Brighton and Hove has a problem: unconditionally (without absence in particular), its disadvantaged pupils do no better than the national average, and the raw attainment gap that motivated the consultation is real. What the consultation got wrong was the diagnosis. Presented with an attainment gap, it reached for the social composition of schools at considerable cost - one of the weakest levers our modelling identifies, and for disadvantaged pupils a lever that may point the wrong way (section 4.3, section 5.3). Meanwhile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14:paraId="35704A19" w14:textId="77777777" w:rsidR="000E107D" w:rsidRDefault="00000000">
      <w:pPr>
        <w:pStyle w:val="BodyText"/>
      </w:pPr>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w:t>
      </w:r>
      <w:r>
        <w:lastRenderedPageBreak/>
        <w:t>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p>
    <w:p w14:paraId="2FD77467" w14:textId="77777777" w:rsidR="000E107D" w:rsidRDefault="00000000">
      <w:pPr>
        <w:pStyle w:val="Heading2"/>
      </w:pPr>
      <w:bookmarkStart w:id="24" w:name="implications-for-national-policy"/>
      <w:bookmarkEnd w:id="23"/>
      <w:r>
        <w:t>6.6 Implications for national policy</w:t>
      </w:r>
    </w:p>
    <w:p w14:paraId="77996CA8" w14:textId="77777777" w:rsidR="000E107D" w:rsidRDefault="00000000">
      <w:pPr>
        <w:pStyle w:val="FirstParagraph"/>
      </w:pPr>
      <w:r>
        <w:t>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14:paraId="53EA4FAF" w14:textId="77777777" w:rsidR="000E107D" w:rsidRDefault="00000000">
      <w:pPr>
        <w:pStyle w:val="BodyText"/>
      </w:pPr>
      <w:r>
        <w:t xml:space="preserve">Academisation and sustained real-terms reductions in local authority central-services funding is in part responsible for this gap, having substantially eroded the analytical capacity that once sat within LEAs. Council’s frequently remain the admissions authority for systems that funding cuts and academisation mean they have limited capacity to analyse as a whole. As such a </w:t>
      </w:r>
      <w:r>
        <w:lastRenderedPageBreak/>
        <w:t xml:space="preserve">recommendation simply to ‘invest locally’ sits uneasily with the fiscal reality most authorities face. Multi-academy trusts have absorbed some of this function, but only for their own constituent schools; no actor now has both the remit and the capacity for the </w:t>
      </w:r>
      <w:r>
        <w:rPr>
          <w:i/>
          <w:iCs/>
        </w:rPr>
        <w:t>locality-wide</w:t>
      </w:r>
      <w:r>
        <w:t xml:space="preserve"> analysis that spans maintained schools, academies across different trusts, and church schools within a single place. Brighton and Hove illustrates the gap to some extent – although where it still has direct control of 6 out of 10 community secondary schools and academisation has not (yet) had the same impact as it has elsewhere, to a lesser degree than many.</w:t>
      </w:r>
    </w:p>
    <w:p w14:paraId="5EFFC0B8" w14:textId="77777777" w:rsidR="000E107D" w:rsidRDefault="00000000">
      <w:pPr>
        <w:pStyle w:val="BodyText"/>
      </w:pPr>
      <w:r>
        <w:t>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23"/>
      </w:r>
      <w:r>
        <w:t xml:space="preserve"> underpinned by the data and models in this paper. The tool </w:t>
      </w:r>
      <w:r>
        <w:lastRenderedPageBreak/>
        <w:t>allows users to explore any school in England, compare against contextual expectations, and model the indicative impact of changes to key variables. This is only a starting point and more bespoke intelligence systems could be built for local situations.</w:t>
      </w:r>
    </w:p>
    <w:p w14:paraId="14912C03" w14:textId="77777777" w:rsidR="000E107D" w:rsidRDefault="00000000">
      <w:pPr>
        <w:pStyle w:val="Heading2"/>
      </w:pPr>
      <w:bookmarkStart w:id="25" w:name="limitations"/>
      <w:bookmarkEnd w:id="24"/>
      <w:r>
        <w:t>6.7 Limitations</w:t>
      </w:r>
    </w:p>
    <w:p w14:paraId="2052286A" w14:textId="77777777" w:rsidR="000E107D" w:rsidRDefault="00000000">
      <w:pPr>
        <w:pStyle w:val="FirstParagraph"/>
      </w:pPr>
      <w:r>
        <w:t>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14:paraId="0AE51C44" w14:textId="77777777" w:rsidR="000E107D" w:rsidRDefault="00000000">
      <w:pPr>
        <w:pStyle w:val="BodyText"/>
      </w:pPr>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 </w:t>
      </w:r>
      <w:hyperlink w:anchor="tbl-league">
        <w:r w:rsidR="000E107D">
          <w:rPr>
            <w:rStyle w:val="Hyperlink"/>
          </w:rPr>
          <w:t>Table 3</w:t>
        </w:r>
      </w:hyperlink>
      <w:r>
        <w:t xml:space="preserve">. The multilevel structure of our model is an additional </w:t>
      </w:r>
      <w:r>
        <w:lastRenderedPageBreak/>
        <w:t>insurance, since the partial pooling inherent in these models shrinks the noisiest, most variable year-on-year estimates - typically those from the smallest schools - toward the relevant group mean. Conscious of long-standing cautions about the over-interpretation of p-values (Wasserstein and Lazar 2016),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p>
    <w:p w14:paraId="127A0132" w14:textId="77777777" w:rsidR="000E107D" w:rsidRDefault="00000000">
      <w:pPr>
        <w:pStyle w:val="Heading1"/>
      </w:pPr>
      <w:bookmarkStart w:id="26" w:name="conclusion"/>
      <w:bookmarkEnd w:id="18"/>
      <w:bookmarkEnd w:id="25"/>
      <w:r>
        <w:t>7. Conclusion</w:t>
      </w:r>
    </w:p>
    <w:p w14:paraId="6D8CA03F" w14:textId="77777777" w:rsidR="000E107D" w:rsidRDefault="00000000">
      <w:pPr>
        <w:pStyle w:val="FirstParagraph"/>
      </w:pPr>
      <w:r>
        <w:t>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surfaces three observations we feel are well-supported by the evidence presented here.</w:t>
      </w:r>
    </w:p>
    <w:p w14:paraId="46EC7CDC" w14:textId="77777777" w:rsidR="000E107D" w:rsidRDefault="00000000">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w:t>
      </w:r>
      <w:r>
        <w:lastRenderedPageBreak/>
        <w:t>disadvantaged attainment and carry a set of social and educational costs that the consultation did not engage with.</w:t>
      </w:r>
    </w:p>
    <w:p w14:paraId="797ED404" w14:textId="77777777" w:rsidR="000E107D" w:rsidRDefault="00000000">
      <w:pPr>
        <w:pStyle w:val="BodyText"/>
      </w:pPr>
      <w:r>
        <w:t xml:space="preserve">Second, the single most consequential lever available to Brighton and Hove for raising disadvantaged attainment is attendance. The city had the second-worst absence rate in England in 2024-25 - and its absence has failed to fall while it fell almost everywhere else in England - and the modelling suggests that moving the city’s worst-affected schools toward the national absence average would yield gains for disadvantaged pupils that comfortably exceed anything achievable through admissions reform. The absence decomposition we develop here also shows that this lever has two parts to it: a </w:t>
      </w:r>
      <w:r>
        <w:rPr>
          <w:i/>
          <w:iCs/>
        </w:rPr>
        <w:t>structural</w:t>
      </w:r>
      <w:r>
        <w:t xml:space="preserve"> component of school-level absence inherited from intake, area health, deprivation and family circumstances - which schools cannot themselves change - and a smaller </w:t>
      </w:r>
      <w:r>
        <w:rPr>
          <w:i/>
          <w:iCs/>
        </w:rPr>
        <w:t>school-controllable</w:t>
      </w:r>
      <w:r>
        <w:t xml:space="preserve"> residual that pastoral systems, attendance officers, family liaison and persistent-absentee follow-up can act on directly. Addressing the city’s absence problem therefore needs both school-level effort and cross-council-department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14:paraId="1198A454" w14:textId="77777777" w:rsidR="000E107D" w:rsidRDefault="00000000">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w:t>
      </w:r>
      <w:r>
        <w:lastRenderedPageBreak/>
        <w:t xml:space="preserve">view would help families make decisions that work for their children </w:t>
      </w:r>
      <w:r>
        <w:rPr>
          <w:i/>
          <w:iCs/>
        </w:rPr>
        <w:t>and</w:t>
      </w:r>
      <w:r>
        <w:t xml:space="preserve"> preserve the benefits of local schooling.</w:t>
      </w:r>
    </w:p>
    <w:p w14:paraId="27E4DC32" w14:textId="77777777" w:rsidR="000E107D" w:rsidRDefault="00000000">
      <w:pPr>
        <w:pStyle w:val="BodyText"/>
      </w:pPr>
      <w:r>
        <w:t>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p w14:paraId="11E02E0D" w14:textId="77777777" w:rsidR="000E107D" w:rsidRDefault="00000000">
      <w:pPr>
        <w:pStyle w:val="Heading1"/>
      </w:pPr>
      <w:bookmarkStart w:id="27" w:name="declaration-of-generative-ai-use"/>
      <w:bookmarkEnd w:id="26"/>
      <w:r>
        <w:t>Declaration of generative AI use</w:t>
      </w:r>
    </w:p>
    <w:p w14:paraId="605371ED" w14:textId="77777777" w:rsidR="000E107D" w:rsidRDefault="00000000">
      <w:pPr>
        <w:pStyle w:val="FirstParagraph"/>
      </w:pPr>
      <w:r>
        <w:t>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p w14:paraId="7C467CB1" w14:textId="77777777" w:rsidR="000E107D" w:rsidRDefault="00000000">
      <w:pPr>
        <w:pStyle w:val="Heading1"/>
      </w:pPr>
      <w:bookmarkStart w:id="28" w:name="disclosure-statement"/>
      <w:bookmarkEnd w:id="27"/>
      <w:r>
        <w:t>Disclosure Statement</w:t>
      </w:r>
    </w:p>
    <w:p w14:paraId="372A8C36" w14:textId="77777777" w:rsidR="000E107D" w:rsidRDefault="00000000">
      <w:pPr>
        <w:pStyle w:val="FirstParagraph"/>
      </w:pPr>
      <w:r>
        <w:t>Some of the authors are residents of Brighton and Hove with school aged children and lived experience of the effects of the admissions policy process described. No financial conflicts of interest exist.</w:t>
      </w:r>
    </w:p>
    <w:p w14:paraId="7651BB78" w14:textId="77777777" w:rsidR="000E107D" w:rsidRDefault="00000000">
      <w:pPr>
        <w:pStyle w:val="Heading1"/>
      </w:pPr>
      <w:bookmarkStart w:id="29" w:name="references"/>
      <w:bookmarkEnd w:id="28"/>
      <w:r>
        <w:lastRenderedPageBreak/>
        <w:t>References</w:t>
      </w:r>
    </w:p>
    <w:p w14:paraId="3891F237" w14:textId="77777777" w:rsidR="000E107D" w:rsidRDefault="00000000">
      <w:pPr>
        <w:pStyle w:val="Bibliography"/>
      </w:pPr>
      <w:bookmarkStart w:id="30" w:name="ref-Allen2018"/>
      <w:bookmarkStart w:id="31" w:name="refs"/>
      <w:r>
        <w:t xml:space="preserve">Allen, Rebecca, Simon Burgess, and Jennifer Mayo. 2018. “The Teacher Labour Market, Teacher Turnover and Disadvantaged Schools: New Evidence for England.” </w:t>
      </w:r>
      <w:r>
        <w:rPr>
          <w:i/>
          <w:iCs/>
        </w:rPr>
        <w:t>Education Economics</w:t>
      </w:r>
      <w:r>
        <w:t xml:space="preserve"> 26 (1): 4–23. </w:t>
      </w:r>
      <w:hyperlink r:id="rId7">
        <w:r w:rsidR="000E107D">
          <w:rPr>
            <w:rStyle w:val="Hyperlink"/>
          </w:rPr>
          <w:t>https://doi.org/10.1080/09645292.2017.1366425</w:t>
        </w:r>
      </w:hyperlink>
      <w:r>
        <w:t>.</w:t>
      </w:r>
    </w:p>
    <w:p w14:paraId="5205F921" w14:textId="77777777" w:rsidR="000E107D" w:rsidRDefault="00000000">
      <w:pPr>
        <w:pStyle w:val="Bibliography"/>
      </w:pPr>
      <w:bookmarkStart w:id="32" w:name="ref-Allen2013"/>
      <w:bookmarkEnd w:id="30"/>
      <w:r>
        <w:t xml:space="preserve">Allen, Rebecca, Simon Burgess, and Leigh McKenna. 2013. “The Short-Run Impact of Using Lotteries for School Admissions: Early Results from Brighton and Hove’s Reforms.” </w:t>
      </w:r>
      <w:r>
        <w:rPr>
          <w:i/>
          <w:iCs/>
        </w:rPr>
        <w:t>Transactions of the Institute of British Geographers</w:t>
      </w:r>
      <w:r>
        <w:t xml:space="preserve"> 38 (1): 149–66. </w:t>
      </w:r>
      <w:hyperlink r:id="rId8">
        <w:r w:rsidR="000E107D">
          <w:rPr>
            <w:rStyle w:val="Hyperlink"/>
          </w:rPr>
          <w:t>https://doi.org/10.1111/j.1475-5661.2012.00511.x</w:t>
        </w:r>
      </w:hyperlink>
      <w:r>
        <w:t>.</w:t>
      </w:r>
    </w:p>
    <w:p w14:paraId="4A3335F6" w14:textId="77777777" w:rsidR="000E107D" w:rsidRDefault="00000000">
      <w:pPr>
        <w:pStyle w:val="Bibliography"/>
      </w:pPr>
      <w:bookmarkStart w:id="33" w:name="ref-Anders2024"/>
      <w:bookmarkEnd w:id="32"/>
      <w:r>
        <w:t xml:space="preserve">Anders, Jake, Francis Green, Morag Henderson, and Golo Henseke. 2024. “Private School Pupils’ Performance in GCSEs (and IGCSEs).” </w:t>
      </w:r>
      <w:r>
        <w:rPr>
          <w:i/>
          <w:iCs/>
        </w:rPr>
        <w:t>Cambridge Journal of Education</w:t>
      </w:r>
      <w:r>
        <w:t xml:space="preserve"> 54 (6): 795–813. </w:t>
      </w:r>
      <w:hyperlink r:id="rId9">
        <w:r w:rsidR="000E107D">
          <w:rPr>
            <w:rStyle w:val="Hyperlink"/>
          </w:rPr>
          <w:t>https://doi.org/10.1080/0305764X.2024.2420611</w:t>
        </w:r>
      </w:hyperlink>
      <w:r>
        <w:t>.</w:t>
      </w:r>
    </w:p>
    <w:p w14:paraId="29AA0971" w14:textId="77777777" w:rsidR="000E107D" w:rsidRDefault="00000000">
      <w:pPr>
        <w:pStyle w:val="Bibliography"/>
      </w:pPr>
      <w:bookmarkStart w:id="34" w:name="ref-Blagg2018"/>
      <w:bookmarkEnd w:id="33"/>
      <w:r>
        <w:t xml:space="preserve">Blagg, Kristin, Victoria Rosenboom, and Matthew M. Chingos. 2018. </w:t>
      </w:r>
      <w:r>
        <w:rPr>
          <w:i/>
          <w:iCs/>
        </w:rPr>
        <w:t>The Extra Mile: Time to School and Student Outcomes in Washington, DC</w:t>
      </w:r>
      <w:r>
        <w:t xml:space="preserve">. Urban Institute. </w:t>
      </w:r>
      <w:hyperlink r:id="rId10">
        <w:r w:rsidR="000E107D">
          <w:rPr>
            <w:rStyle w:val="Hyperlink"/>
          </w:rPr>
          <w:t>https://www.urban.org/sites/default/files/publication/99027/time_to_school_and_student_outcomes_in_dc_1.pdf</w:t>
        </w:r>
      </w:hyperlink>
      <w:r>
        <w:t>.</w:t>
      </w:r>
    </w:p>
    <w:p w14:paraId="7B38FD2D" w14:textId="77777777" w:rsidR="000E107D" w:rsidRDefault="00000000">
      <w:pPr>
        <w:pStyle w:val="Bibliography"/>
      </w:pPr>
      <w:bookmarkStart w:id="35" w:name="ref-Burgess2018"/>
      <w:bookmarkEnd w:id="34"/>
      <w:r>
        <w:t xml:space="preserve">Burgess, Simon, Claire Crawford, and Lindsey Macmillan. 2018. “Access to Grammar Schools by Socio-Economic Status.” </w:t>
      </w:r>
      <w:r>
        <w:rPr>
          <w:i/>
          <w:iCs/>
        </w:rPr>
        <w:t>Environment and Planning A: Economy and Space</w:t>
      </w:r>
      <w:r>
        <w:t xml:space="preserve"> 50 (7): 1381–85. </w:t>
      </w:r>
      <w:hyperlink r:id="rId11">
        <w:r w:rsidR="000E107D">
          <w:rPr>
            <w:rStyle w:val="Hyperlink"/>
          </w:rPr>
          <w:t>https://doi.org/10.1177/0308518X18787820</w:t>
        </w:r>
      </w:hyperlink>
      <w:r>
        <w:t>.</w:t>
      </w:r>
    </w:p>
    <w:p w14:paraId="5455B257" w14:textId="77777777" w:rsidR="000E107D" w:rsidRDefault="00000000">
      <w:pPr>
        <w:pStyle w:val="Bibliography"/>
      </w:pPr>
      <w:bookmarkStart w:id="36" w:name="ref-Burgess2023"/>
      <w:bookmarkEnd w:id="35"/>
      <w:r>
        <w:t xml:space="preserve">Burgess, Simon, Shenila Rawal, and Eric S. Taylor. 2023. “Teachers’ Use of Class Time and Student Achievement.” </w:t>
      </w:r>
      <w:r>
        <w:rPr>
          <w:i/>
          <w:iCs/>
        </w:rPr>
        <w:t>Economics of Education Review</w:t>
      </w:r>
      <w:r>
        <w:t xml:space="preserve"> 94 (June): 102405. </w:t>
      </w:r>
      <w:hyperlink r:id="rId12">
        <w:r w:rsidR="000E107D">
          <w:rPr>
            <w:rStyle w:val="Hyperlink"/>
          </w:rPr>
          <w:t>https://doi.org/10.1016/j.econedurev.2023.102405</w:t>
        </w:r>
      </w:hyperlink>
      <w:r>
        <w:t>.</w:t>
      </w:r>
    </w:p>
    <w:p w14:paraId="76A78B58" w14:textId="77777777" w:rsidR="000E107D" w:rsidRDefault="00000000">
      <w:pPr>
        <w:pStyle w:val="Bibliography"/>
      </w:pPr>
      <w:bookmarkStart w:id="37" w:name="ref-Chairassamee2024"/>
      <w:bookmarkEnd w:id="36"/>
      <w:r>
        <w:t xml:space="preserve">Chairassamee, Nattanicha, Kanokwan Chancharoenchai, and Wuthiya Saraithong. 2024. “Getting There: How Commuting Time and Distance Impact Students’ Health.” </w:t>
      </w:r>
      <w:r>
        <w:rPr>
          <w:i/>
          <w:iCs/>
        </w:rPr>
        <w:t>PLoS One</w:t>
      </w:r>
      <w:r>
        <w:t xml:space="preserve"> 19 (12): e0314687. </w:t>
      </w:r>
      <w:hyperlink r:id="rId13">
        <w:r w:rsidR="000E107D">
          <w:rPr>
            <w:rStyle w:val="Hyperlink"/>
          </w:rPr>
          <w:t>https://doi.org/10.1371/journal.pone.0314687</w:t>
        </w:r>
      </w:hyperlink>
      <w:r>
        <w:t>.</w:t>
      </w:r>
    </w:p>
    <w:p w14:paraId="1499A3B6" w14:textId="77777777" w:rsidR="000E107D" w:rsidRDefault="00000000">
      <w:pPr>
        <w:pStyle w:val="Bibliography"/>
      </w:pPr>
      <w:bookmarkStart w:id="38" w:name="ref-Coleman1966"/>
      <w:bookmarkEnd w:id="37"/>
      <w:r>
        <w:lastRenderedPageBreak/>
        <w:t xml:space="preserve">Coleman, James S., Ernest Q. Campbell, Carol J. Hobson, et al. 1966. </w:t>
      </w:r>
      <w:r>
        <w:rPr>
          <w:i/>
          <w:iCs/>
        </w:rPr>
        <w:t>Equality of Educational Opportunity</w:t>
      </w:r>
      <w:r>
        <w:t>. U.S. Department of Health, Education,; Welfare, Office of Education.</w:t>
      </w:r>
    </w:p>
    <w:p w14:paraId="652A3097" w14:textId="77777777" w:rsidR="000E107D" w:rsidRDefault="00000000">
      <w:pPr>
        <w:pStyle w:val="Bibliography"/>
      </w:pPr>
      <w:bookmarkStart w:id="39" w:name="ref-HouseofCommons2021"/>
      <w:bookmarkEnd w:id="38"/>
      <w:r>
        <w:t xml:space="preserve">Commons Education Committee, House of. 2021. </w:t>
      </w:r>
      <w:r>
        <w:rPr>
          <w:i/>
          <w:iCs/>
        </w:rPr>
        <w:t>“Forgotten” White Working-Class Pupils Let down by Decades of Neglect, MPs Say - Committees - UK Parliament</w:t>
      </w:r>
      <w:r>
        <w:t xml:space="preserve">. UK Parliament. </w:t>
      </w:r>
      <w:hyperlink r:id="rId14">
        <w:r w:rsidR="000E107D">
          <w:rPr>
            <w:rStyle w:val="Hyperlink"/>
          </w:rPr>
          <w:t>https://committees.parliament.uk/committee/203/education-committee/news/156024/forgotten-white-workingclass-pupils-let-down-by-decades-of-neglect-mps-say/</w:t>
        </w:r>
      </w:hyperlink>
      <w:r>
        <w:t>.</w:t>
      </w:r>
    </w:p>
    <w:p w14:paraId="1E9708E5" w14:textId="77777777" w:rsidR="000E107D" w:rsidRDefault="00000000">
      <w:pPr>
        <w:pStyle w:val="Bibliography"/>
      </w:pPr>
      <w:bookmarkStart w:id="40" w:name="ref-Cordes2022"/>
      <w:bookmarkEnd w:id="39"/>
      <w:r>
        <w:t xml:space="preserve">Cordes, Sarah A., Christopher Rick, and Amy Ellen Schwartz. 2022. “Do Long Bus Rides Drive down Academic Outcomes?” </w:t>
      </w:r>
      <w:r>
        <w:rPr>
          <w:i/>
          <w:iCs/>
        </w:rPr>
        <w:t>Educational Evaluation and Policy Analysis</w:t>
      </w:r>
      <w:r>
        <w:t xml:space="preserve"> 44 (4): 689–716. </w:t>
      </w:r>
      <w:hyperlink r:id="rId15">
        <w:r w:rsidR="000E107D">
          <w:rPr>
            <w:rStyle w:val="Hyperlink"/>
          </w:rPr>
          <w:t>https://doi.org/10.3102/01623737221092450</w:t>
        </w:r>
      </w:hyperlink>
      <w:r>
        <w:t>.</w:t>
      </w:r>
    </w:p>
    <w:p w14:paraId="233CEC38" w14:textId="77777777" w:rsidR="000E107D" w:rsidRDefault="00000000">
      <w:pPr>
        <w:pStyle w:val="Bibliography"/>
      </w:pPr>
      <w:bookmarkStart w:id="41" w:name="ref-DfE2022"/>
      <w:bookmarkEnd w:id="40"/>
      <w:r>
        <w:t xml:space="preserve">DfE. 2022. </w:t>
      </w:r>
      <w:r>
        <w:rPr>
          <w:i/>
          <w:iCs/>
        </w:rPr>
        <w:t>The Link Between Absence and Attainment at KS2 and KS4, Academic Year 2018/19</w:t>
      </w:r>
      <w:r>
        <w:t xml:space="preserve">. </w:t>
      </w:r>
      <w:hyperlink r:id="rId16">
        <w:r w:rsidR="000E107D">
          <w:rPr>
            <w:rStyle w:val="Hyperlink"/>
          </w:rPr>
          <w:t>https://explore-education-statistics.service.gov.uk/find-statistics/the-link-between-absence-and-attainment-at-ks2-and-ks4/2018-19</w:t>
        </w:r>
      </w:hyperlink>
      <w:r>
        <w:t>.</w:t>
      </w:r>
    </w:p>
    <w:p w14:paraId="733EEE91" w14:textId="77777777" w:rsidR="000E107D" w:rsidRDefault="00000000">
      <w:pPr>
        <w:pStyle w:val="Bibliography"/>
      </w:pPr>
      <w:bookmarkStart w:id="42" w:name="ref-DfE2025a"/>
      <w:bookmarkEnd w:id="41"/>
      <w:r>
        <w:t xml:space="preserve">DfE. 2025a. </w:t>
      </w:r>
      <w:r>
        <w:rPr>
          <w:i/>
          <w:iCs/>
        </w:rPr>
        <w:t>Link Between Attendance and Attainment</w:t>
      </w:r>
      <w:r>
        <w:t xml:space="preserve">. Department for Education. </w:t>
      </w:r>
      <w:hyperlink r:id="rId17">
        <w:r w:rsidR="000E107D">
          <w:rPr>
            <w:rStyle w:val="Hyperlink"/>
          </w:rPr>
          <w:t>https://www.gov.uk/government/publications/link-between-attendance-and-attainment</w:t>
        </w:r>
      </w:hyperlink>
      <w:r>
        <w:t>.</w:t>
      </w:r>
    </w:p>
    <w:p w14:paraId="505322CA" w14:textId="77777777" w:rsidR="000E107D" w:rsidRDefault="00000000">
      <w:pPr>
        <w:pStyle w:val="Bibliography"/>
      </w:pPr>
      <w:bookmarkStart w:id="43" w:name="ref-DfE2025b"/>
      <w:bookmarkEnd w:id="42"/>
      <w:r>
        <w:t xml:space="preserve">DfE. 2025b. </w:t>
      </w:r>
      <w:r>
        <w:rPr>
          <w:i/>
          <w:iCs/>
        </w:rPr>
        <w:t>Pupil Absence in Schools in England, Autumn and Spring Term 2024/25</w:t>
      </w:r>
      <w:r>
        <w:t xml:space="preserve">. Department for Education. </w:t>
      </w:r>
      <w:hyperlink r:id="rId18">
        <w:r w:rsidR="000E107D">
          <w:rPr>
            <w:rStyle w:val="Hyperlink"/>
          </w:rPr>
          <w:t>https://explore-education-statistics.service.gov.uk/find-statistics/pupil-absence-in-schools-in-england/2024-25-autumn-and-spring-term</w:t>
        </w:r>
      </w:hyperlink>
      <w:r>
        <w:t>.</w:t>
      </w:r>
    </w:p>
    <w:p w14:paraId="206A91CD" w14:textId="77777777" w:rsidR="000E107D" w:rsidRDefault="00000000">
      <w:pPr>
        <w:pStyle w:val="Bibliography"/>
      </w:pPr>
      <w:bookmarkStart w:id="44" w:name="ref-dfe_every_2026"/>
      <w:bookmarkEnd w:id="43"/>
      <w:r>
        <w:t xml:space="preserve">DfE. 2026. </w:t>
      </w:r>
      <w:r>
        <w:rPr>
          <w:i/>
          <w:iCs/>
        </w:rPr>
        <w:t>Every Child Achieving and Thriving</w:t>
      </w:r>
      <w:r>
        <w:t xml:space="preserve">. Policy {Paper}. Department for Education. </w:t>
      </w:r>
      <w:hyperlink r:id="rId19">
        <w:r w:rsidR="000E107D">
          <w:rPr>
            <w:rStyle w:val="Hyperlink"/>
          </w:rPr>
          <w:t>https://www.gov.uk/government/publications/every-child-achieving-and-thriving/every-child-achieving-and-thriving-html-version</w:t>
        </w:r>
      </w:hyperlink>
      <w:r>
        <w:t>.</w:t>
      </w:r>
    </w:p>
    <w:p w14:paraId="336826F6" w14:textId="77777777" w:rsidR="000E107D" w:rsidRDefault="00000000">
      <w:pPr>
        <w:pStyle w:val="Bibliography"/>
      </w:pPr>
      <w:bookmarkStart w:id="45" w:name="ref-Ding2023"/>
      <w:bookmarkEnd w:id="44"/>
      <w:r>
        <w:lastRenderedPageBreak/>
        <w:t xml:space="preserve">Ding, Peng, Yan Li, Suwei Feng, and Dorina Pojani. 2023. “Do Long School Commutes Undermine Teenagers’ Wellbeing? Evidence from a Nation-Wide Survey in China.” </w:t>
      </w:r>
      <w:r>
        <w:rPr>
          <w:i/>
          <w:iCs/>
        </w:rPr>
        <w:t>Journal of Transport &amp; Health</w:t>
      </w:r>
      <w:r>
        <w:t xml:space="preserve"> 30: 101605. </w:t>
      </w:r>
      <w:hyperlink r:id="rId20">
        <w:r w:rsidR="000E107D">
          <w:rPr>
            <w:rStyle w:val="Hyperlink"/>
          </w:rPr>
          <w:t>https://doi.org/10.1016/j.jth.2023.101605</w:t>
        </w:r>
      </w:hyperlink>
      <w:r>
        <w:t>.</w:t>
      </w:r>
    </w:p>
    <w:p w14:paraId="3DAB7BC4" w14:textId="77777777" w:rsidR="000E107D" w:rsidRDefault="00000000">
      <w:pPr>
        <w:pStyle w:val="Bibliography"/>
      </w:pPr>
      <w:bookmarkStart w:id="46" w:name="ref-Drager2024"/>
      <w:bookmarkEnd w:id="45"/>
      <w:r>
        <w:t xml:space="preserve">Dräger, Jascha, Markus Klein, and Edward Sosu. 2024. “The Long-Term Consequences of Early School Absences for Educational Attainment and Labour Market Outcomes.” </w:t>
      </w:r>
      <w:r>
        <w:rPr>
          <w:i/>
          <w:iCs/>
        </w:rPr>
        <w:t>British Educational Research Journal</w:t>
      </w:r>
      <w:r>
        <w:t xml:space="preserve"> 50 (4): 1636–54. </w:t>
      </w:r>
      <w:hyperlink r:id="rId21">
        <w:r w:rsidR="000E107D">
          <w:rPr>
            <w:rStyle w:val="Hyperlink"/>
          </w:rPr>
          <w:t>https://doi.org/10.1002/berj.3992</w:t>
        </w:r>
      </w:hyperlink>
      <w:r>
        <w:t>.</w:t>
      </w:r>
    </w:p>
    <w:p w14:paraId="76B7E438" w14:textId="77777777" w:rsidR="000E107D" w:rsidRDefault="00000000">
      <w:pPr>
        <w:pStyle w:val="Bibliography"/>
      </w:pPr>
      <w:bookmarkStart w:id="47" w:name="ref-Farquharson2024"/>
      <w:bookmarkEnd w:id="46"/>
      <w:r>
        <w:t xml:space="preserve">Farquharson, Christine, Sandra McNally, and Imran Tahir. 2024. “Education Inequalities.” </w:t>
      </w:r>
      <w:r>
        <w:rPr>
          <w:i/>
          <w:iCs/>
        </w:rPr>
        <w:t>Oxford Open Economics</w:t>
      </w:r>
      <w:r>
        <w:t xml:space="preserve"> 3 (Supplement_1): i760–820. </w:t>
      </w:r>
      <w:hyperlink r:id="rId22">
        <w:r w:rsidR="000E107D">
          <w:rPr>
            <w:rStyle w:val="Hyperlink"/>
          </w:rPr>
          <w:t>https://doi.org/10.1093/ooec/odad029</w:t>
        </w:r>
      </w:hyperlink>
      <w:r>
        <w:t>.</w:t>
      </w:r>
    </w:p>
    <w:p w14:paraId="07BB2644" w14:textId="77777777" w:rsidR="000E107D" w:rsidRDefault="00000000">
      <w:pPr>
        <w:pStyle w:val="Bibliography"/>
      </w:pPr>
      <w:bookmarkStart w:id="48" w:name="ref-Faulkner2013"/>
      <w:bookmarkEnd w:id="47"/>
      <w:r>
        <w:t xml:space="preserve">Faulkner, Guy, Michelle Stone, Ron Buliung, Bonny Wong, and Raktim Mitra. 2013. “School Travel and Children’s Physical Activity: A Cross-Sectional Study Examining the Influence of Distance.” </w:t>
      </w:r>
      <w:r>
        <w:rPr>
          <w:i/>
          <w:iCs/>
        </w:rPr>
        <w:t>BMC Public Health</w:t>
      </w:r>
      <w:r>
        <w:t xml:space="preserve"> 13 (1): 1166. </w:t>
      </w:r>
      <w:hyperlink r:id="rId23">
        <w:r w:rsidR="000E107D">
          <w:rPr>
            <w:rStyle w:val="Hyperlink"/>
          </w:rPr>
          <w:t>https://doi.org/10.1186/1471-2458-13-1166</w:t>
        </w:r>
      </w:hyperlink>
      <w:r>
        <w:t>.</w:t>
      </w:r>
    </w:p>
    <w:p w14:paraId="31B7C42A" w14:textId="77777777" w:rsidR="000E107D" w:rsidRDefault="00000000">
      <w:pPr>
        <w:pStyle w:val="Bibliography"/>
      </w:pPr>
      <w:bookmarkStart w:id="49" w:name="ref-Fredriksen2004"/>
      <w:bookmarkEnd w:id="48"/>
      <w:r>
        <w:t xml:space="preserve">Fredriksen, Katia, Jean Rhodes, Ranjini Reddy, and Niobe Way. 2004. “Sleepless in Chicago: Tracking the Effects of Adolescent Sleep Loss During the Middle School Years.” </w:t>
      </w:r>
      <w:r>
        <w:rPr>
          <w:i/>
          <w:iCs/>
        </w:rPr>
        <w:t>Child Development</w:t>
      </w:r>
      <w:r>
        <w:t xml:space="preserve"> 75 (1): 84–95. https://doi.org/</w:t>
      </w:r>
      <w:hyperlink r:id="rId24">
        <w:r w:rsidR="000E107D">
          <w:rPr>
            <w:rStyle w:val="Hyperlink"/>
          </w:rPr>
          <w:t>https://doi.org/10.1111/j.1467-8624.2004.00655.x</w:t>
        </w:r>
      </w:hyperlink>
      <w:r>
        <w:t>.</w:t>
      </w:r>
    </w:p>
    <w:p w14:paraId="71ED4158" w14:textId="77777777" w:rsidR="000E107D" w:rsidRDefault="00000000">
      <w:pPr>
        <w:pStyle w:val="Bibliography"/>
      </w:pPr>
      <w:bookmarkStart w:id="50" w:name="ref-Gibbons2018"/>
      <w:bookmarkEnd w:id="49"/>
      <w:r>
        <w:t xml:space="preserve">Gibbons, Stephen, Vincenzo Scrutinio, and Shqiponja Telhaj. 2018. </w:t>
      </w:r>
      <w:r>
        <w:rPr>
          <w:i/>
          <w:iCs/>
        </w:rPr>
        <w:t>Teacher Turnover: Does It Matter for Pupil Achievement?</w:t>
      </w:r>
      <w:r>
        <w:t xml:space="preserve"> CEPDP1530. Centre for Economic Performance, LSE. </w:t>
      </w:r>
      <w:hyperlink r:id="rId25">
        <w:r w:rsidR="000E107D">
          <w:rPr>
            <w:rStyle w:val="Hyperlink"/>
          </w:rPr>
          <w:t>https://cep.lse.ac.uk/_new/publications/abstract.asp?index=5752</w:t>
        </w:r>
      </w:hyperlink>
      <w:r>
        <w:t>.</w:t>
      </w:r>
    </w:p>
    <w:p w14:paraId="35F0AEC0" w14:textId="77777777" w:rsidR="000E107D" w:rsidRDefault="00000000">
      <w:pPr>
        <w:pStyle w:val="Bibliography"/>
      </w:pPr>
      <w:bookmarkStart w:id="51" w:name="ref-Gillborn2017"/>
      <w:bookmarkEnd w:id="50"/>
      <w:r>
        <w:t xml:space="preserve">Gillborn, David, Sean Demack, Nicola Rollock, and Paul Warmington. 2017. “Moving the Goalposts: Education Policy and 25 Years of the Black/White Achievement Gap.” </w:t>
      </w:r>
      <w:r>
        <w:rPr>
          <w:i/>
          <w:iCs/>
        </w:rPr>
        <w:t>British Educational Research Journal</w:t>
      </w:r>
      <w:r>
        <w:t xml:space="preserve"> 43 (5): 848–74. </w:t>
      </w:r>
      <w:hyperlink r:id="rId26">
        <w:r w:rsidR="000E107D">
          <w:rPr>
            <w:rStyle w:val="Hyperlink"/>
          </w:rPr>
          <w:t>https://doi.org/10.1002/berj.3297</w:t>
        </w:r>
      </w:hyperlink>
      <w:r>
        <w:t>.</w:t>
      </w:r>
    </w:p>
    <w:p w14:paraId="6D6CD73C" w14:textId="77777777" w:rsidR="000E107D" w:rsidRDefault="00000000">
      <w:pPr>
        <w:pStyle w:val="Bibliography"/>
      </w:pPr>
      <w:bookmarkStart w:id="52" w:name="ref-gorard_how_2019"/>
      <w:bookmarkEnd w:id="51"/>
      <w:r>
        <w:lastRenderedPageBreak/>
        <w:t xml:space="preserve">Gorard, Stephen, and Nadia Siddiqui. 2019. “How Trajectories of Disadvantage Help Explain School Attainment.” </w:t>
      </w:r>
      <w:r>
        <w:rPr>
          <w:i/>
          <w:iCs/>
        </w:rPr>
        <w:t>Sage Open</w:t>
      </w:r>
      <w:r>
        <w:t xml:space="preserve"> 9 (1): 2158244018825171. </w:t>
      </w:r>
      <w:hyperlink r:id="rId27">
        <w:r w:rsidR="000E107D">
          <w:rPr>
            <w:rStyle w:val="Hyperlink"/>
          </w:rPr>
          <w:t>https://doi.org/10.1177/2158244018825171</w:t>
        </w:r>
      </w:hyperlink>
      <w:r>
        <w:t>.</w:t>
      </w:r>
    </w:p>
    <w:p w14:paraId="038A10B0" w14:textId="77777777" w:rsidR="000E107D" w:rsidRDefault="00000000">
      <w:pPr>
        <w:pStyle w:val="Bibliography"/>
      </w:pPr>
      <w:bookmarkStart w:id="53" w:name="ref-gorard_school_2025"/>
      <w:bookmarkEnd w:id="52"/>
      <w:r>
        <w:t xml:space="preserve">Gorard, Stephen, Nadia Siddiqui, Beng Huat See, and Yiyang Gao. 2025. “Do School Exclusions and Attainment Outcomes Disproportionately Impact Minority Ethnic Pupils? Analysis of Pupil Characteristics, Segregation, and Outcomes in England.” </w:t>
      </w:r>
      <w:r>
        <w:rPr>
          <w:i/>
          <w:iCs/>
        </w:rPr>
        <w:t>Education Sciences</w:t>
      </w:r>
      <w:r>
        <w:t xml:space="preserve"> 15 (1): 6. </w:t>
      </w:r>
      <w:hyperlink r:id="rId28">
        <w:r w:rsidR="000E107D">
          <w:rPr>
            <w:rStyle w:val="Hyperlink"/>
          </w:rPr>
          <w:t>https://doi.org/10.3390/educsci15010006</w:t>
        </w:r>
      </w:hyperlink>
      <w:r>
        <w:t>.</w:t>
      </w:r>
    </w:p>
    <w:p w14:paraId="62AED506" w14:textId="77777777" w:rsidR="000E107D" w:rsidRDefault="00000000">
      <w:pPr>
        <w:pStyle w:val="Bibliography"/>
      </w:pPr>
      <w:bookmarkStart w:id="54" w:name="ref-Grant2017"/>
      <w:bookmarkEnd w:id="53"/>
      <w:r>
        <w:t xml:space="preserve">Grant, Catherine. 2017. </w:t>
      </w:r>
      <w:r>
        <w:rPr>
          <w:i/>
          <w:iCs/>
        </w:rPr>
        <w:t>The Contribution of Education to Economic Growth</w:t>
      </w:r>
      <w:r>
        <w:t xml:space="preserve">. Report. The Institute of Development Studies; Partner Organisations. </w:t>
      </w:r>
      <w:hyperlink r:id="rId29">
        <w:r w:rsidR="000E107D">
          <w:rPr>
            <w:rStyle w:val="Hyperlink"/>
          </w:rPr>
          <w:t>https://opendocs.ids.ac.uk/articles/report/The_Contribution_of_Education_to_Economic_Growth/26453986/1</w:t>
        </w:r>
      </w:hyperlink>
      <w:r>
        <w:t>.</w:t>
      </w:r>
    </w:p>
    <w:p w14:paraId="682F4402" w14:textId="77777777" w:rsidR="000E107D" w:rsidRDefault="00000000">
      <w:pPr>
        <w:pStyle w:val="Bibliography"/>
      </w:pPr>
      <w:bookmarkStart w:id="55" w:name="ref-Guan2025"/>
      <w:bookmarkEnd w:id="54"/>
      <w:r>
        <w:t xml:space="preserve">Guan, Hongwei, Jingjing Xue, Yaqi Zhang, Fang Chang, and Wei Liu. 2025. “Examining the Relationship Between Commuting Time, Academic Achievement, and Mental Health in Rural China: A Cross-Sectional Analysis.” </w:t>
      </w:r>
      <w:r>
        <w:rPr>
          <w:i/>
          <w:iCs/>
        </w:rPr>
        <w:t>BMC Public Health</w:t>
      </w:r>
      <w:r>
        <w:t xml:space="preserve"> 25 (1): 1616. </w:t>
      </w:r>
      <w:hyperlink r:id="rId30">
        <w:r w:rsidR="000E107D">
          <w:rPr>
            <w:rStyle w:val="Hyperlink"/>
          </w:rPr>
          <w:t>https://doi.org/10.1186/s12889-025-22861-7</w:t>
        </w:r>
      </w:hyperlink>
      <w:r>
        <w:t>.</w:t>
      </w:r>
    </w:p>
    <w:p w14:paraId="7850F217" w14:textId="77777777" w:rsidR="000E107D" w:rsidRDefault="00000000">
      <w:pPr>
        <w:pStyle w:val="Bibliography"/>
      </w:pPr>
      <w:bookmarkStart w:id="56" w:name="ref-houtepen_associations_2020"/>
      <w:bookmarkEnd w:id="55"/>
      <w:r>
        <w:t xml:space="preserve">Houtepen, Lotte C., Jon Heron, Matthew J. Suderman, Abigail Fraser, Catherine R. Chittleborough, and Laura D. Howe. 2020. “Associations of Adverse Childhood Experiences with Educational Attainment and Adolescent Health and the Role of Family and Socioeconomic Factors: A Prospective Cohort Study in the UK.” </w:t>
      </w:r>
      <w:r>
        <w:rPr>
          <w:i/>
          <w:iCs/>
        </w:rPr>
        <w:t>PLOS Medicine</w:t>
      </w:r>
      <w:r>
        <w:t xml:space="preserve"> 17 (3): e1003031. </w:t>
      </w:r>
      <w:hyperlink r:id="rId31">
        <w:r w:rsidR="000E107D">
          <w:rPr>
            <w:rStyle w:val="Hyperlink"/>
          </w:rPr>
          <w:t>https://doi.org/10.1371/journal.pmed.1003031</w:t>
        </w:r>
      </w:hyperlink>
      <w:r>
        <w:t>.</w:t>
      </w:r>
    </w:p>
    <w:p w14:paraId="546455BD" w14:textId="77777777" w:rsidR="000E107D" w:rsidRDefault="00000000">
      <w:pPr>
        <w:pStyle w:val="Bibliography"/>
      </w:pPr>
      <w:bookmarkStart w:id="57" w:name="ref-Karan2021"/>
      <w:bookmarkEnd w:id="56"/>
      <w:r>
        <w:t xml:space="preserve">Karan, Maira, Danny Rahal, David M. Almeida, et al. 2021. “School Commute Time, Chronotype, and Altered HPA Axis Functioning During Adolescence.” </w:t>
      </w:r>
      <w:r>
        <w:rPr>
          <w:i/>
          <w:iCs/>
        </w:rPr>
        <w:lastRenderedPageBreak/>
        <w:t>Psychoneuroendocrinology</w:t>
      </w:r>
      <w:r>
        <w:t xml:space="preserve"> 133: 105371. </w:t>
      </w:r>
      <w:hyperlink r:id="rId32">
        <w:r w:rsidR="000E107D">
          <w:rPr>
            <w:rStyle w:val="Hyperlink"/>
          </w:rPr>
          <w:t>https://doi.org/10.1016/j.psyneuen.2021.105371</w:t>
        </w:r>
      </w:hyperlink>
      <w:r>
        <w:t>.</w:t>
      </w:r>
    </w:p>
    <w:p w14:paraId="283A1764" w14:textId="77777777" w:rsidR="000E107D" w:rsidRDefault="00000000">
      <w:pPr>
        <w:pStyle w:val="Bibliography"/>
      </w:pPr>
      <w:bookmarkStart w:id="58" w:name="ref-macleod_supporting_2015"/>
      <w:bookmarkEnd w:id="57"/>
      <w:r>
        <w:t xml:space="preserve">Macleod, S., C. Sharp, D. Bernardinelli, A. Skipp, and S. Higgins. 2015. </w:t>
      </w:r>
      <w:r>
        <w:rPr>
          <w:i/>
          <w:iCs/>
        </w:rPr>
        <w:t>Supporting the Attainment of Disadvantaged Pupils: Articulating Success and Good Practice</w:t>
      </w:r>
      <w:r>
        <w:t xml:space="preserve">. Department for Education. </w:t>
      </w:r>
      <w:hyperlink r:id="rId33">
        <w:r w:rsidR="000E107D">
          <w:rPr>
            <w:rStyle w:val="Hyperlink"/>
          </w:rPr>
          <w:t>https://www.nfer.ac.uk/publications/supporting-the-attainment-of-disadvantaged-pupils-articulating-success-and-good-practice/</w:t>
        </w:r>
      </w:hyperlink>
      <w:r>
        <w:t>.</w:t>
      </w:r>
    </w:p>
    <w:p w14:paraId="57A0281A" w14:textId="77777777" w:rsidR="000E107D" w:rsidRDefault="00000000">
      <w:pPr>
        <w:pStyle w:val="Bibliography"/>
      </w:pPr>
      <w:bookmarkStart w:id="59" w:name="ref-Menzies2023"/>
      <w:bookmarkEnd w:id="58"/>
      <w:r>
        <w:t xml:space="preserve">Menzies, Loic. 2023. “Continuity and Churn: Understanding and Responding to the Impact of Teacher Turnover.” </w:t>
      </w:r>
      <w:r>
        <w:rPr>
          <w:i/>
          <w:iCs/>
        </w:rPr>
        <w:t>London Review of Education</w:t>
      </w:r>
      <w:r>
        <w:t xml:space="preserve"> 21 (1). </w:t>
      </w:r>
      <w:hyperlink r:id="rId34">
        <w:r w:rsidR="000E107D">
          <w:rPr>
            <w:rStyle w:val="Hyperlink"/>
          </w:rPr>
          <w:t>https://doi.org/10.14324/LRE.21.1.20</w:t>
        </w:r>
      </w:hyperlink>
      <w:r>
        <w:t>.</w:t>
      </w:r>
    </w:p>
    <w:p w14:paraId="362F3FF1" w14:textId="77777777" w:rsidR="000E107D" w:rsidRDefault="00000000">
      <w:pPr>
        <w:pStyle w:val="Bibliography"/>
      </w:pPr>
      <w:bookmarkStart w:id="60" w:name="ref-Moore2026"/>
      <w:bookmarkEnd w:id="59"/>
      <w:r>
        <w:t xml:space="preserve">Moore, Emma, Juan Manuel Del Pozo Segura, and Jenna Julius. 2026. </w:t>
      </w:r>
      <w:r>
        <w:rPr>
          <w:i/>
          <w:iCs/>
        </w:rPr>
        <w:t>Understanding the Relationship Between Attendance, Wellbeing and Sense of Belonging</w:t>
      </w:r>
      <w:r>
        <w:t xml:space="preserve">. National Foundation for Educational Research. </w:t>
      </w:r>
      <w:hyperlink r:id="rId35">
        <w:r w:rsidR="000E107D">
          <w:rPr>
            <w:rStyle w:val="Hyperlink"/>
          </w:rPr>
          <w:t>https://www.nfer.ac.uk/publications/understanding-the-relationship-between-attendance-wellbeing-and-sense-of-belonging/</w:t>
        </w:r>
      </w:hyperlink>
      <w:r>
        <w:t>.</w:t>
      </w:r>
    </w:p>
    <w:p w14:paraId="4DB4D9DD" w14:textId="77777777" w:rsidR="000E107D" w:rsidRDefault="00000000">
      <w:pPr>
        <w:pStyle w:val="Bibliography"/>
      </w:pPr>
      <w:bookmarkStart w:id="61" w:name="ref-nakagawa_coefficient_2017"/>
      <w:bookmarkEnd w:id="60"/>
      <w:r>
        <w:t xml:space="preserve">Nakagawa, Shinichi, Paul C. D. Johnson, and Holger Schielzeth. 2017. “The Coefficient of Determination R2 and Intra-Class Correlation Coefficient from Generalized Linear Mixed-Effects Models Revisited and Expanded.” </w:t>
      </w:r>
      <w:r>
        <w:rPr>
          <w:i/>
          <w:iCs/>
        </w:rPr>
        <w:t>Journal of The Royal Society Interface</w:t>
      </w:r>
      <w:r>
        <w:t xml:space="preserve"> 14 (134): 20170213. </w:t>
      </w:r>
      <w:hyperlink r:id="rId36">
        <w:r w:rsidR="000E107D">
          <w:rPr>
            <w:rStyle w:val="Hyperlink"/>
          </w:rPr>
          <w:t>https://doi.org/10.1098/rsif.2017.0213</w:t>
        </w:r>
      </w:hyperlink>
      <w:r>
        <w:t>.</w:t>
      </w:r>
    </w:p>
    <w:p w14:paraId="2E16E0E8" w14:textId="77777777" w:rsidR="000E107D" w:rsidRDefault="00000000">
      <w:pPr>
        <w:pStyle w:val="Bibliography"/>
      </w:pPr>
      <w:bookmarkStart w:id="62" w:name="ref-nakagawa_general_2013"/>
      <w:bookmarkEnd w:id="61"/>
      <w:r>
        <w:t xml:space="preserve">Nakagawa, Shinichi, and Holger Schielzeth. 2013. “A General and Simple Method for Obtaining R2 from Generalized Linear Mixed-Effects Models.” </w:t>
      </w:r>
      <w:r>
        <w:rPr>
          <w:i/>
          <w:iCs/>
        </w:rPr>
        <w:t>Methods in Ecology and Evolution</w:t>
      </w:r>
      <w:r>
        <w:t xml:space="preserve"> 4 (2): 133–42. </w:t>
      </w:r>
      <w:hyperlink r:id="rId37">
        <w:r w:rsidR="000E107D">
          <w:rPr>
            <w:rStyle w:val="Hyperlink"/>
          </w:rPr>
          <w:t>https://doi.org/10.1111/j.2041-210x.2012.00261.x</w:t>
        </w:r>
      </w:hyperlink>
      <w:r>
        <w:t>.</w:t>
      </w:r>
    </w:p>
    <w:p w14:paraId="3EBEF428" w14:textId="77777777" w:rsidR="000E107D" w:rsidRDefault="00000000">
      <w:pPr>
        <w:pStyle w:val="Bibliography"/>
      </w:pPr>
      <w:bookmarkStart w:id="63" w:name="ref-Nakajima2024"/>
      <w:bookmarkEnd w:id="62"/>
      <w:r>
        <w:t xml:space="preserve">Nakajima, Sakurako, Yuichiro Otsuka, Osamu Itani, Yoshifumi Kaneko, Masato Suzuki, and Yoshitaka Kaneita. 2024. “Association Between Commuting and Mental Health Among </w:t>
      </w:r>
      <w:r>
        <w:lastRenderedPageBreak/>
        <w:t xml:space="preserve">Japanese Adolescents.” </w:t>
      </w:r>
      <w:r>
        <w:rPr>
          <w:i/>
          <w:iCs/>
        </w:rPr>
        <w:t>Psychiatry and Clinical Neurosciences</w:t>
      </w:r>
      <w:r>
        <w:t xml:space="preserve"> 78 (10): 588–94. </w:t>
      </w:r>
      <w:hyperlink r:id="rId38">
        <w:r w:rsidR="000E107D">
          <w:rPr>
            <w:rStyle w:val="Hyperlink"/>
          </w:rPr>
          <w:t>https://doi.org/10.1111/pcn.13714</w:t>
        </w:r>
      </w:hyperlink>
      <w:r>
        <w:t>.</w:t>
      </w:r>
    </w:p>
    <w:p w14:paraId="3EA96E22" w14:textId="77777777" w:rsidR="000E107D" w:rsidRDefault="00000000">
      <w:pPr>
        <w:pStyle w:val="Bibliography"/>
      </w:pPr>
      <w:bookmarkStart w:id="64" w:name="ref-Otsuka2025"/>
      <w:bookmarkEnd w:id="63"/>
      <w:r>
        <w:t xml:space="preserve">Otsuka, Yuichiro, Mikiko Tokiya, Issei Saitoh, Osamu Itani, and Yoshitaka Kaneita. 2025. “Factors Associated with School Absenteeism Due to Difficulty Awakening: A Two-Year Prospective Cohort Study of Japanese Adolescents.” </w:t>
      </w:r>
      <w:r>
        <w:rPr>
          <w:i/>
          <w:iCs/>
        </w:rPr>
        <w:t>Environmental Health and Preventive Medicine</w:t>
      </w:r>
      <w:r>
        <w:t xml:space="preserve"> 30: 89–89. </w:t>
      </w:r>
      <w:hyperlink r:id="rId39">
        <w:r w:rsidR="000E107D">
          <w:rPr>
            <w:rStyle w:val="Hyperlink"/>
          </w:rPr>
          <w:t>https://doi.org/10.1265/ehpm.25-00290</w:t>
        </w:r>
      </w:hyperlink>
      <w:r>
        <w:t>.</w:t>
      </w:r>
    </w:p>
    <w:p w14:paraId="04F2F2C2" w14:textId="77777777" w:rsidR="000E107D" w:rsidRDefault="00000000">
      <w:pPr>
        <w:pStyle w:val="Bibliography"/>
      </w:pPr>
      <w:bookmarkStart w:id="65" w:name="ref-Pereira2014"/>
      <w:bookmarkEnd w:id="64"/>
      <w:r>
        <w:t xml:space="preserve">Pereira, Erico F., Claudia Moreno, and Fernando M. Louzada. 2014. “Increased Commuting to School Time Reduces Sleep Duration in Adolescents.” </w:t>
      </w:r>
      <w:r>
        <w:rPr>
          <w:i/>
          <w:iCs/>
        </w:rPr>
        <w:t>Chronobiology International</w:t>
      </w:r>
      <w:r>
        <w:t xml:space="preserve"> 31 (1): 87–94. </w:t>
      </w:r>
      <w:hyperlink r:id="rId40">
        <w:r w:rsidR="000E107D">
          <w:rPr>
            <w:rStyle w:val="Hyperlink"/>
          </w:rPr>
          <w:t>https://doi.org/10.3109/07420528.2013.826238</w:t>
        </w:r>
      </w:hyperlink>
      <w:r>
        <w:t>.</w:t>
      </w:r>
    </w:p>
    <w:p w14:paraId="7757BF3C" w14:textId="77777777" w:rsidR="000E107D" w:rsidRDefault="00000000">
      <w:pPr>
        <w:pStyle w:val="Bibliography"/>
      </w:pPr>
      <w:bookmarkStart w:id="66" w:name="ref-Pradhan2017"/>
      <w:bookmarkEnd w:id="65"/>
      <w:r>
        <w:t xml:space="preserve">Pradhan, Rajesh Kumar, and Nandita Sinha. 2017. “Impact of Commuting Distance and School Timing on Sleep of School Students.” </w:t>
      </w:r>
      <w:r>
        <w:rPr>
          <w:i/>
          <w:iCs/>
        </w:rPr>
        <w:t>Sleep and Biological Rhythms</w:t>
      </w:r>
      <w:r>
        <w:t xml:space="preserve"> 15 (2): 153–58. </w:t>
      </w:r>
      <w:hyperlink r:id="rId41">
        <w:r w:rsidR="000E107D">
          <w:rPr>
            <w:rStyle w:val="Hyperlink"/>
          </w:rPr>
          <w:t>https://doi.org/10.1007/s41105-017-0091-0</w:t>
        </w:r>
      </w:hyperlink>
      <w:r>
        <w:t>.</w:t>
      </w:r>
    </w:p>
    <w:p w14:paraId="7C505AED" w14:textId="77777777" w:rsidR="000E107D" w:rsidRDefault="00000000">
      <w:pPr>
        <w:pStyle w:val="Bibliography"/>
      </w:pPr>
      <w:bookmarkStart w:id="67" w:name="ref-Rakesh2025"/>
      <w:bookmarkEnd w:id="66"/>
      <w:r>
        <w:t xml:space="preserve">Rakesh, Divyangana, Paris Anne Lee, Amruta Gaikwad, and Katie A. McLaughlin. 2025. “Annual Research Review: Associations of Socioeconomic Status with Cognitive Function, Language Ability, and Academic Achievement in Youth: A Systematic Review of Mechanisms and Protective Factors.” </w:t>
      </w:r>
      <w:r>
        <w:rPr>
          <w:i/>
          <w:iCs/>
        </w:rPr>
        <w:t>Journal of Child Psychology and Psychiatry</w:t>
      </w:r>
      <w:r>
        <w:t xml:space="preserve"> 66 (4): 417–39. </w:t>
      </w:r>
      <w:hyperlink r:id="rId42">
        <w:r w:rsidR="000E107D">
          <w:rPr>
            <w:rStyle w:val="Hyperlink"/>
          </w:rPr>
          <w:t>https://doi.org/10.1111/jcpp.14082</w:t>
        </w:r>
      </w:hyperlink>
      <w:r>
        <w:t>.</w:t>
      </w:r>
    </w:p>
    <w:p w14:paraId="31BD394C" w14:textId="77777777" w:rsidR="000E107D" w:rsidRDefault="00000000">
      <w:pPr>
        <w:pStyle w:val="Bibliography"/>
      </w:pPr>
      <w:bookmarkStart w:id="68" w:name="ref-Riordan2021"/>
      <w:bookmarkEnd w:id="67"/>
      <w:r>
        <w:t xml:space="preserve">Riordan, S., M. Jopling, and S. Starr. 2021. </w:t>
      </w:r>
      <w:r>
        <w:rPr>
          <w:i/>
          <w:iCs/>
        </w:rPr>
        <w:t>Against the Odds: Achieving Greater Progress for Secondary Students Facing Socio-Economic Disadvantage</w:t>
      </w:r>
      <w:r>
        <w:t xml:space="preserve">. Social Mobility Commission. </w:t>
      </w:r>
      <w:hyperlink r:id="rId43">
        <w:r w:rsidR="000E107D">
          <w:rPr>
            <w:rStyle w:val="Hyperlink"/>
          </w:rPr>
          <w:t>https://www.gov.uk/government/publications/against-the-odds</w:t>
        </w:r>
      </w:hyperlink>
      <w:r>
        <w:t>.</w:t>
      </w:r>
    </w:p>
    <w:p w14:paraId="434BF48C" w14:textId="77777777" w:rsidR="000E107D" w:rsidRDefault="00000000">
      <w:pPr>
        <w:pStyle w:val="Bibliography"/>
      </w:pPr>
      <w:bookmarkStart w:id="69" w:name="ref-Ross2020"/>
      <w:bookmarkEnd w:id="68"/>
      <w:r>
        <w:t xml:space="preserve">Ross, A., C. Lessof, R. Brind-Kantar, R. Khandker, and D. Aitken. 2020. </w:t>
      </w:r>
      <w:r>
        <w:rPr>
          <w:i/>
          <w:iCs/>
        </w:rPr>
        <w:t>Examining the London Advantage in Attainment: Evidence from LSYPE</w:t>
      </w:r>
      <w:r>
        <w:t xml:space="preserve">. Department for Education. </w:t>
      </w:r>
      <w:hyperlink r:id="rId44">
        <w:r w:rsidR="000E107D">
          <w:rPr>
            <w:rStyle w:val="Hyperlink"/>
          </w:rPr>
          <w:t>https://www.gov.uk/government/publications/examining-the-london-advantage-in-attainment-evidence-from-lsype</w:t>
        </w:r>
      </w:hyperlink>
      <w:r>
        <w:t>.</w:t>
      </w:r>
    </w:p>
    <w:p w14:paraId="53F173D4" w14:textId="77777777" w:rsidR="000E107D" w:rsidRDefault="00000000">
      <w:pPr>
        <w:pStyle w:val="Bibliography"/>
      </w:pPr>
      <w:bookmarkStart w:id="70" w:name="ref-Shah2023"/>
      <w:bookmarkEnd w:id="69"/>
      <w:r>
        <w:t xml:space="preserve">Shah, Kajal B. 2023. “Traversing the City: Examining the Impacts of Extended Commute on Student Wellbeing &amp; High School Experience in Chicago.” Master’s thesis, University of Chicago. </w:t>
      </w:r>
      <w:hyperlink r:id="rId45">
        <w:r w:rsidR="000E107D">
          <w:rPr>
            <w:rStyle w:val="Hyperlink"/>
          </w:rPr>
          <w:t>https://knowledge.uchicago.edu/record/7216</w:t>
        </w:r>
      </w:hyperlink>
      <w:r>
        <w:t>.</w:t>
      </w:r>
    </w:p>
    <w:p w14:paraId="70F5651A" w14:textId="77777777" w:rsidR="000E107D" w:rsidRDefault="00000000">
      <w:pPr>
        <w:pStyle w:val="Bibliography"/>
      </w:pPr>
      <w:bookmarkStart w:id="71" w:name="ref-SmithTomlinson1989"/>
      <w:bookmarkEnd w:id="70"/>
      <w:r>
        <w:t xml:space="preserve">Smith, David J., and Sally Tomlinson. 1989. </w:t>
      </w:r>
      <w:r>
        <w:rPr>
          <w:i/>
          <w:iCs/>
        </w:rPr>
        <w:t>The School Effect: A Study of Multi-Racial Comprehensives</w:t>
      </w:r>
      <w:r>
        <w:t>. Policy Studies Institute.</w:t>
      </w:r>
    </w:p>
    <w:p w14:paraId="11349587" w14:textId="77777777" w:rsidR="000E107D" w:rsidRDefault="00000000">
      <w:pPr>
        <w:pStyle w:val="Bibliography"/>
      </w:pPr>
      <w:bookmarkStart w:id="72" w:name="ref-Snijders2012"/>
      <w:bookmarkEnd w:id="71"/>
      <w:r>
        <w:t xml:space="preserve">Snijders, T. A. B. 2012. </w:t>
      </w:r>
      <w:r>
        <w:rPr>
          <w:i/>
          <w:iCs/>
        </w:rPr>
        <w:t>Multilevel Analysis: An Introduction to Basic and Advanced Multilevel Modeling</w:t>
      </w:r>
      <w:r>
        <w:t>. 2nd ed. SAGE.</w:t>
      </w:r>
    </w:p>
    <w:p w14:paraId="295911EB" w14:textId="77777777" w:rsidR="000E107D" w:rsidRDefault="00000000">
      <w:pPr>
        <w:pStyle w:val="Bibliography"/>
      </w:pPr>
      <w:bookmarkStart w:id="73" w:name="ref-Stein2021"/>
      <w:bookmarkEnd w:id="72"/>
      <w:r>
        <w:t xml:space="preserve">Stein, Marc L., Julia Burdick-Will, and Jeffrey Grigg. 2021. “A Choice Too Far: Transit Difficulty and Early High School Transfer.” </w:t>
      </w:r>
      <w:r>
        <w:rPr>
          <w:i/>
          <w:iCs/>
        </w:rPr>
        <w:t>Educational Researcher</w:t>
      </w:r>
      <w:r>
        <w:t xml:space="preserve"> 50 (3): 137–44. </w:t>
      </w:r>
      <w:hyperlink r:id="rId46">
        <w:r w:rsidR="000E107D">
          <w:rPr>
            <w:rStyle w:val="Hyperlink"/>
          </w:rPr>
          <w:t>https://doi.org/10.3102/0013189X20949504</w:t>
        </w:r>
      </w:hyperlink>
      <w:r>
        <w:t>.</w:t>
      </w:r>
    </w:p>
    <w:p w14:paraId="59112ED9" w14:textId="77777777" w:rsidR="000E107D" w:rsidRDefault="00000000">
      <w:pPr>
        <w:pStyle w:val="Bibliography"/>
      </w:pPr>
      <w:bookmarkStart w:id="74" w:name="ref-StopforthGayle2025"/>
      <w:bookmarkEnd w:id="73"/>
      <w:r>
        <w:t xml:space="preserve">Stopforth, Sarah, and Vernon Gayle. 2025. “Parental Social Class and School Examinations: A Longitudinal Investigation Using Linked Administrative and Survey Data.” </w:t>
      </w:r>
      <w:r>
        <w:rPr>
          <w:i/>
          <w:iCs/>
        </w:rPr>
        <w:t>British Journal of Sociology of Education</w:t>
      </w:r>
      <w:r>
        <w:t xml:space="preserve"> 46 (4): 434–53. </w:t>
      </w:r>
      <w:hyperlink r:id="rId47">
        <w:r w:rsidR="000E107D">
          <w:rPr>
            <w:rStyle w:val="Hyperlink"/>
          </w:rPr>
          <w:t>https://doi.org/10.1080/01425692.2025.2474040</w:t>
        </w:r>
      </w:hyperlink>
      <w:r>
        <w:t>.</w:t>
      </w:r>
    </w:p>
    <w:p w14:paraId="033F29CE" w14:textId="77777777" w:rsidR="000E107D" w:rsidRDefault="00000000">
      <w:pPr>
        <w:pStyle w:val="Bibliography"/>
      </w:pPr>
      <w:bookmarkStart w:id="75" w:name="ref-Strand2021"/>
      <w:bookmarkEnd w:id="74"/>
      <w:r>
        <w:t xml:space="preserve">Strand, S. 2021. </w:t>
      </w:r>
      <w:r>
        <w:rPr>
          <w:i/>
          <w:iCs/>
        </w:rPr>
        <w:t>Ethnic, Socio-Economic and Sex Inequalities in Educational Achievement at Age 16, by Professor Steve Strand</w:t>
      </w:r>
      <w:r>
        <w:t xml:space="preserve">. Commission on Ethnic; Racial Disparities. </w:t>
      </w:r>
      <w:hyperlink r:id="rId48">
        <w:r w:rsidR="000E107D">
          <w:rPr>
            <w:rStyle w:val="Hyperlink"/>
          </w:rPr>
          <w:t>https://www.gov.uk/government/publications/the-report-of-the-commission-on-race-and-ethnic-disparities-supporting-research/ethnic-socio-economic-and-sex-inequalities-in-educational-achievement-at-age-16-by-professor-steve-strand</w:t>
        </w:r>
      </w:hyperlink>
      <w:r>
        <w:t>.</w:t>
      </w:r>
    </w:p>
    <w:p w14:paraId="293377B0" w14:textId="77777777" w:rsidR="000E107D" w:rsidRDefault="00000000">
      <w:pPr>
        <w:pStyle w:val="Bibliography"/>
      </w:pPr>
      <w:bookmarkStart w:id="76" w:name="ref-tan_good_2025"/>
      <w:bookmarkEnd w:id="75"/>
      <w:r>
        <w:t xml:space="preserve">Tan, Josiah, and Adam Dennett. 2025. “Do Good Schools Influence Property Prices? Disentangling School and Neighbourhood Effects with Empirical Evidence from </w:t>
      </w:r>
      <w:r>
        <w:lastRenderedPageBreak/>
        <w:t xml:space="preserve">Brighton.” In </w:t>
      </w:r>
      <w:r>
        <w:rPr>
          <w:i/>
          <w:iCs/>
        </w:rPr>
        <w:t>Digital-Era Urban Transformations</w:t>
      </w:r>
      <w:r>
        <w:t xml:space="preserve">, edited by Robert Goodspeed, Esra Suel, Huanfa Chen, Joana Barros, and Christopher Pettit. Springer Nature Switzerland. </w:t>
      </w:r>
      <w:hyperlink r:id="rId49">
        <w:r w:rsidR="000E107D">
          <w:rPr>
            <w:rStyle w:val="Hyperlink"/>
          </w:rPr>
          <w:t>https://doi.org/10.1007/978-3-031-98300-9_17</w:t>
        </w:r>
      </w:hyperlink>
      <w:r>
        <w:t>.</w:t>
      </w:r>
    </w:p>
    <w:p w14:paraId="36836917" w14:textId="77777777" w:rsidR="000E107D" w:rsidRDefault="00000000">
      <w:pPr>
        <w:pStyle w:val="Bibliography"/>
      </w:pPr>
      <w:bookmarkStart w:id="77" w:name="ref-TeddlieReynolds2000"/>
      <w:bookmarkEnd w:id="76"/>
      <w:r>
        <w:t xml:space="preserve">Teddlie, Charles, and David Reynolds. 2000. </w:t>
      </w:r>
      <w:r>
        <w:rPr>
          <w:i/>
          <w:iCs/>
        </w:rPr>
        <w:t>The International Handbook of School Effectiveness Research</w:t>
      </w:r>
      <w:r>
        <w:t>. Falmer Press.</w:t>
      </w:r>
    </w:p>
    <w:p w14:paraId="6A637324" w14:textId="77777777" w:rsidR="000E107D" w:rsidRDefault="00000000">
      <w:pPr>
        <w:pStyle w:val="Bibliography"/>
      </w:pPr>
      <w:bookmarkStart w:id="78" w:name="ref-Thomson2023"/>
      <w:bookmarkEnd w:id="77"/>
      <w:r>
        <w:t xml:space="preserve">Thomson, Dave. 2023. “Are Pupils Who Live Further Away from Their School Absent More Often?” In </w:t>
      </w:r>
      <w:r>
        <w:rPr>
          <w:i/>
          <w:iCs/>
        </w:rPr>
        <w:t>FFT Education Datalab</w:t>
      </w:r>
      <w:r>
        <w:t xml:space="preserve">. </w:t>
      </w:r>
      <w:hyperlink r:id="rId50">
        <w:r w:rsidR="000E107D">
          <w:rPr>
            <w:rStyle w:val="Hyperlink"/>
          </w:rPr>
          <w:t>https://ffteducationdatalab.org.uk/2023/11/are-pupils-who-live-further-away-from-their-school-absent-more-often/</w:t>
        </w:r>
      </w:hyperlink>
      <w:r>
        <w:t>.</w:t>
      </w:r>
    </w:p>
    <w:p w14:paraId="0445197A" w14:textId="77777777" w:rsidR="000E107D" w:rsidRDefault="00000000">
      <w:pPr>
        <w:pStyle w:val="Bibliography"/>
      </w:pPr>
      <w:bookmarkStart w:id="79" w:name="ref-Tuckett2023"/>
      <w:bookmarkEnd w:id="78"/>
      <w:r>
        <w:t xml:space="preserve">Tuckett, S., E. Hunt, D. Robinson, and N. Babbini. 2023. </w:t>
      </w:r>
      <w:r>
        <w:rPr>
          <w:i/>
          <w:iCs/>
        </w:rPr>
        <w:t>EPI Annual Report 2023</w:t>
      </w:r>
      <w:r>
        <w:t xml:space="preserve">. Education Policy Institute. </w:t>
      </w:r>
      <w:hyperlink r:id="rId51">
        <w:r w:rsidR="000E107D">
          <w:rPr>
            <w:rStyle w:val="Hyperlink"/>
          </w:rPr>
          <w:t>https://epi.org.uk/annual-report-2023/</w:t>
        </w:r>
      </w:hyperlink>
      <w:r>
        <w:t>.</w:t>
      </w:r>
    </w:p>
    <w:p w14:paraId="69EF1849" w14:textId="77777777" w:rsidR="000E107D" w:rsidRDefault="00000000">
      <w:pPr>
        <w:pStyle w:val="Bibliography"/>
      </w:pPr>
      <w:bookmarkStart w:id="80" w:name="ref-Voulgaris2019"/>
      <w:bookmarkEnd w:id="79"/>
      <w:r>
        <w:t xml:space="preserve">Voulgaris, Carole Turley, Michael J. Smart, and Brian D. Taylor. 2019. “Tired of Commuting? Relationships Among Journeys to School, Sleep, and Exercise Among American Teenagers.” </w:t>
      </w:r>
      <w:r>
        <w:rPr>
          <w:i/>
          <w:iCs/>
        </w:rPr>
        <w:t>Journal of Planning Education and Research</w:t>
      </w:r>
      <w:r>
        <w:t xml:space="preserve"> 39 (2): 142–54. </w:t>
      </w:r>
      <w:hyperlink r:id="rId52">
        <w:r w:rsidR="000E107D">
          <w:rPr>
            <w:rStyle w:val="Hyperlink"/>
          </w:rPr>
          <w:t>https://doi.org/10.1177/0739456X17725148</w:t>
        </w:r>
      </w:hyperlink>
      <w:r>
        <w:t>.</w:t>
      </w:r>
    </w:p>
    <w:p w14:paraId="1483A6DA" w14:textId="77777777" w:rsidR="000E107D" w:rsidRDefault="00000000">
      <w:pPr>
        <w:pStyle w:val="Bibliography"/>
      </w:pPr>
      <w:bookmarkStart w:id="81" w:name="ref-WassersteinLazar2016"/>
      <w:bookmarkEnd w:id="80"/>
      <w:r>
        <w:t xml:space="preserve">Wasserstein, Ronald L., and Nicole A. Lazar. 2016. “The ASA Statement on p-Values: Context, Process, and Purpose.” </w:t>
      </w:r>
      <w:r>
        <w:rPr>
          <w:i/>
          <w:iCs/>
        </w:rPr>
        <w:t>The American Statistician</w:t>
      </w:r>
      <w:r>
        <w:t xml:space="preserve"> 70 (2): 129–33. </w:t>
      </w:r>
      <w:hyperlink r:id="rId53">
        <w:r w:rsidR="000E107D">
          <w:rPr>
            <w:rStyle w:val="Hyperlink"/>
          </w:rPr>
          <w:t>https://doi.org/10.1080/00031305.2016.1154108</w:t>
        </w:r>
      </w:hyperlink>
      <w:r>
        <w:t>.</w:t>
      </w:r>
    </w:p>
    <w:p w14:paraId="19A4B61D" w14:textId="77777777" w:rsidR="000E107D" w:rsidRDefault="00000000">
      <w:pPr>
        <w:pStyle w:val="Bibliography"/>
      </w:pPr>
      <w:bookmarkStart w:id="82" w:name="ref-Yeo2019"/>
      <w:bookmarkEnd w:id="81"/>
      <w:r>
        <w:t xml:space="preserve">Yeo, Sing Chen, Anna Mini Jos, Christina Erwin, et al. 2019. “Associations of Sleep Duration on School Nights with Self-Rated Health, Overweight, and Depression Symptoms in Adolescents: Problems and Possible Solutions.” </w:t>
      </w:r>
      <w:r>
        <w:rPr>
          <w:i/>
          <w:iCs/>
        </w:rPr>
        <w:t>Sleep Medicine</w:t>
      </w:r>
      <w:r>
        <w:t xml:space="preserve"> 60: 96–108. </w:t>
      </w:r>
      <w:hyperlink r:id="rId54">
        <w:r w:rsidR="000E107D">
          <w:rPr>
            <w:rStyle w:val="Hyperlink"/>
          </w:rPr>
          <w:t>https://doi.org/10.1016/j.sleep.2018.10.041</w:t>
        </w:r>
      </w:hyperlink>
      <w:r>
        <w:t>.</w:t>
      </w:r>
    </w:p>
    <w:p w14:paraId="5EEB43DC" w14:textId="77777777" w:rsidR="000E107D" w:rsidRDefault="00000000">
      <w:pPr>
        <w:pStyle w:val="Bibliography"/>
      </w:pPr>
      <w:bookmarkStart w:id="83" w:name="ref-Zuccollo2023"/>
      <w:bookmarkEnd w:id="82"/>
      <w:r>
        <w:t xml:space="preserve">Zuccollo, J., J. Cardim Dias, E. Jimenez, and N. Braakmann. 2023. </w:t>
      </w:r>
      <w:r>
        <w:rPr>
          <w:i/>
          <w:iCs/>
        </w:rPr>
        <w:t>The Influence of Headteachers on Their Schools</w:t>
      </w:r>
      <w:r>
        <w:t xml:space="preserve">. Education Policy Institute. </w:t>
      </w:r>
      <w:hyperlink r:id="rId55">
        <w:r w:rsidR="000E107D">
          <w:rPr>
            <w:rStyle w:val="Hyperlink"/>
          </w:rPr>
          <w:t>https://epi.org.uk/publications-and-research/the-influence-of-headteachers-on-their-schools/</w:t>
        </w:r>
      </w:hyperlink>
      <w:r>
        <w:t>.</w:t>
      </w:r>
    </w:p>
    <w:p w14:paraId="4251540D" w14:textId="77777777" w:rsidR="00E32053" w:rsidRDefault="00E32053">
      <w:pPr>
        <w:spacing w:after="200" w:line="240" w:lineRule="auto"/>
        <w:rPr>
          <w:rFonts w:cs="Arial"/>
          <w:b/>
          <w:bCs/>
          <w:kern w:val="32"/>
          <w:szCs w:val="32"/>
        </w:rPr>
      </w:pPr>
      <w:bookmarkStart w:id="84" w:name="figures-and-tables"/>
      <w:bookmarkEnd w:id="29"/>
      <w:bookmarkEnd w:id="31"/>
      <w:bookmarkEnd w:id="83"/>
      <w:r>
        <w:br w:type="page"/>
      </w:r>
    </w:p>
    <w:p w14:paraId="02973A26" w14:textId="4BC792A3" w:rsidR="000E107D" w:rsidRDefault="00000000">
      <w:pPr>
        <w:pStyle w:val="Heading1"/>
      </w:pPr>
      <w:r>
        <w:lastRenderedPageBreak/>
        <w:t>Figures and Tables</w:t>
      </w:r>
    </w:p>
    <w:tbl>
      <w:tblPr>
        <w:tblStyle w:val="Table"/>
        <w:tblW w:w="5000" w:type="pct"/>
        <w:tblLayout w:type="fixed"/>
        <w:tblLook w:val="0000" w:firstRow="0" w:lastRow="0" w:firstColumn="0" w:lastColumn="0" w:noHBand="0" w:noVBand="0"/>
      </w:tblPr>
      <w:tblGrid>
        <w:gridCol w:w="9446"/>
      </w:tblGrid>
      <w:tr w:rsidR="000E107D" w14:paraId="700C4332" w14:textId="77777777">
        <w:tc>
          <w:tcPr>
            <w:tcW w:w="7920" w:type="dxa"/>
          </w:tcPr>
          <w:p w14:paraId="7E9E7481" w14:textId="77777777" w:rsidR="000E107D" w:rsidRDefault="00000000">
            <w:pPr>
              <w:pStyle w:val="ImageCaption"/>
              <w:spacing w:before="200"/>
            </w:pPr>
            <w:bookmarkStart w:id="85" w:name="tbl-stepwise"/>
            <w:r>
              <w:t>Table 1: Stepwise progression to the full multilevel model for overall Attainment 8.</w:t>
            </w:r>
          </w:p>
          <w:tbl>
            <w:tblPr>
              <w:tblStyle w:val="Table"/>
              <w:tblW w:w="5000" w:type="pct"/>
              <w:tblLayout w:type="fixed"/>
              <w:tblLook w:val="0020" w:firstRow="1" w:lastRow="0" w:firstColumn="0" w:lastColumn="0" w:noHBand="0" w:noVBand="0"/>
            </w:tblPr>
            <w:tblGrid>
              <w:gridCol w:w="2270"/>
              <w:gridCol w:w="781"/>
              <w:gridCol w:w="496"/>
              <w:gridCol w:w="780"/>
              <w:gridCol w:w="496"/>
              <w:gridCol w:w="780"/>
              <w:gridCol w:w="496"/>
              <w:gridCol w:w="780"/>
              <w:gridCol w:w="496"/>
              <w:gridCol w:w="780"/>
              <w:gridCol w:w="1205"/>
            </w:tblGrid>
            <w:tr w:rsidR="00E32053" w14:paraId="0A870539" w14:textId="77777777" w:rsidTr="005C741E">
              <w:trPr>
                <w:cnfStyle w:val="100000000000" w:firstRow="1" w:lastRow="0" w:firstColumn="0" w:lastColumn="0" w:oddVBand="0" w:evenVBand="0" w:oddHBand="0" w:evenHBand="0" w:firstRowFirstColumn="0" w:firstRowLastColumn="0" w:lastRowFirstColumn="0" w:lastRowLastColumn="0"/>
                <w:tblHeader/>
              </w:trPr>
              <w:tc>
                <w:tcPr>
                  <w:tcW w:w="2270" w:type="dxa"/>
                </w:tcPr>
                <w:p w14:paraId="20203EF2" w14:textId="77777777" w:rsidR="00E32053" w:rsidRDefault="00E32053" w:rsidP="00E32053">
                  <w:pPr>
                    <w:pStyle w:val="Compact"/>
                    <w:jc w:val="center"/>
                  </w:pPr>
                </w:p>
              </w:tc>
              <w:tc>
                <w:tcPr>
                  <w:tcW w:w="1277" w:type="dxa"/>
                  <w:gridSpan w:val="2"/>
                </w:tcPr>
                <w:p w14:paraId="0E9CBDD7" w14:textId="5EDA19D2" w:rsidR="00E32053" w:rsidRDefault="00E32053" w:rsidP="00E32053">
                  <w:pPr>
                    <w:pStyle w:val="Compact"/>
                    <w:jc w:val="center"/>
                  </w:pPr>
                  <w:r w:rsidRPr="00440721">
                    <w:rPr>
                      <w:b/>
                      <w:bCs/>
                    </w:rPr>
                    <w:t>M1: FSM</w:t>
                  </w:r>
                </w:p>
              </w:tc>
              <w:tc>
                <w:tcPr>
                  <w:tcW w:w="1276" w:type="dxa"/>
                  <w:gridSpan w:val="2"/>
                </w:tcPr>
                <w:p w14:paraId="5BDB482D" w14:textId="701D6DA5" w:rsidR="00E32053" w:rsidRDefault="00E32053" w:rsidP="00E32053">
                  <w:pPr>
                    <w:pStyle w:val="Compact"/>
                    <w:jc w:val="center"/>
                  </w:pPr>
                  <w:r w:rsidRPr="00440721">
                    <w:rPr>
                      <w:b/>
                      <w:bCs/>
                    </w:rPr>
                    <w:t>M2: + Absence</w:t>
                  </w:r>
                </w:p>
              </w:tc>
              <w:tc>
                <w:tcPr>
                  <w:tcW w:w="1276" w:type="dxa"/>
                  <w:gridSpan w:val="2"/>
                </w:tcPr>
                <w:p w14:paraId="156BFF3C" w14:textId="34044369" w:rsidR="00E32053" w:rsidRDefault="00E32053" w:rsidP="00E32053">
                  <w:pPr>
                    <w:pStyle w:val="Compact"/>
                    <w:jc w:val="center"/>
                  </w:pPr>
                  <w:r w:rsidRPr="00440721">
                    <w:rPr>
                      <w:b/>
                      <w:bCs/>
                    </w:rPr>
                    <w:t>M3: +Prior</w:t>
                  </w:r>
                </w:p>
              </w:tc>
              <w:tc>
                <w:tcPr>
                  <w:tcW w:w="1276" w:type="dxa"/>
                  <w:gridSpan w:val="2"/>
                </w:tcPr>
                <w:p w14:paraId="76F3E29E" w14:textId="229ADF59" w:rsidR="00E32053" w:rsidRDefault="00E32053" w:rsidP="00E32053">
                  <w:pPr>
                    <w:pStyle w:val="Compact"/>
                    <w:jc w:val="center"/>
                  </w:pPr>
                  <w:r w:rsidRPr="00440721">
                    <w:rPr>
                      <w:b/>
                      <w:bCs/>
                    </w:rPr>
                    <w:t>M4: All Fixed</w:t>
                  </w:r>
                </w:p>
              </w:tc>
              <w:tc>
                <w:tcPr>
                  <w:tcW w:w="1985" w:type="dxa"/>
                  <w:gridSpan w:val="2"/>
                </w:tcPr>
                <w:p w14:paraId="79CEB873" w14:textId="2A7728C2" w:rsidR="00E32053" w:rsidRDefault="00E32053" w:rsidP="00E32053">
                  <w:pPr>
                    <w:pStyle w:val="Compact"/>
                    <w:jc w:val="center"/>
                  </w:pPr>
                  <w:r w:rsidRPr="00440721">
                    <w:rPr>
                      <w:b/>
                      <w:bCs/>
                    </w:rPr>
                    <w:t>M5: Full LME</w:t>
                  </w:r>
                </w:p>
              </w:tc>
            </w:tr>
            <w:tr w:rsidR="000E107D" w14:paraId="21528F7C" w14:textId="77777777" w:rsidTr="00E32053">
              <w:trPr>
                <w:cnfStyle w:val="100000000000" w:firstRow="1" w:lastRow="0" w:firstColumn="0" w:lastColumn="0" w:oddVBand="0" w:evenVBand="0" w:oddHBand="0" w:evenHBand="0" w:firstRowFirstColumn="0" w:firstRowLastColumn="0" w:lastRowFirstColumn="0" w:lastRowLastColumn="0"/>
                <w:tblHeader/>
              </w:trPr>
              <w:tc>
                <w:tcPr>
                  <w:tcW w:w="2270" w:type="dxa"/>
                </w:tcPr>
                <w:p w14:paraId="1FE87B9E" w14:textId="77777777" w:rsidR="000E107D" w:rsidRDefault="00000000">
                  <w:pPr>
                    <w:pStyle w:val="Compact"/>
                    <w:jc w:val="center"/>
                  </w:pPr>
                  <w:r>
                    <w:t>Variable</w:t>
                  </w:r>
                </w:p>
              </w:tc>
              <w:tc>
                <w:tcPr>
                  <w:tcW w:w="781" w:type="dxa"/>
                </w:tcPr>
                <w:p w14:paraId="34DB2574" w14:textId="77777777" w:rsidR="000E107D" w:rsidRDefault="00000000">
                  <w:pPr>
                    <w:pStyle w:val="Compact"/>
                    <w:jc w:val="center"/>
                  </w:pPr>
                  <w:r>
                    <w:t>Est.</w:t>
                  </w:r>
                </w:p>
              </w:tc>
              <w:tc>
                <w:tcPr>
                  <w:tcW w:w="496" w:type="dxa"/>
                </w:tcPr>
                <w:p w14:paraId="5638B0CD" w14:textId="77777777" w:rsidR="000E107D" w:rsidRDefault="00000000">
                  <w:pPr>
                    <w:pStyle w:val="Compact"/>
                    <w:jc w:val="center"/>
                  </w:pPr>
                  <w:r>
                    <w:t>t</w:t>
                  </w:r>
                </w:p>
              </w:tc>
              <w:tc>
                <w:tcPr>
                  <w:tcW w:w="780" w:type="dxa"/>
                </w:tcPr>
                <w:p w14:paraId="57E38442" w14:textId="77777777" w:rsidR="000E107D" w:rsidRDefault="00000000">
                  <w:pPr>
                    <w:pStyle w:val="Compact"/>
                    <w:jc w:val="center"/>
                  </w:pPr>
                  <w:r>
                    <w:t>Est.</w:t>
                  </w:r>
                </w:p>
              </w:tc>
              <w:tc>
                <w:tcPr>
                  <w:tcW w:w="496" w:type="dxa"/>
                </w:tcPr>
                <w:p w14:paraId="4E55C55F" w14:textId="77777777" w:rsidR="000E107D" w:rsidRDefault="00000000">
                  <w:pPr>
                    <w:pStyle w:val="Compact"/>
                    <w:jc w:val="center"/>
                  </w:pPr>
                  <w:r>
                    <w:t>t</w:t>
                  </w:r>
                </w:p>
              </w:tc>
              <w:tc>
                <w:tcPr>
                  <w:tcW w:w="780" w:type="dxa"/>
                </w:tcPr>
                <w:p w14:paraId="4B81AED8" w14:textId="77777777" w:rsidR="000E107D" w:rsidRDefault="00000000">
                  <w:pPr>
                    <w:pStyle w:val="Compact"/>
                    <w:jc w:val="center"/>
                  </w:pPr>
                  <w:r>
                    <w:t>Est.</w:t>
                  </w:r>
                </w:p>
              </w:tc>
              <w:tc>
                <w:tcPr>
                  <w:tcW w:w="496" w:type="dxa"/>
                </w:tcPr>
                <w:p w14:paraId="491D6C6F" w14:textId="77777777" w:rsidR="000E107D" w:rsidRDefault="00000000">
                  <w:pPr>
                    <w:pStyle w:val="Compact"/>
                    <w:jc w:val="center"/>
                  </w:pPr>
                  <w:r>
                    <w:t>t</w:t>
                  </w:r>
                </w:p>
              </w:tc>
              <w:tc>
                <w:tcPr>
                  <w:tcW w:w="780" w:type="dxa"/>
                </w:tcPr>
                <w:p w14:paraId="08D5C19C" w14:textId="77777777" w:rsidR="000E107D" w:rsidRDefault="00000000">
                  <w:pPr>
                    <w:pStyle w:val="Compact"/>
                    <w:jc w:val="center"/>
                  </w:pPr>
                  <w:r>
                    <w:t>Est.</w:t>
                  </w:r>
                </w:p>
              </w:tc>
              <w:tc>
                <w:tcPr>
                  <w:tcW w:w="496" w:type="dxa"/>
                </w:tcPr>
                <w:p w14:paraId="0B7124A3" w14:textId="77777777" w:rsidR="000E107D" w:rsidRDefault="00000000">
                  <w:pPr>
                    <w:pStyle w:val="Compact"/>
                    <w:jc w:val="center"/>
                  </w:pPr>
                  <w:r>
                    <w:t>t</w:t>
                  </w:r>
                </w:p>
              </w:tc>
              <w:tc>
                <w:tcPr>
                  <w:tcW w:w="780" w:type="dxa"/>
                </w:tcPr>
                <w:p w14:paraId="0E974614" w14:textId="77777777" w:rsidR="000E107D" w:rsidRDefault="00000000">
                  <w:pPr>
                    <w:pStyle w:val="Compact"/>
                    <w:jc w:val="center"/>
                  </w:pPr>
                  <w:r>
                    <w:t>Est.</w:t>
                  </w:r>
                </w:p>
              </w:tc>
              <w:tc>
                <w:tcPr>
                  <w:tcW w:w="1205" w:type="dxa"/>
                </w:tcPr>
                <w:p w14:paraId="5C681DF8" w14:textId="77777777" w:rsidR="000E107D" w:rsidRDefault="00000000">
                  <w:pPr>
                    <w:pStyle w:val="Compact"/>
                    <w:jc w:val="center"/>
                  </w:pPr>
                  <w:r>
                    <w:t>t</w:t>
                  </w:r>
                </w:p>
              </w:tc>
            </w:tr>
            <w:tr w:rsidR="000E107D" w14:paraId="39A56D0E" w14:textId="77777777" w:rsidTr="00E32053">
              <w:tc>
                <w:tcPr>
                  <w:tcW w:w="2270" w:type="dxa"/>
                </w:tcPr>
                <w:p w14:paraId="77573A19" w14:textId="77777777" w:rsidR="000E107D" w:rsidRDefault="00000000">
                  <w:pPr>
                    <w:pStyle w:val="Compact"/>
                    <w:jc w:val="center"/>
                  </w:pPr>
                  <w:r>
                    <w:t>(Intercept)</w:t>
                  </w:r>
                </w:p>
              </w:tc>
              <w:tc>
                <w:tcPr>
                  <w:tcW w:w="781" w:type="dxa"/>
                </w:tcPr>
                <w:p w14:paraId="685CB7CE" w14:textId="77777777" w:rsidR="000E107D" w:rsidRDefault="00000000">
                  <w:pPr>
                    <w:pStyle w:val="Compact"/>
                    <w:jc w:val="center"/>
                  </w:pPr>
                  <w:r>
                    <w:t>4.473 ***</w:t>
                  </w:r>
                </w:p>
              </w:tc>
              <w:tc>
                <w:tcPr>
                  <w:tcW w:w="496" w:type="dxa"/>
                </w:tcPr>
                <w:p w14:paraId="48045B3D" w14:textId="77777777" w:rsidR="000E107D" w:rsidRDefault="00000000">
                  <w:pPr>
                    <w:pStyle w:val="Compact"/>
                    <w:jc w:val="center"/>
                  </w:pPr>
                  <w:r>
                    <w:t>621.25</w:t>
                  </w:r>
                </w:p>
              </w:tc>
              <w:tc>
                <w:tcPr>
                  <w:tcW w:w="780" w:type="dxa"/>
                </w:tcPr>
                <w:p w14:paraId="6A2D013C" w14:textId="77777777" w:rsidR="000E107D" w:rsidRDefault="00000000">
                  <w:pPr>
                    <w:pStyle w:val="Compact"/>
                    <w:jc w:val="center"/>
                  </w:pPr>
                  <w:r>
                    <w:t>5.006 ***</w:t>
                  </w:r>
                </w:p>
              </w:tc>
              <w:tc>
                <w:tcPr>
                  <w:tcW w:w="496" w:type="dxa"/>
                </w:tcPr>
                <w:p w14:paraId="5B953EFA" w14:textId="77777777" w:rsidR="000E107D" w:rsidRDefault="00000000">
                  <w:pPr>
                    <w:pStyle w:val="Compact"/>
                    <w:jc w:val="center"/>
                  </w:pPr>
                  <w:r>
                    <w:t>579.97</w:t>
                  </w:r>
                </w:p>
              </w:tc>
              <w:tc>
                <w:tcPr>
                  <w:tcW w:w="780" w:type="dxa"/>
                </w:tcPr>
                <w:p w14:paraId="079DD10B" w14:textId="77777777" w:rsidR="000E107D" w:rsidRDefault="00000000">
                  <w:pPr>
                    <w:pStyle w:val="Compact"/>
                    <w:jc w:val="center"/>
                  </w:pPr>
                  <w:r>
                    <w:t>4.412 ***</w:t>
                  </w:r>
                </w:p>
              </w:tc>
              <w:tc>
                <w:tcPr>
                  <w:tcW w:w="496" w:type="dxa"/>
                </w:tcPr>
                <w:p w14:paraId="4C694CC4" w14:textId="77777777" w:rsidR="000E107D" w:rsidRDefault="00000000">
                  <w:pPr>
                    <w:pStyle w:val="Compact"/>
                    <w:jc w:val="center"/>
                  </w:pPr>
                  <w:r>
                    <w:t>345.92</w:t>
                  </w:r>
                </w:p>
              </w:tc>
              <w:tc>
                <w:tcPr>
                  <w:tcW w:w="780" w:type="dxa"/>
                </w:tcPr>
                <w:p w14:paraId="7EB2D6C3" w14:textId="77777777" w:rsidR="000E107D" w:rsidRDefault="00000000">
                  <w:pPr>
                    <w:pStyle w:val="Compact"/>
                    <w:jc w:val="center"/>
                  </w:pPr>
                  <w:r>
                    <w:t>4.304 ***</w:t>
                  </w:r>
                </w:p>
              </w:tc>
              <w:tc>
                <w:tcPr>
                  <w:tcW w:w="496" w:type="dxa"/>
                </w:tcPr>
                <w:p w14:paraId="2DE5F5B2" w14:textId="77777777" w:rsidR="000E107D" w:rsidRDefault="00000000">
                  <w:pPr>
                    <w:pStyle w:val="Compact"/>
                    <w:jc w:val="center"/>
                  </w:pPr>
                  <w:r>
                    <w:t>263.27</w:t>
                  </w:r>
                </w:p>
              </w:tc>
              <w:tc>
                <w:tcPr>
                  <w:tcW w:w="780" w:type="dxa"/>
                </w:tcPr>
                <w:p w14:paraId="6A0F7512" w14:textId="77777777" w:rsidR="000E107D" w:rsidRDefault="00000000">
                  <w:pPr>
                    <w:pStyle w:val="Compact"/>
                    <w:jc w:val="center"/>
                  </w:pPr>
                  <w:r>
                    <w:t>4.261 ***</w:t>
                  </w:r>
                </w:p>
              </w:tc>
              <w:tc>
                <w:tcPr>
                  <w:tcW w:w="1205" w:type="dxa"/>
                </w:tcPr>
                <w:p w14:paraId="6E0B1159" w14:textId="77777777" w:rsidR="000E107D" w:rsidRDefault="00000000">
                  <w:pPr>
                    <w:pStyle w:val="Compact"/>
                    <w:jc w:val="center"/>
                  </w:pPr>
                  <w:r>
                    <w:t>114.98</w:t>
                  </w:r>
                </w:p>
              </w:tc>
            </w:tr>
            <w:tr w:rsidR="000E107D" w14:paraId="2AD9DB93" w14:textId="77777777" w:rsidTr="00E32053">
              <w:tc>
                <w:tcPr>
                  <w:tcW w:w="2270" w:type="dxa"/>
                </w:tcPr>
                <w:p w14:paraId="1A559751" w14:textId="77777777" w:rsidR="000E107D" w:rsidRDefault="00000000">
                  <w:pPr>
                    <w:pStyle w:val="Compact"/>
                    <w:jc w:val="center"/>
                  </w:pPr>
                  <w:r>
                    <w:t>log(% FSM)</w:t>
                  </w:r>
                </w:p>
              </w:tc>
              <w:tc>
                <w:tcPr>
                  <w:tcW w:w="781" w:type="dxa"/>
                </w:tcPr>
                <w:p w14:paraId="609AC11C" w14:textId="77777777" w:rsidR="000E107D" w:rsidRDefault="00000000">
                  <w:pPr>
                    <w:pStyle w:val="Compact"/>
                    <w:jc w:val="center"/>
                  </w:pPr>
                  <w:r>
                    <w:t>-0.201 ***</w:t>
                  </w:r>
                </w:p>
              </w:tc>
              <w:tc>
                <w:tcPr>
                  <w:tcW w:w="496" w:type="dxa"/>
                </w:tcPr>
                <w:p w14:paraId="2BEF4257" w14:textId="77777777" w:rsidR="000E107D" w:rsidRDefault="00000000">
                  <w:pPr>
                    <w:pStyle w:val="Compact"/>
                    <w:jc w:val="center"/>
                  </w:pPr>
                  <w:r>
                    <w:t>-88.94</w:t>
                  </w:r>
                </w:p>
              </w:tc>
              <w:tc>
                <w:tcPr>
                  <w:tcW w:w="780" w:type="dxa"/>
                </w:tcPr>
                <w:p w14:paraId="14D0BE0D" w14:textId="77777777" w:rsidR="000E107D" w:rsidRDefault="00000000">
                  <w:pPr>
                    <w:pStyle w:val="Compact"/>
                    <w:jc w:val="center"/>
                  </w:pPr>
                  <w:r>
                    <w:t>-0.122 ***</w:t>
                  </w:r>
                </w:p>
              </w:tc>
              <w:tc>
                <w:tcPr>
                  <w:tcW w:w="496" w:type="dxa"/>
                </w:tcPr>
                <w:p w14:paraId="2717C646" w14:textId="77777777" w:rsidR="000E107D" w:rsidRDefault="00000000">
                  <w:pPr>
                    <w:pStyle w:val="Compact"/>
                    <w:jc w:val="center"/>
                  </w:pPr>
                  <w:r>
                    <w:t>-59.66</w:t>
                  </w:r>
                </w:p>
              </w:tc>
              <w:tc>
                <w:tcPr>
                  <w:tcW w:w="780" w:type="dxa"/>
                </w:tcPr>
                <w:p w14:paraId="561E4531" w14:textId="77777777" w:rsidR="000E107D" w:rsidRDefault="00000000">
                  <w:pPr>
                    <w:pStyle w:val="Compact"/>
                    <w:jc w:val="center"/>
                  </w:pPr>
                  <w:r>
                    <w:t>-0.047 ***</w:t>
                  </w:r>
                </w:p>
              </w:tc>
              <w:tc>
                <w:tcPr>
                  <w:tcW w:w="496" w:type="dxa"/>
                </w:tcPr>
                <w:p w14:paraId="625159DE" w14:textId="77777777" w:rsidR="000E107D" w:rsidRDefault="00000000">
                  <w:pPr>
                    <w:pStyle w:val="Compact"/>
                    <w:jc w:val="center"/>
                  </w:pPr>
                  <w:r>
                    <w:t>-21.04</w:t>
                  </w:r>
                </w:p>
              </w:tc>
              <w:tc>
                <w:tcPr>
                  <w:tcW w:w="780" w:type="dxa"/>
                </w:tcPr>
                <w:p w14:paraId="65F17728" w14:textId="77777777" w:rsidR="000E107D" w:rsidRDefault="00000000">
                  <w:pPr>
                    <w:pStyle w:val="Compact"/>
                    <w:jc w:val="center"/>
                  </w:pPr>
                  <w:r>
                    <w:t>-0.054 ***</w:t>
                  </w:r>
                </w:p>
              </w:tc>
              <w:tc>
                <w:tcPr>
                  <w:tcW w:w="496" w:type="dxa"/>
                </w:tcPr>
                <w:p w14:paraId="7B752DBE" w14:textId="77777777" w:rsidR="000E107D" w:rsidRDefault="00000000">
                  <w:pPr>
                    <w:pStyle w:val="Compact"/>
                    <w:jc w:val="center"/>
                  </w:pPr>
                  <w:r>
                    <w:t>-21.47</w:t>
                  </w:r>
                </w:p>
              </w:tc>
              <w:tc>
                <w:tcPr>
                  <w:tcW w:w="780" w:type="dxa"/>
                </w:tcPr>
                <w:p w14:paraId="5968C7A9" w14:textId="77777777" w:rsidR="000E107D" w:rsidRDefault="00000000">
                  <w:pPr>
                    <w:pStyle w:val="Compact"/>
                    <w:jc w:val="center"/>
                  </w:pPr>
                  <w:r>
                    <w:t>-0.050 ***</w:t>
                  </w:r>
                </w:p>
              </w:tc>
              <w:tc>
                <w:tcPr>
                  <w:tcW w:w="1205" w:type="dxa"/>
                </w:tcPr>
                <w:p w14:paraId="23C07F21" w14:textId="77777777" w:rsidR="000E107D" w:rsidRDefault="00000000">
                  <w:pPr>
                    <w:pStyle w:val="Compact"/>
                    <w:jc w:val="center"/>
                  </w:pPr>
                  <w:r>
                    <w:t>-18.18</w:t>
                  </w:r>
                </w:p>
              </w:tc>
            </w:tr>
            <w:tr w:rsidR="000E107D" w14:paraId="15065EF0" w14:textId="77777777" w:rsidTr="00E32053">
              <w:tc>
                <w:tcPr>
                  <w:tcW w:w="2270" w:type="dxa"/>
                </w:tcPr>
                <w:p w14:paraId="02C94DEE" w14:textId="77777777" w:rsidR="000E107D" w:rsidRDefault="00000000">
                  <w:pPr>
                    <w:pStyle w:val="Compact"/>
                    <w:jc w:val="center"/>
                  </w:pPr>
                  <w:r>
                    <w:t>log(% Absence)</w:t>
                  </w:r>
                </w:p>
              </w:tc>
              <w:tc>
                <w:tcPr>
                  <w:tcW w:w="781" w:type="dxa"/>
                </w:tcPr>
                <w:p w14:paraId="7FBF476C" w14:textId="77777777" w:rsidR="000E107D" w:rsidRDefault="000E107D">
                  <w:pPr>
                    <w:pStyle w:val="Compact"/>
                  </w:pPr>
                </w:p>
              </w:tc>
              <w:tc>
                <w:tcPr>
                  <w:tcW w:w="496" w:type="dxa"/>
                </w:tcPr>
                <w:p w14:paraId="682401A1" w14:textId="77777777" w:rsidR="000E107D" w:rsidRDefault="000E107D">
                  <w:pPr>
                    <w:pStyle w:val="Compact"/>
                  </w:pPr>
                </w:p>
              </w:tc>
              <w:tc>
                <w:tcPr>
                  <w:tcW w:w="780" w:type="dxa"/>
                </w:tcPr>
                <w:p w14:paraId="485F76F2" w14:textId="77777777" w:rsidR="000E107D" w:rsidRDefault="00000000">
                  <w:pPr>
                    <w:pStyle w:val="Compact"/>
                    <w:jc w:val="center"/>
                  </w:pPr>
                  <w:r>
                    <w:t>-0.364 ***</w:t>
                  </w:r>
                </w:p>
              </w:tc>
              <w:tc>
                <w:tcPr>
                  <w:tcW w:w="496" w:type="dxa"/>
                </w:tcPr>
                <w:p w14:paraId="11630C9D" w14:textId="77777777" w:rsidR="000E107D" w:rsidRDefault="00000000">
                  <w:pPr>
                    <w:pStyle w:val="Compact"/>
                    <w:jc w:val="center"/>
                  </w:pPr>
                  <w:r>
                    <w:t>-82.87</w:t>
                  </w:r>
                </w:p>
              </w:tc>
              <w:tc>
                <w:tcPr>
                  <w:tcW w:w="780" w:type="dxa"/>
                </w:tcPr>
                <w:p w14:paraId="1FE7AFB0" w14:textId="77777777" w:rsidR="000E107D" w:rsidRDefault="00000000">
                  <w:pPr>
                    <w:pStyle w:val="Compact"/>
                    <w:jc w:val="center"/>
                  </w:pPr>
                  <w:r>
                    <w:t>-0.259 ***</w:t>
                  </w:r>
                </w:p>
              </w:tc>
              <w:tc>
                <w:tcPr>
                  <w:tcW w:w="496" w:type="dxa"/>
                </w:tcPr>
                <w:p w14:paraId="164BC5D0" w14:textId="77777777" w:rsidR="000E107D" w:rsidRDefault="00000000">
                  <w:pPr>
                    <w:pStyle w:val="Compact"/>
                    <w:jc w:val="center"/>
                  </w:pPr>
                  <w:r>
                    <w:t>-60.47</w:t>
                  </w:r>
                </w:p>
              </w:tc>
              <w:tc>
                <w:tcPr>
                  <w:tcW w:w="780" w:type="dxa"/>
                </w:tcPr>
                <w:p w14:paraId="73F06BFD" w14:textId="77777777" w:rsidR="000E107D" w:rsidRDefault="00000000">
                  <w:pPr>
                    <w:pStyle w:val="Compact"/>
                    <w:jc w:val="center"/>
                  </w:pPr>
                  <w:r>
                    <w:t>-0.229 ***</w:t>
                  </w:r>
                </w:p>
              </w:tc>
              <w:tc>
                <w:tcPr>
                  <w:tcW w:w="496" w:type="dxa"/>
                </w:tcPr>
                <w:p w14:paraId="696BC849" w14:textId="77777777" w:rsidR="000E107D" w:rsidRDefault="00000000">
                  <w:pPr>
                    <w:pStyle w:val="Compact"/>
                    <w:jc w:val="center"/>
                  </w:pPr>
                  <w:r>
                    <w:t>-49.98</w:t>
                  </w:r>
                </w:p>
              </w:tc>
              <w:tc>
                <w:tcPr>
                  <w:tcW w:w="780" w:type="dxa"/>
                </w:tcPr>
                <w:p w14:paraId="66EF90A1" w14:textId="77777777" w:rsidR="000E107D" w:rsidRDefault="00000000">
                  <w:pPr>
                    <w:pStyle w:val="Compact"/>
                    <w:jc w:val="center"/>
                  </w:pPr>
                  <w:r>
                    <w:t>-0.207 ***</w:t>
                  </w:r>
                </w:p>
              </w:tc>
              <w:tc>
                <w:tcPr>
                  <w:tcW w:w="1205" w:type="dxa"/>
                </w:tcPr>
                <w:p w14:paraId="0F8C50D9" w14:textId="77777777" w:rsidR="000E107D" w:rsidRDefault="00000000">
                  <w:pPr>
                    <w:pStyle w:val="Compact"/>
                    <w:jc w:val="center"/>
                  </w:pPr>
                  <w:r>
                    <w:t>-45.74</w:t>
                  </w:r>
                </w:p>
              </w:tc>
            </w:tr>
            <w:tr w:rsidR="000E107D" w14:paraId="09C2BB4E" w14:textId="77777777" w:rsidTr="00E32053">
              <w:tc>
                <w:tcPr>
                  <w:tcW w:w="2270" w:type="dxa"/>
                </w:tcPr>
                <w:p w14:paraId="3074E951" w14:textId="77777777" w:rsidR="000E107D" w:rsidRDefault="00000000">
                  <w:pPr>
                    <w:pStyle w:val="Compact"/>
                    <w:jc w:val="center"/>
                  </w:pPr>
                  <w:r>
                    <w:t>log(% EAL)</w:t>
                  </w:r>
                </w:p>
              </w:tc>
              <w:tc>
                <w:tcPr>
                  <w:tcW w:w="781" w:type="dxa"/>
                </w:tcPr>
                <w:p w14:paraId="102790E2" w14:textId="77777777" w:rsidR="000E107D" w:rsidRDefault="000E107D">
                  <w:pPr>
                    <w:pStyle w:val="Compact"/>
                  </w:pPr>
                </w:p>
              </w:tc>
              <w:tc>
                <w:tcPr>
                  <w:tcW w:w="496" w:type="dxa"/>
                </w:tcPr>
                <w:p w14:paraId="58EDFA61" w14:textId="77777777" w:rsidR="000E107D" w:rsidRDefault="000E107D">
                  <w:pPr>
                    <w:pStyle w:val="Compact"/>
                  </w:pPr>
                </w:p>
              </w:tc>
              <w:tc>
                <w:tcPr>
                  <w:tcW w:w="780" w:type="dxa"/>
                </w:tcPr>
                <w:p w14:paraId="3CAB31A2" w14:textId="77777777" w:rsidR="000E107D" w:rsidRDefault="000E107D">
                  <w:pPr>
                    <w:pStyle w:val="Compact"/>
                  </w:pPr>
                </w:p>
              </w:tc>
              <w:tc>
                <w:tcPr>
                  <w:tcW w:w="496" w:type="dxa"/>
                </w:tcPr>
                <w:p w14:paraId="0E9BD7E4" w14:textId="77777777" w:rsidR="000E107D" w:rsidRDefault="000E107D">
                  <w:pPr>
                    <w:pStyle w:val="Compact"/>
                  </w:pPr>
                </w:p>
              </w:tc>
              <w:tc>
                <w:tcPr>
                  <w:tcW w:w="780" w:type="dxa"/>
                </w:tcPr>
                <w:p w14:paraId="0BB5F69C" w14:textId="77777777" w:rsidR="000E107D" w:rsidRDefault="000E107D">
                  <w:pPr>
                    <w:pStyle w:val="Compact"/>
                  </w:pPr>
                </w:p>
              </w:tc>
              <w:tc>
                <w:tcPr>
                  <w:tcW w:w="496" w:type="dxa"/>
                </w:tcPr>
                <w:p w14:paraId="5EC27BA9" w14:textId="77777777" w:rsidR="000E107D" w:rsidRDefault="000E107D">
                  <w:pPr>
                    <w:pStyle w:val="Compact"/>
                  </w:pPr>
                </w:p>
              </w:tc>
              <w:tc>
                <w:tcPr>
                  <w:tcW w:w="780" w:type="dxa"/>
                </w:tcPr>
                <w:p w14:paraId="660EFD0D" w14:textId="77777777" w:rsidR="000E107D" w:rsidRDefault="00000000">
                  <w:pPr>
                    <w:pStyle w:val="Compact"/>
                    <w:jc w:val="center"/>
                  </w:pPr>
                  <w:r>
                    <w:t>0.013 ***</w:t>
                  </w:r>
                </w:p>
              </w:tc>
              <w:tc>
                <w:tcPr>
                  <w:tcW w:w="496" w:type="dxa"/>
                </w:tcPr>
                <w:p w14:paraId="680EC2D2" w14:textId="77777777" w:rsidR="000E107D" w:rsidRDefault="00000000">
                  <w:pPr>
                    <w:pStyle w:val="Compact"/>
                    <w:jc w:val="center"/>
                  </w:pPr>
                  <w:r>
                    <w:t>12.83</w:t>
                  </w:r>
                </w:p>
              </w:tc>
              <w:tc>
                <w:tcPr>
                  <w:tcW w:w="780" w:type="dxa"/>
                </w:tcPr>
                <w:p w14:paraId="1954F019" w14:textId="77777777" w:rsidR="000E107D" w:rsidRDefault="00000000">
                  <w:pPr>
                    <w:pStyle w:val="Compact"/>
                    <w:jc w:val="center"/>
                  </w:pPr>
                  <w:r>
                    <w:t>0.007 ***</w:t>
                  </w:r>
                </w:p>
              </w:tc>
              <w:tc>
                <w:tcPr>
                  <w:tcW w:w="1205" w:type="dxa"/>
                </w:tcPr>
                <w:p w14:paraId="6A8BA195" w14:textId="77777777" w:rsidR="000E107D" w:rsidRDefault="00000000">
                  <w:pPr>
                    <w:pStyle w:val="Compact"/>
                    <w:jc w:val="center"/>
                  </w:pPr>
                  <w:r>
                    <w:t>6.09</w:t>
                  </w:r>
                </w:p>
              </w:tc>
            </w:tr>
            <w:tr w:rsidR="000E107D" w14:paraId="1AA7BBD7" w14:textId="77777777" w:rsidTr="00E32053">
              <w:tc>
                <w:tcPr>
                  <w:tcW w:w="2270" w:type="dxa"/>
                </w:tcPr>
                <w:p w14:paraId="0E986193" w14:textId="77777777" w:rsidR="000E107D" w:rsidRDefault="00000000">
                  <w:pPr>
                    <w:pStyle w:val="Compact"/>
                    <w:jc w:val="center"/>
                  </w:pPr>
                  <w:r>
                    <w:t>Mean KS2 Prior Attainment</w:t>
                  </w:r>
                </w:p>
              </w:tc>
              <w:tc>
                <w:tcPr>
                  <w:tcW w:w="781" w:type="dxa"/>
                </w:tcPr>
                <w:p w14:paraId="06E40DC3" w14:textId="77777777" w:rsidR="000E107D" w:rsidRDefault="000E107D">
                  <w:pPr>
                    <w:pStyle w:val="Compact"/>
                  </w:pPr>
                </w:p>
              </w:tc>
              <w:tc>
                <w:tcPr>
                  <w:tcW w:w="496" w:type="dxa"/>
                </w:tcPr>
                <w:p w14:paraId="75F09EA5" w14:textId="77777777" w:rsidR="000E107D" w:rsidRDefault="000E107D">
                  <w:pPr>
                    <w:pStyle w:val="Compact"/>
                  </w:pPr>
                </w:p>
              </w:tc>
              <w:tc>
                <w:tcPr>
                  <w:tcW w:w="780" w:type="dxa"/>
                </w:tcPr>
                <w:p w14:paraId="2B03119C" w14:textId="77777777" w:rsidR="000E107D" w:rsidRDefault="000E107D">
                  <w:pPr>
                    <w:pStyle w:val="Compact"/>
                  </w:pPr>
                </w:p>
              </w:tc>
              <w:tc>
                <w:tcPr>
                  <w:tcW w:w="496" w:type="dxa"/>
                </w:tcPr>
                <w:p w14:paraId="2FC75647" w14:textId="77777777" w:rsidR="000E107D" w:rsidRDefault="000E107D">
                  <w:pPr>
                    <w:pStyle w:val="Compact"/>
                  </w:pPr>
                </w:p>
              </w:tc>
              <w:tc>
                <w:tcPr>
                  <w:tcW w:w="780" w:type="dxa"/>
                </w:tcPr>
                <w:p w14:paraId="0D45BC03" w14:textId="77777777" w:rsidR="000E107D" w:rsidRDefault="00000000">
                  <w:pPr>
                    <w:pStyle w:val="Compact"/>
                    <w:jc w:val="center"/>
                  </w:pPr>
                  <w:r>
                    <w:t>0.031 ***</w:t>
                  </w:r>
                </w:p>
              </w:tc>
              <w:tc>
                <w:tcPr>
                  <w:tcW w:w="496" w:type="dxa"/>
                </w:tcPr>
                <w:p w14:paraId="474A66E0" w14:textId="77777777" w:rsidR="000E107D" w:rsidRDefault="00000000">
                  <w:pPr>
                    <w:pStyle w:val="Compact"/>
                    <w:jc w:val="center"/>
                  </w:pPr>
                  <w:r>
                    <w:t>58.18</w:t>
                  </w:r>
                </w:p>
              </w:tc>
              <w:tc>
                <w:tcPr>
                  <w:tcW w:w="780" w:type="dxa"/>
                </w:tcPr>
                <w:p w14:paraId="0C598A87" w14:textId="77777777" w:rsidR="000E107D" w:rsidRDefault="00000000">
                  <w:pPr>
                    <w:pStyle w:val="Compact"/>
                    <w:jc w:val="center"/>
                  </w:pPr>
                  <w:r>
                    <w:t>0.030 ***</w:t>
                  </w:r>
                </w:p>
              </w:tc>
              <w:tc>
                <w:tcPr>
                  <w:tcW w:w="496" w:type="dxa"/>
                </w:tcPr>
                <w:p w14:paraId="622406C7" w14:textId="77777777" w:rsidR="000E107D" w:rsidRDefault="00000000">
                  <w:pPr>
                    <w:pStyle w:val="Compact"/>
                    <w:jc w:val="center"/>
                  </w:pPr>
                  <w:r>
                    <w:t>46.70</w:t>
                  </w:r>
                </w:p>
              </w:tc>
              <w:tc>
                <w:tcPr>
                  <w:tcW w:w="780" w:type="dxa"/>
                </w:tcPr>
                <w:p w14:paraId="1B24E0CE" w14:textId="77777777" w:rsidR="000E107D" w:rsidRDefault="00000000">
                  <w:pPr>
                    <w:pStyle w:val="Compact"/>
                    <w:jc w:val="center"/>
                  </w:pPr>
                  <w:r>
                    <w:t>0.032 ***</w:t>
                  </w:r>
                </w:p>
              </w:tc>
              <w:tc>
                <w:tcPr>
                  <w:tcW w:w="1205" w:type="dxa"/>
                </w:tcPr>
                <w:p w14:paraId="70D0F083" w14:textId="77777777" w:rsidR="000E107D" w:rsidRDefault="00000000">
                  <w:pPr>
                    <w:pStyle w:val="Compact"/>
                    <w:jc w:val="center"/>
                  </w:pPr>
                  <w:r>
                    <w:t>48.46</w:t>
                  </w:r>
                </w:p>
              </w:tc>
            </w:tr>
            <w:tr w:rsidR="000E107D" w14:paraId="7A8DAB5C" w14:textId="77777777" w:rsidTr="00E32053">
              <w:tc>
                <w:tcPr>
                  <w:tcW w:w="2270" w:type="dxa"/>
                </w:tcPr>
                <w:p w14:paraId="2FDDF076" w14:textId="77777777" w:rsidR="000E107D" w:rsidRDefault="00000000">
                  <w:pPr>
                    <w:pStyle w:val="Compact"/>
                    <w:jc w:val="center"/>
                  </w:pPr>
                  <w:r>
                    <w:t>Admissions: Other non-selective</w:t>
                  </w:r>
                </w:p>
              </w:tc>
              <w:tc>
                <w:tcPr>
                  <w:tcW w:w="781" w:type="dxa"/>
                </w:tcPr>
                <w:p w14:paraId="705EB209" w14:textId="77777777" w:rsidR="000E107D" w:rsidRDefault="000E107D">
                  <w:pPr>
                    <w:pStyle w:val="Compact"/>
                  </w:pPr>
                </w:p>
              </w:tc>
              <w:tc>
                <w:tcPr>
                  <w:tcW w:w="496" w:type="dxa"/>
                </w:tcPr>
                <w:p w14:paraId="7BE0F4EF" w14:textId="77777777" w:rsidR="000E107D" w:rsidRDefault="000E107D">
                  <w:pPr>
                    <w:pStyle w:val="Compact"/>
                  </w:pPr>
                </w:p>
              </w:tc>
              <w:tc>
                <w:tcPr>
                  <w:tcW w:w="780" w:type="dxa"/>
                </w:tcPr>
                <w:p w14:paraId="002163CC" w14:textId="77777777" w:rsidR="000E107D" w:rsidRDefault="000E107D">
                  <w:pPr>
                    <w:pStyle w:val="Compact"/>
                  </w:pPr>
                </w:p>
              </w:tc>
              <w:tc>
                <w:tcPr>
                  <w:tcW w:w="496" w:type="dxa"/>
                </w:tcPr>
                <w:p w14:paraId="1BFE3D0A" w14:textId="77777777" w:rsidR="000E107D" w:rsidRDefault="000E107D">
                  <w:pPr>
                    <w:pStyle w:val="Compact"/>
                  </w:pPr>
                </w:p>
              </w:tc>
              <w:tc>
                <w:tcPr>
                  <w:tcW w:w="780" w:type="dxa"/>
                </w:tcPr>
                <w:p w14:paraId="03785765" w14:textId="77777777" w:rsidR="000E107D" w:rsidRDefault="000E107D">
                  <w:pPr>
                    <w:pStyle w:val="Compact"/>
                  </w:pPr>
                </w:p>
              </w:tc>
              <w:tc>
                <w:tcPr>
                  <w:tcW w:w="496" w:type="dxa"/>
                </w:tcPr>
                <w:p w14:paraId="3ABD6661" w14:textId="77777777" w:rsidR="000E107D" w:rsidRDefault="000E107D">
                  <w:pPr>
                    <w:pStyle w:val="Compact"/>
                  </w:pPr>
                </w:p>
              </w:tc>
              <w:tc>
                <w:tcPr>
                  <w:tcW w:w="780" w:type="dxa"/>
                </w:tcPr>
                <w:p w14:paraId="0F0D62EB" w14:textId="77777777" w:rsidR="000E107D" w:rsidRDefault="00000000">
                  <w:pPr>
                    <w:pStyle w:val="Compact"/>
                    <w:jc w:val="center"/>
                  </w:pPr>
                  <w:r>
                    <w:t>0.039 ***</w:t>
                  </w:r>
                </w:p>
              </w:tc>
              <w:tc>
                <w:tcPr>
                  <w:tcW w:w="496" w:type="dxa"/>
                </w:tcPr>
                <w:p w14:paraId="0F989662" w14:textId="77777777" w:rsidR="000E107D" w:rsidRDefault="00000000">
                  <w:pPr>
                    <w:pStyle w:val="Compact"/>
                    <w:jc w:val="center"/>
                  </w:pPr>
                  <w:r>
                    <w:t>8.73</w:t>
                  </w:r>
                </w:p>
              </w:tc>
              <w:tc>
                <w:tcPr>
                  <w:tcW w:w="780" w:type="dxa"/>
                </w:tcPr>
                <w:p w14:paraId="6BCDEC3D" w14:textId="77777777" w:rsidR="000E107D" w:rsidRDefault="00000000">
                  <w:pPr>
                    <w:pStyle w:val="Compact"/>
                    <w:jc w:val="center"/>
                  </w:pPr>
                  <w:r>
                    <w:t>0.028 ***</w:t>
                  </w:r>
                </w:p>
              </w:tc>
              <w:tc>
                <w:tcPr>
                  <w:tcW w:w="1205" w:type="dxa"/>
                </w:tcPr>
                <w:p w14:paraId="55ECDAAB" w14:textId="77777777" w:rsidR="000E107D" w:rsidRDefault="00000000">
                  <w:pPr>
                    <w:pStyle w:val="Compact"/>
                    <w:jc w:val="center"/>
                  </w:pPr>
                  <w:r>
                    <w:t>4.06</w:t>
                  </w:r>
                </w:p>
              </w:tc>
            </w:tr>
            <w:tr w:rsidR="000E107D" w14:paraId="045FB636" w14:textId="77777777" w:rsidTr="00E32053">
              <w:tc>
                <w:tcPr>
                  <w:tcW w:w="2270" w:type="dxa"/>
                </w:tcPr>
                <w:p w14:paraId="27F3CF13" w14:textId="77777777" w:rsidR="000E107D" w:rsidRDefault="00000000">
                  <w:pPr>
                    <w:pStyle w:val="Compact"/>
                    <w:jc w:val="center"/>
                  </w:pPr>
                  <w:r>
                    <w:t>Admissions: Selective</w:t>
                  </w:r>
                </w:p>
              </w:tc>
              <w:tc>
                <w:tcPr>
                  <w:tcW w:w="781" w:type="dxa"/>
                </w:tcPr>
                <w:p w14:paraId="4F5BE00C" w14:textId="77777777" w:rsidR="000E107D" w:rsidRDefault="000E107D">
                  <w:pPr>
                    <w:pStyle w:val="Compact"/>
                  </w:pPr>
                </w:p>
              </w:tc>
              <w:tc>
                <w:tcPr>
                  <w:tcW w:w="496" w:type="dxa"/>
                </w:tcPr>
                <w:p w14:paraId="12AF0587" w14:textId="77777777" w:rsidR="000E107D" w:rsidRDefault="000E107D">
                  <w:pPr>
                    <w:pStyle w:val="Compact"/>
                  </w:pPr>
                </w:p>
              </w:tc>
              <w:tc>
                <w:tcPr>
                  <w:tcW w:w="780" w:type="dxa"/>
                </w:tcPr>
                <w:p w14:paraId="5F73C55D" w14:textId="77777777" w:rsidR="000E107D" w:rsidRDefault="000E107D">
                  <w:pPr>
                    <w:pStyle w:val="Compact"/>
                  </w:pPr>
                </w:p>
              </w:tc>
              <w:tc>
                <w:tcPr>
                  <w:tcW w:w="496" w:type="dxa"/>
                </w:tcPr>
                <w:p w14:paraId="776758E6" w14:textId="77777777" w:rsidR="000E107D" w:rsidRDefault="000E107D">
                  <w:pPr>
                    <w:pStyle w:val="Compact"/>
                  </w:pPr>
                </w:p>
              </w:tc>
              <w:tc>
                <w:tcPr>
                  <w:tcW w:w="780" w:type="dxa"/>
                </w:tcPr>
                <w:p w14:paraId="52CA60C5" w14:textId="77777777" w:rsidR="000E107D" w:rsidRDefault="000E107D">
                  <w:pPr>
                    <w:pStyle w:val="Compact"/>
                  </w:pPr>
                </w:p>
              </w:tc>
              <w:tc>
                <w:tcPr>
                  <w:tcW w:w="496" w:type="dxa"/>
                </w:tcPr>
                <w:p w14:paraId="38EF5117" w14:textId="77777777" w:rsidR="000E107D" w:rsidRDefault="000E107D">
                  <w:pPr>
                    <w:pStyle w:val="Compact"/>
                  </w:pPr>
                </w:p>
              </w:tc>
              <w:tc>
                <w:tcPr>
                  <w:tcW w:w="780" w:type="dxa"/>
                </w:tcPr>
                <w:p w14:paraId="5006ABEE" w14:textId="77777777" w:rsidR="000E107D" w:rsidRDefault="00000000">
                  <w:pPr>
                    <w:pStyle w:val="Compact"/>
                    <w:jc w:val="center"/>
                  </w:pPr>
                  <w:r>
                    <w:t>0.019 *</w:t>
                  </w:r>
                </w:p>
              </w:tc>
              <w:tc>
                <w:tcPr>
                  <w:tcW w:w="496" w:type="dxa"/>
                </w:tcPr>
                <w:p w14:paraId="2AFEBBBA" w14:textId="77777777" w:rsidR="000E107D" w:rsidRDefault="00000000">
                  <w:pPr>
                    <w:pStyle w:val="Compact"/>
                    <w:jc w:val="center"/>
                  </w:pPr>
                  <w:r>
                    <w:t>2.44</w:t>
                  </w:r>
                </w:p>
              </w:tc>
              <w:tc>
                <w:tcPr>
                  <w:tcW w:w="780" w:type="dxa"/>
                </w:tcPr>
                <w:p w14:paraId="0974A87D" w14:textId="77777777" w:rsidR="000E107D" w:rsidRDefault="00000000">
                  <w:pPr>
                    <w:pStyle w:val="Compact"/>
                    <w:jc w:val="center"/>
                  </w:pPr>
                  <w:r>
                    <w:t>-0.004</w:t>
                  </w:r>
                </w:p>
              </w:tc>
              <w:tc>
                <w:tcPr>
                  <w:tcW w:w="1205" w:type="dxa"/>
                </w:tcPr>
                <w:p w14:paraId="5B7075B0" w14:textId="77777777" w:rsidR="000E107D" w:rsidRDefault="00000000">
                  <w:pPr>
                    <w:pStyle w:val="Compact"/>
                    <w:jc w:val="center"/>
                  </w:pPr>
                  <w:r>
                    <w:t>-0.55</w:t>
                  </w:r>
                </w:p>
              </w:tc>
            </w:tr>
            <w:tr w:rsidR="000E107D" w14:paraId="3025A63B" w14:textId="77777777" w:rsidTr="00E32053">
              <w:tc>
                <w:tcPr>
                  <w:tcW w:w="2270" w:type="dxa"/>
                </w:tcPr>
                <w:p w14:paraId="66DDDDDA" w14:textId="77777777" w:rsidR="000E107D" w:rsidRDefault="00000000">
                  <w:pPr>
                    <w:pStyle w:val="Compact"/>
                    <w:jc w:val="center"/>
                  </w:pPr>
                  <w:r>
                    <w:t>Gorard Segregation</w:t>
                  </w:r>
                </w:p>
              </w:tc>
              <w:tc>
                <w:tcPr>
                  <w:tcW w:w="781" w:type="dxa"/>
                </w:tcPr>
                <w:p w14:paraId="6894E2CA" w14:textId="77777777" w:rsidR="000E107D" w:rsidRDefault="000E107D">
                  <w:pPr>
                    <w:pStyle w:val="Compact"/>
                  </w:pPr>
                </w:p>
              </w:tc>
              <w:tc>
                <w:tcPr>
                  <w:tcW w:w="496" w:type="dxa"/>
                </w:tcPr>
                <w:p w14:paraId="32CD3D1F" w14:textId="77777777" w:rsidR="000E107D" w:rsidRDefault="000E107D">
                  <w:pPr>
                    <w:pStyle w:val="Compact"/>
                  </w:pPr>
                </w:p>
              </w:tc>
              <w:tc>
                <w:tcPr>
                  <w:tcW w:w="780" w:type="dxa"/>
                </w:tcPr>
                <w:p w14:paraId="06AE8AA8" w14:textId="77777777" w:rsidR="000E107D" w:rsidRDefault="000E107D">
                  <w:pPr>
                    <w:pStyle w:val="Compact"/>
                  </w:pPr>
                </w:p>
              </w:tc>
              <w:tc>
                <w:tcPr>
                  <w:tcW w:w="496" w:type="dxa"/>
                </w:tcPr>
                <w:p w14:paraId="710A11F1" w14:textId="77777777" w:rsidR="000E107D" w:rsidRDefault="000E107D">
                  <w:pPr>
                    <w:pStyle w:val="Compact"/>
                  </w:pPr>
                </w:p>
              </w:tc>
              <w:tc>
                <w:tcPr>
                  <w:tcW w:w="780" w:type="dxa"/>
                </w:tcPr>
                <w:p w14:paraId="2A5F2C42" w14:textId="77777777" w:rsidR="000E107D" w:rsidRDefault="000E107D">
                  <w:pPr>
                    <w:pStyle w:val="Compact"/>
                  </w:pPr>
                </w:p>
              </w:tc>
              <w:tc>
                <w:tcPr>
                  <w:tcW w:w="496" w:type="dxa"/>
                </w:tcPr>
                <w:p w14:paraId="2031B46C" w14:textId="77777777" w:rsidR="000E107D" w:rsidRDefault="000E107D">
                  <w:pPr>
                    <w:pStyle w:val="Compact"/>
                  </w:pPr>
                </w:p>
              </w:tc>
              <w:tc>
                <w:tcPr>
                  <w:tcW w:w="780" w:type="dxa"/>
                </w:tcPr>
                <w:p w14:paraId="2DE361E9" w14:textId="77777777" w:rsidR="000E107D" w:rsidRDefault="00000000">
                  <w:pPr>
                    <w:pStyle w:val="Compact"/>
                    <w:jc w:val="center"/>
                  </w:pPr>
                  <w:r>
                    <w:t>0.075 **</w:t>
                  </w:r>
                </w:p>
              </w:tc>
              <w:tc>
                <w:tcPr>
                  <w:tcW w:w="496" w:type="dxa"/>
                </w:tcPr>
                <w:p w14:paraId="072FF6D9" w14:textId="77777777" w:rsidR="000E107D" w:rsidRDefault="00000000">
                  <w:pPr>
                    <w:pStyle w:val="Compact"/>
                    <w:jc w:val="center"/>
                  </w:pPr>
                  <w:r>
                    <w:t>2.84</w:t>
                  </w:r>
                </w:p>
              </w:tc>
              <w:tc>
                <w:tcPr>
                  <w:tcW w:w="780" w:type="dxa"/>
                </w:tcPr>
                <w:p w14:paraId="561D9615" w14:textId="77777777" w:rsidR="000E107D" w:rsidRDefault="00000000">
                  <w:pPr>
                    <w:pStyle w:val="Compact"/>
                    <w:jc w:val="center"/>
                  </w:pPr>
                  <w:r>
                    <w:t>0.026</w:t>
                  </w:r>
                </w:p>
              </w:tc>
              <w:tc>
                <w:tcPr>
                  <w:tcW w:w="1205" w:type="dxa"/>
                </w:tcPr>
                <w:p w14:paraId="481386C2" w14:textId="77777777" w:rsidR="000E107D" w:rsidRDefault="00000000">
                  <w:pPr>
                    <w:pStyle w:val="Compact"/>
                    <w:jc w:val="center"/>
                  </w:pPr>
                  <w:r>
                    <w:t>0.58</w:t>
                  </w:r>
                </w:p>
              </w:tc>
            </w:tr>
            <w:tr w:rsidR="000E107D" w14:paraId="45E50A88" w14:textId="77777777" w:rsidTr="00E32053">
              <w:tc>
                <w:tcPr>
                  <w:tcW w:w="2270" w:type="dxa"/>
                </w:tcPr>
                <w:p w14:paraId="2F66F289" w14:textId="77777777" w:rsidR="000E107D" w:rsidRDefault="00000000">
                  <w:pPr>
                    <w:pStyle w:val="Compact"/>
                    <w:jc w:val="center"/>
                  </w:pPr>
                  <w:r>
                    <w:t>Teacher Retention</w:t>
                  </w:r>
                </w:p>
              </w:tc>
              <w:tc>
                <w:tcPr>
                  <w:tcW w:w="781" w:type="dxa"/>
                </w:tcPr>
                <w:p w14:paraId="1B734817" w14:textId="77777777" w:rsidR="000E107D" w:rsidRDefault="000E107D">
                  <w:pPr>
                    <w:pStyle w:val="Compact"/>
                  </w:pPr>
                </w:p>
              </w:tc>
              <w:tc>
                <w:tcPr>
                  <w:tcW w:w="496" w:type="dxa"/>
                </w:tcPr>
                <w:p w14:paraId="30A1576C" w14:textId="77777777" w:rsidR="000E107D" w:rsidRDefault="000E107D">
                  <w:pPr>
                    <w:pStyle w:val="Compact"/>
                  </w:pPr>
                </w:p>
              </w:tc>
              <w:tc>
                <w:tcPr>
                  <w:tcW w:w="780" w:type="dxa"/>
                </w:tcPr>
                <w:p w14:paraId="38A3A57F" w14:textId="77777777" w:rsidR="000E107D" w:rsidRDefault="000E107D">
                  <w:pPr>
                    <w:pStyle w:val="Compact"/>
                  </w:pPr>
                </w:p>
              </w:tc>
              <w:tc>
                <w:tcPr>
                  <w:tcW w:w="496" w:type="dxa"/>
                </w:tcPr>
                <w:p w14:paraId="7910DC1D" w14:textId="77777777" w:rsidR="000E107D" w:rsidRDefault="000E107D">
                  <w:pPr>
                    <w:pStyle w:val="Compact"/>
                  </w:pPr>
                </w:p>
              </w:tc>
              <w:tc>
                <w:tcPr>
                  <w:tcW w:w="780" w:type="dxa"/>
                </w:tcPr>
                <w:p w14:paraId="16D942B8" w14:textId="77777777" w:rsidR="000E107D" w:rsidRDefault="000E107D">
                  <w:pPr>
                    <w:pStyle w:val="Compact"/>
                  </w:pPr>
                </w:p>
              </w:tc>
              <w:tc>
                <w:tcPr>
                  <w:tcW w:w="496" w:type="dxa"/>
                </w:tcPr>
                <w:p w14:paraId="27E13BD3" w14:textId="77777777" w:rsidR="000E107D" w:rsidRDefault="000E107D">
                  <w:pPr>
                    <w:pStyle w:val="Compact"/>
                  </w:pPr>
                </w:p>
              </w:tc>
              <w:tc>
                <w:tcPr>
                  <w:tcW w:w="780" w:type="dxa"/>
                </w:tcPr>
                <w:p w14:paraId="06C0E339" w14:textId="77777777" w:rsidR="000E107D" w:rsidRDefault="00000000">
                  <w:pPr>
                    <w:pStyle w:val="Compact"/>
                    <w:jc w:val="center"/>
                  </w:pPr>
                  <w:r>
                    <w:t>0.001 ***</w:t>
                  </w:r>
                </w:p>
              </w:tc>
              <w:tc>
                <w:tcPr>
                  <w:tcW w:w="496" w:type="dxa"/>
                </w:tcPr>
                <w:p w14:paraId="30D9C5D1" w14:textId="77777777" w:rsidR="000E107D" w:rsidRDefault="00000000">
                  <w:pPr>
                    <w:pStyle w:val="Compact"/>
                    <w:jc w:val="center"/>
                  </w:pPr>
                  <w:r>
                    <w:t>11.66</w:t>
                  </w:r>
                </w:p>
              </w:tc>
              <w:tc>
                <w:tcPr>
                  <w:tcW w:w="780" w:type="dxa"/>
                </w:tcPr>
                <w:p w14:paraId="2D86C10A" w14:textId="77777777" w:rsidR="000E107D" w:rsidRDefault="00000000">
                  <w:pPr>
                    <w:pStyle w:val="Compact"/>
                    <w:jc w:val="center"/>
                  </w:pPr>
                  <w:r>
                    <w:t>0.000 ***</w:t>
                  </w:r>
                </w:p>
              </w:tc>
              <w:tc>
                <w:tcPr>
                  <w:tcW w:w="1205" w:type="dxa"/>
                </w:tcPr>
                <w:p w14:paraId="25A85581" w14:textId="77777777" w:rsidR="000E107D" w:rsidRDefault="00000000">
                  <w:pPr>
                    <w:pStyle w:val="Compact"/>
                    <w:jc w:val="center"/>
                  </w:pPr>
                  <w:r>
                    <w:t>8.99</w:t>
                  </w:r>
                </w:p>
              </w:tc>
            </w:tr>
            <w:tr w:rsidR="000E107D" w14:paraId="61B955B3" w14:textId="77777777" w:rsidTr="00E32053">
              <w:tc>
                <w:tcPr>
                  <w:tcW w:w="2270" w:type="dxa"/>
                </w:tcPr>
                <w:p w14:paraId="7ED1E6FC" w14:textId="77777777" w:rsidR="000E107D" w:rsidRDefault="00000000">
                  <w:pPr>
                    <w:pStyle w:val="Compact"/>
                    <w:jc w:val="center"/>
                  </w:pPr>
                  <w:r>
                    <w:t>Leadership Pay %</w:t>
                  </w:r>
                </w:p>
              </w:tc>
              <w:tc>
                <w:tcPr>
                  <w:tcW w:w="781" w:type="dxa"/>
                </w:tcPr>
                <w:p w14:paraId="55973ABF" w14:textId="77777777" w:rsidR="000E107D" w:rsidRDefault="000E107D">
                  <w:pPr>
                    <w:pStyle w:val="Compact"/>
                  </w:pPr>
                </w:p>
              </w:tc>
              <w:tc>
                <w:tcPr>
                  <w:tcW w:w="496" w:type="dxa"/>
                </w:tcPr>
                <w:p w14:paraId="25B58C20" w14:textId="77777777" w:rsidR="000E107D" w:rsidRDefault="000E107D">
                  <w:pPr>
                    <w:pStyle w:val="Compact"/>
                  </w:pPr>
                </w:p>
              </w:tc>
              <w:tc>
                <w:tcPr>
                  <w:tcW w:w="780" w:type="dxa"/>
                </w:tcPr>
                <w:p w14:paraId="40CD8031" w14:textId="77777777" w:rsidR="000E107D" w:rsidRDefault="000E107D">
                  <w:pPr>
                    <w:pStyle w:val="Compact"/>
                  </w:pPr>
                </w:p>
              </w:tc>
              <w:tc>
                <w:tcPr>
                  <w:tcW w:w="496" w:type="dxa"/>
                </w:tcPr>
                <w:p w14:paraId="26BBA61A" w14:textId="77777777" w:rsidR="000E107D" w:rsidRDefault="000E107D">
                  <w:pPr>
                    <w:pStyle w:val="Compact"/>
                  </w:pPr>
                </w:p>
              </w:tc>
              <w:tc>
                <w:tcPr>
                  <w:tcW w:w="780" w:type="dxa"/>
                </w:tcPr>
                <w:p w14:paraId="07E0062B" w14:textId="77777777" w:rsidR="000E107D" w:rsidRDefault="000E107D">
                  <w:pPr>
                    <w:pStyle w:val="Compact"/>
                  </w:pPr>
                </w:p>
              </w:tc>
              <w:tc>
                <w:tcPr>
                  <w:tcW w:w="496" w:type="dxa"/>
                </w:tcPr>
                <w:p w14:paraId="3859677A" w14:textId="77777777" w:rsidR="000E107D" w:rsidRDefault="000E107D">
                  <w:pPr>
                    <w:pStyle w:val="Compact"/>
                  </w:pPr>
                </w:p>
              </w:tc>
              <w:tc>
                <w:tcPr>
                  <w:tcW w:w="780" w:type="dxa"/>
                </w:tcPr>
                <w:p w14:paraId="58E39493" w14:textId="77777777" w:rsidR="000E107D" w:rsidRDefault="00000000">
                  <w:pPr>
                    <w:pStyle w:val="Compact"/>
                    <w:jc w:val="center"/>
                  </w:pPr>
                  <w:r>
                    <w:t>-0.001 ***</w:t>
                  </w:r>
                </w:p>
              </w:tc>
              <w:tc>
                <w:tcPr>
                  <w:tcW w:w="496" w:type="dxa"/>
                </w:tcPr>
                <w:p w14:paraId="2DC7C2C4" w14:textId="77777777" w:rsidR="000E107D" w:rsidRDefault="00000000">
                  <w:pPr>
                    <w:pStyle w:val="Compact"/>
                    <w:jc w:val="center"/>
                  </w:pPr>
                  <w:r>
                    <w:t>-5.45</w:t>
                  </w:r>
                </w:p>
              </w:tc>
              <w:tc>
                <w:tcPr>
                  <w:tcW w:w="780" w:type="dxa"/>
                </w:tcPr>
                <w:p w14:paraId="63879A3D" w14:textId="77777777" w:rsidR="000E107D" w:rsidRDefault="00000000">
                  <w:pPr>
                    <w:pStyle w:val="Compact"/>
                    <w:jc w:val="center"/>
                  </w:pPr>
                  <w:r>
                    <w:t>-0.001 ***</w:t>
                  </w:r>
                </w:p>
              </w:tc>
              <w:tc>
                <w:tcPr>
                  <w:tcW w:w="1205" w:type="dxa"/>
                </w:tcPr>
                <w:p w14:paraId="64350979" w14:textId="77777777" w:rsidR="000E107D" w:rsidRDefault="00000000">
                  <w:pPr>
                    <w:pStyle w:val="Compact"/>
                    <w:jc w:val="center"/>
                  </w:pPr>
                  <w:r>
                    <w:t>-4.52</w:t>
                  </w:r>
                </w:p>
              </w:tc>
            </w:tr>
            <w:tr w:rsidR="000E107D" w14:paraId="027571D7" w14:textId="77777777" w:rsidTr="00E32053">
              <w:tc>
                <w:tcPr>
                  <w:tcW w:w="2270" w:type="dxa"/>
                </w:tcPr>
                <w:p w14:paraId="1E199FB4" w14:textId="77777777" w:rsidR="000E107D" w:rsidRDefault="00000000">
                  <w:pPr>
                    <w:pStyle w:val="Compact"/>
                    <w:jc w:val="center"/>
                  </w:pPr>
                  <w:r>
                    <w:t>log(Teacher Sickness)</w:t>
                  </w:r>
                </w:p>
              </w:tc>
              <w:tc>
                <w:tcPr>
                  <w:tcW w:w="781" w:type="dxa"/>
                </w:tcPr>
                <w:p w14:paraId="5810708A" w14:textId="77777777" w:rsidR="000E107D" w:rsidRDefault="000E107D">
                  <w:pPr>
                    <w:pStyle w:val="Compact"/>
                  </w:pPr>
                </w:p>
              </w:tc>
              <w:tc>
                <w:tcPr>
                  <w:tcW w:w="496" w:type="dxa"/>
                </w:tcPr>
                <w:p w14:paraId="09BA4829" w14:textId="77777777" w:rsidR="000E107D" w:rsidRDefault="000E107D">
                  <w:pPr>
                    <w:pStyle w:val="Compact"/>
                  </w:pPr>
                </w:p>
              </w:tc>
              <w:tc>
                <w:tcPr>
                  <w:tcW w:w="780" w:type="dxa"/>
                </w:tcPr>
                <w:p w14:paraId="4A6F0132" w14:textId="77777777" w:rsidR="000E107D" w:rsidRDefault="000E107D">
                  <w:pPr>
                    <w:pStyle w:val="Compact"/>
                  </w:pPr>
                </w:p>
              </w:tc>
              <w:tc>
                <w:tcPr>
                  <w:tcW w:w="496" w:type="dxa"/>
                </w:tcPr>
                <w:p w14:paraId="1F8DACC3" w14:textId="77777777" w:rsidR="000E107D" w:rsidRDefault="000E107D">
                  <w:pPr>
                    <w:pStyle w:val="Compact"/>
                  </w:pPr>
                </w:p>
              </w:tc>
              <w:tc>
                <w:tcPr>
                  <w:tcW w:w="780" w:type="dxa"/>
                </w:tcPr>
                <w:p w14:paraId="19298743" w14:textId="77777777" w:rsidR="000E107D" w:rsidRDefault="000E107D">
                  <w:pPr>
                    <w:pStyle w:val="Compact"/>
                  </w:pPr>
                </w:p>
              </w:tc>
              <w:tc>
                <w:tcPr>
                  <w:tcW w:w="496" w:type="dxa"/>
                </w:tcPr>
                <w:p w14:paraId="6936E7AF" w14:textId="77777777" w:rsidR="000E107D" w:rsidRDefault="000E107D">
                  <w:pPr>
                    <w:pStyle w:val="Compact"/>
                  </w:pPr>
                </w:p>
              </w:tc>
              <w:tc>
                <w:tcPr>
                  <w:tcW w:w="780" w:type="dxa"/>
                </w:tcPr>
                <w:p w14:paraId="7A631650" w14:textId="77777777" w:rsidR="000E107D" w:rsidRDefault="00000000">
                  <w:pPr>
                    <w:pStyle w:val="Compact"/>
                    <w:jc w:val="center"/>
                  </w:pPr>
                  <w:r>
                    <w:t>-0.013 ***</w:t>
                  </w:r>
                </w:p>
              </w:tc>
              <w:tc>
                <w:tcPr>
                  <w:tcW w:w="496" w:type="dxa"/>
                </w:tcPr>
                <w:p w14:paraId="465BF0ED" w14:textId="77777777" w:rsidR="000E107D" w:rsidRDefault="00000000">
                  <w:pPr>
                    <w:pStyle w:val="Compact"/>
                    <w:jc w:val="center"/>
                  </w:pPr>
                  <w:r>
                    <w:t>-5.20</w:t>
                  </w:r>
                </w:p>
              </w:tc>
              <w:tc>
                <w:tcPr>
                  <w:tcW w:w="780" w:type="dxa"/>
                </w:tcPr>
                <w:p w14:paraId="5036834C" w14:textId="77777777" w:rsidR="000E107D" w:rsidRDefault="00000000">
                  <w:pPr>
                    <w:pStyle w:val="Compact"/>
                    <w:jc w:val="center"/>
                  </w:pPr>
                  <w:r>
                    <w:t>-0.013 ***</w:t>
                  </w:r>
                </w:p>
              </w:tc>
              <w:tc>
                <w:tcPr>
                  <w:tcW w:w="1205" w:type="dxa"/>
                </w:tcPr>
                <w:p w14:paraId="5657D439" w14:textId="77777777" w:rsidR="000E107D" w:rsidRDefault="00000000">
                  <w:pPr>
                    <w:pStyle w:val="Compact"/>
                    <w:jc w:val="center"/>
                  </w:pPr>
                  <w:r>
                    <w:t>-5.69</w:t>
                  </w:r>
                </w:p>
              </w:tc>
            </w:tr>
            <w:tr w:rsidR="000E107D" w14:paraId="3B47BB05" w14:textId="77777777" w:rsidTr="00E32053">
              <w:tc>
                <w:tcPr>
                  <w:tcW w:w="2270" w:type="dxa"/>
                </w:tcPr>
                <w:p w14:paraId="6E9D047E" w14:textId="77777777" w:rsidR="000E107D" w:rsidRDefault="00000000">
                  <w:pPr>
                    <w:pStyle w:val="Compact"/>
                    <w:jc w:val="center"/>
                  </w:pPr>
                  <w:r>
                    <w:t>Random effects</w:t>
                  </w:r>
                </w:p>
              </w:tc>
              <w:tc>
                <w:tcPr>
                  <w:tcW w:w="781" w:type="dxa"/>
                </w:tcPr>
                <w:p w14:paraId="18C2493E" w14:textId="77777777" w:rsidR="000E107D" w:rsidRDefault="000E107D">
                  <w:pPr>
                    <w:pStyle w:val="Compact"/>
                  </w:pPr>
                </w:p>
              </w:tc>
              <w:tc>
                <w:tcPr>
                  <w:tcW w:w="496" w:type="dxa"/>
                </w:tcPr>
                <w:p w14:paraId="7080967A" w14:textId="77777777" w:rsidR="000E107D" w:rsidRDefault="000E107D">
                  <w:pPr>
                    <w:pStyle w:val="Compact"/>
                  </w:pPr>
                </w:p>
              </w:tc>
              <w:tc>
                <w:tcPr>
                  <w:tcW w:w="780" w:type="dxa"/>
                </w:tcPr>
                <w:p w14:paraId="1019C70D" w14:textId="77777777" w:rsidR="000E107D" w:rsidRDefault="000E107D">
                  <w:pPr>
                    <w:pStyle w:val="Compact"/>
                  </w:pPr>
                </w:p>
              </w:tc>
              <w:tc>
                <w:tcPr>
                  <w:tcW w:w="496" w:type="dxa"/>
                </w:tcPr>
                <w:p w14:paraId="47F5F399" w14:textId="77777777" w:rsidR="000E107D" w:rsidRDefault="000E107D">
                  <w:pPr>
                    <w:pStyle w:val="Compact"/>
                  </w:pPr>
                </w:p>
              </w:tc>
              <w:tc>
                <w:tcPr>
                  <w:tcW w:w="780" w:type="dxa"/>
                </w:tcPr>
                <w:p w14:paraId="418EFF10" w14:textId="77777777" w:rsidR="000E107D" w:rsidRDefault="000E107D">
                  <w:pPr>
                    <w:pStyle w:val="Compact"/>
                  </w:pPr>
                </w:p>
              </w:tc>
              <w:tc>
                <w:tcPr>
                  <w:tcW w:w="496" w:type="dxa"/>
                </w:tcPr>
                <w:p w14:paraId="25DBD16C" w14:textId="77777777" w:rsidR="000E107D" w:rsidRDefault="000E107D">
                  <w:pPr>
                    <w:pStyle w:val="Compact"/>
                  </w:pPr>
                </w:p>
              </w:tc>
              <w:tc>
                <w:tcPr>
                  <w:tcW w:w="780" w:type="dxa"/>
                </w:tcPr>
                <w:p w14:paraId="7CFDD015" w14:textId="77777777" w:rsidR="000E107D" w:rsidRDefault="000E107D">
                  <w:pPr>
                    <w:pStyle w:val="Compact"/>
                  </w:pPr>
                </w:p>
              </w:tc>
              <w:tc>
                <w:tcPr>
                  <w:tcW w:w="496" w:type="dxa"/>
                </w:tcPr>
                <w:p w14:paraId="3024AA25" w14:textId="77777777" w:rsidR="000E107D" w:rsidRDefault="000E107D">
                  <w:pPr>
                    <w:pStyle w:val="Compact"/>
                  </w:pPr>
                </w:p>
              </w:tc>
              <w:tc>
                <w:tcPr>
                  <w:tcW w:w="780" w:type="dxa"/>
                </w:tcPr>
                <w:p w14:paraId="09A0124E" w14:textId="77777777" w:rsidR="000E107D" w:rsidRDefault="000E107D">
                  <w:pPr>
                    <w:pStyle w:val="Compact"/>
                  </w:pPr>
                </w:p>
              </w:tc>
              <w:tc>
                <w:tcPr>
                  <w:tcW w:w="1205" w:type="dxa"/>
                </w:tcPr>
                <w:p w14:paraId="5CEAEB0A" w14:textId="77777777" w:rsidR="000E107D" w:rsidRDefault="000E107D">
                  <w:pPr>
                    <w:pStyle w:val="Compact"/>
                  </w:pPr>
                </w:p>
              </w:tc>
            </w:tr>
            <w:tr w:rsidR="000E107D" w14:paraId="0CA2DE7B" w14:textId="77777777" w:rsidTr="00E32053">
              <w:tc>
                <w:tcPr>
                  <w:tcW w:w="2270" w:type="dxa"/>
                </w:tcPr>
                <w:p w14:paraId="49DE873B" w14:textId="77777777" w:rsidR="000E107D" w:rsidRDefault="00000000">
                  <w:pPr>
                    <w:pStyle w:val="Compact"/>
                    <w:jc w:val="center"/>
                  </w:pPr>
                  <w:r>
                    <w:t>Year</w:t>
                  </w:r>
                </w:p>
              </w:tc>
              <w:tc>
                <w:tcPr>
                  <w:tcW w:w="781" w:type="dxa"/>
                </w:tcPr>
                <w:p w14:paraId="78F6C928" w14:textId="77777777" w:rsidR="000E107D" w:rsidRDefault="000E107D">
                  <w:pPr>
                    <w:pStyle w:val="Compact"/>
                  </w:pPr>
                </w:p>
              </w:tc>
              <w:tc>
                <w:tcPr>
                  <w:tcW w:w="496" w:type="dxa"/>
                </w:tcPr>
                <w:p w14:paraId="2E9004DC" w14:textId="77777777" w:rsidR="000E107D" w:rsidRDefault="000E107D">
                  <w:pPr>
                    <w:pStyle w:val="Compact"/>
                  </w:pPr>
                </w:p>
              </w:tc>
              <w:tc>
                <w:tcPr>
                  <w:tcW w:w="780" w:type="dxa"/>
                </w:tcPr>
                <w:p w14:paraId="6617332D" w14:textId="77777777" w:rsidR="000E107D" w:rsidRDefault="000E107D">
                  <w:pPr>
                    <w:pStyle w:val="Compact"/>
                  </w:pPr>
                </w:p>
              </w:tc>
              <w:tc>
                <w:tcPr>
                  <w:tcW w:w="496" w:type="dxa"/>
                </w:tcPr>
                <w:p w14:paraId="23133B96" w14:textId="77777777" w:rsidR="000E107D" w:rsidRDefault="000E107D">
                  <w:pPr>
                    <w:pStyle w:val="Compact"/>
                  </w:pPr>
                </w:p>
              </w:tc>
              <w:tc>
                <w:tcPr>
                  <w:tcW w:w="780" w:type="dxa"/>
                </w:tcPr>
                <w:p w14:paraId="33E1B519" w14:textId="77777777" w:rsidR="000E107D" w:rsidRDefault="000E107D">
                  <w:pPr>
                    <w:pStyle w:val="Compact"/>
                  </w:pPr>
                </w:p>
              </w:tc>
              <w:tc>
                <w:tcPr>
                  <w:tcW w:w="496" w:type="dxa"/>
                </w:tcPr>
                <w:p w14:paraId="74ED3E1F" w14:textId="77777777" w:rsidR="000E107D" w:rsidRDefault="000E107D">
                  <w:pPr>
                    <w:pStyle w:val="Compact"/>
                  </w:pPr>
                </w:p>
              </w:tc>
              <w:tc>
                <w:tcPr>
                  <w:tcW w:w="780" w:type="dxa"/>
                </w:tcPr>
                <w:p w14:paraId="4C751463" w14:textId="77777777" w:rsidR="000E107D" w:rsidRDefault="000E107D">
                  <w:pPr>
                    <w:pStyle w:val="Compact"/>
                  </w:pPr>
                </w:p>
              </w:tc>
              <w:tc>
                <w:tcPr>
                  <w:tcW w:w="496" w:type="dxa"/>
                </w:tcPr>
                <w:p w14:paraId="429BEDCF" w14:textId="77777777" w:rsidR="000E107D" w:rsidRDefault="000E107D">
                  <w:pPr>
                    <w:pStyle w:val="Compact"/>
                  </w:pPr>
                </w:p>
              </w:tc>
              <w:tc>
                <w:tcPr>
                  <w:tcW w:w="780" w:type="dxa"/>
                </w:tcPr>
                <w:p w14:paraId="72FF01DA" w14:textId="77777777" w:rsidR="000E107D" w:rsidRDefault="00000000">
                  <w:pPr>
                    <w:pStyle w:val="Compact"/>
                    <w:jc w:val="center"/>
                  </w:pPr>
                  <w:r>
                    <w:t>0.026</w:t>
                  </w:r>
                </w:p>
              </w:tc>
              <w:tc>
                <w:tcPr>
                  <w:tcW w:w="1205" w:type="dxa"/>
                </w:tcPr>
                <w:p w14:paraId="3BF6F85D" w14:textId="77777777" w:rsidR="000E107D" w:rsidRDefault="00000000">
                  <w:pPr>
                    <w:pStyle w:val="Compact"/>
                    <w:jc w:val="center"/>
                  </w:pPr>
                  <w:r>
                    <w:t>(SD)</w:t>
                  </w:r>
                </w:p>
              </w:tc>
            </w:tr>
            <w:tr w:rsidR="000E107D" w14:paraId="615E36F9" w14:textId="77777777" w:rsidTr="00E32053">
              <w:tc>
                <w:tcPr>
                  <w:tcW w:w="2270" w:type="dxa"/>
                </w:tcPr>
                <w:p w14:paraId="5F3DCE3A" w14:textId="77777777" w:rsidR="000E107D" w:rsidRDefault="00000000">
                  <w:pPr>
                    <w:pStyle w:val="Compact"/>
                    <w:jc w:val="center"/>
                  </w:pPr>
                  <w:r>
                    <w:t>Ofsted rating</w:t>
                  </w:r>
                </w:p>
              </w:tc>
              <w:tc>
                <w:tcPr>
                  <w:tcW w:w="781" w:type="dxa"/>
                </w:tcPr>
                <w:p w14:paraId="611D7417" w14:textId="77777777" w:rsidR="000E107D" w:rsidRDefault="000E107D">
                  <w:pPr>
                    <w:pStyle w:val="Compact"/>
                  </w:pPr>
                </w:p>
              </w:tc>
              <w:tc>
                <w:tcPr>
                  <w:tcW w:w="496" w:type="dxa"/>
                </w:tcPr>
                <w:p w14:paraId="41FB7B36" w14:textId="77777777" w:rsidR="000E107D" w:rsidRDefault="000E107D">
                  <w:pPr>
                    <w:pStyle w:val="Compact"/>
                  </w:pPr>
                </w:p>
              </w:tc>
              <w:tc>
                <w:tcPr>
                  <w:tcW w:w="780" w:type="dxa"/>
                </w:tcPr>
                <w:p w14:paraId="67B28CD3" w14:textId="77777777" w:rsidR="000E107D" w:rsidRDefault="000E107D">
                  <w:pPr>
                    <w:pStyle w:val="Compact"/>
                  </w:pPr>
                </w:p>
              </w:tc>
              <w:tc>
                <w:tcPr>
                  <w:tcW w:w="496" w:type="dxa"/>
                </w:tcPr>
                <w:p w14:paraId="47D15C0F" w14:textId="77777777" w:rsidR="000E107D" w:rsidRDefault="000E107D">
                  <w:pPr>
                    <w:pStyle w:val="Compact"/>
                  </w:pPr>
                </w:p>
              </w:tc>
              <w:tc>
                <w:tcPr>
                  <w:tcW w:w="780" w:type="dxa"/>
                </w:tcPr>
                <w:p w14:paraId="45C58A62" w14:textId="77777777" w:rsidR="000E107D" w:rsidRDefault="000E107D">
                  <w:pPr>
                    <w:pStyle w:val="Compact"/>
                  </w:pPr>
                </w:p>
              </w:tc>
              <w:tc>
                <w:tcPr>
                  <w:tcW w:w="496" w:type="dxa"/>
                </w:tcPr>
                <w:p w14:paraId="465AB0C3" w14:textId="77777777" w:rsidR="000E107D" w:rsidRDefault="000E107D">
                  <w:pPr>
                    <w:pStyle w:val="Compact"/>
                  </w:pPr>
                </w:p>
              </w:tc>
              <w:tc>
                <w:tcPr>
                  <w:tcW w:w="780" w:type="dxa"/>
                </w:tcPr>
                <w:p w14:paraId="203BF68B" w14:textId="77777777" w:rsidR="000E107D" w:rsidRDefault="000E107D">
                  <w:pPr>
                    <w:pStyle w:val="Compact"/>
                  </w:pPr>
                </w:p>
              </w:tc>
              <w:tc>
                <w:tcPr>
                  <w:tcW w:w="496" w:type="dxa"/>
                </w:tcPr>
                <w:p w14:paraId="376DF3D6" w14:textId="77777777" w:rsidR="000E107D" w:rsidRDefault="000E107D">
                  <w:pPr>
                    <w:pStyle w:val="Compact"/>
                  </w:pPr>
                </w:p>
              </w:tc>
              <w:tc>
                <w:tcPr>
                  <w:tcW w:w="780" w:type="dxa"/>
                </w:tcPr>
                <w:p w14:paraId="10301B35" w14:textId="77777777" w:rsidR="000E107D" w:rsidRDefault="00000000">
                  <w:pPr>
                    <w:pStyle w:val="Compact"/>
                    <w:jc w:val="center"/>
                  </w:pPr>
                  <w:r>
                    <w:t>0.014</w:t>
                  </w:r>
                </w:p>
              </w:tc>
              <w:tc>
                <w:tcPr>
                  <w:tcW w:w="1205" w:type="dxa"/>
                </w:tcPr>
                <w:p w14:paraId="20907827" w14:textId="77777777" w:rsidR="000E107D" w:rsidRDefault="00000000">
                  <w:pPr>
                    <w:pStyle w:val="Compact"/>
                    <w:jc w:val="center"/>
                  </w:pPr>
                  <w:r>
                    <w:t>(SD)</w:t>
                  </w:r>
                </w:p>
              </w:tc>
            </w:tr>
            <w:tr w:rsidR="000E107D" w14:paraId="64FA3D9D" w14:textId="77777777" w:rsidTr="00E32053">
              <w:tc>
                <w:tcPr>
                  <w:tcW w:w="2270" w:type="dxa"/>
                </w:tcPr>
                <w:p w14:paraId="766FE13F" w14:textId="77777777" w:rsidR="000E107D" w:rsidRDefault="00000000">
                  <w:pPr>
                    <w:pStyle w:val="Compact"/>
                    <w:jc w:val="center"/>
                  </w:pPr>
                  <w:r>
                    <w:t>Region</w:t>
                  </w:r>
                </w:p>
              </w:tc>
              <w:tc>
                <w:tcPr>
                  <w:tcW w:w="781" w:type="dxa"/>
                </w:tcPr>
                <w:p w14:paraId="3D211237" w14:textId="77777777" w:rsidR="000E107D" w:rsidRDefault="000E107D">
                  <w:pPr>
                    <w:pStyle w:val="Compact"/>
                  </w:pPr>
                </w:p>
              </w:tc>
              <w:tc>
                <w:tcPr>
                  <w:tcW w:w="496" w:type="dxa"/>
                </w:tcPr>
                <w:p w14:paraId="38C4AA36" w14:textId="77777777" w:rsidR="000E107D" w:rsidRDefault="000E107D">
                  <w:pPr>
                    <w:pStyle w:val="Compact"/>
                  </w:pPr>
                </w:p>
              </w:tc>
              <w:tc>
                <w:tcPr>
                  <w:tcW w:w="780" w:type="dxa"/>
                </w:tcPr>
                <w:p w14:paraId="6BC2B879" w14:textId="77777777" w:rsidR="000E107D" w:rsidRDefault="000E107D">
                  <w:pPr>
                    <w:pStyle w:val="Compact"/>
                  </w:pPr>
                </w:p>
              </w:tc>
              <w:tc>
                <w:tcPr>
                  <w:tcW w:w="496" w:type="dxa"/>
                </w:tcPr>
                <w:p w14:paraId="282BF883" w14:textId="77777777" w:rsidR="000E107D" w:rsidRDefault="000E107D">
                  <w:pPr>
                    <w:pStyle w:val="Compact"/>
                  </w:pPr>
                </w:p>
              </w:tc>
              <w:tc>
                <w:tcPr>
                  <w:tcW w:w="780" w:type="dxa"/>
                </w:tcPr>
                <w:p w14:paraId="39E98B7D" w14:textId="77777777" w:rsidR="000E107D" w:rsidRDefault="000E107D">
                  <w:pPr>
                    <w:pStyle w:val="Compact"/>
                  </w:pPr>
                </w:p>
              </w:tc>
              <w:tc>
                <w:tcPr>
                  <w:tcW w:w="496" w:type="dxa"/>
                </w:tcPr>
                <w:p w14:paraId="4F990257" w14:textId="77777777" w:rsidR="000E107D" w:rsidRDefault="000E107D">
                  <w:pPr>
                    <w:pStyle w:val="Compact"/>
                  </w:pPr>
                </w:p>
              </w:tc>
              <w:tc>
                <w:tcPr>
                  <w:tcW w:w="780" w:type="dxa"/>
                </w:tcPr>
                <w:p w14:paraId="3BFBABD5" w14:textId="77777777" w:rsidR="000E107D" w:rsidRDefault="000E107D">
                  <w:pPr>
                    <w:pStyle w:val="Compact"/>
                  </w:pPr>
                </w:p>
              </w:tc>
              <w:tc>
                <w:tcPr>
                  <w:tcW w:w="496" w:type="dxa"/>
                </w:tcPr>
                <w:p w14:paraId="40FBD741" w14:textId="77777777" w:rsidR="000E107D" w:rsidRDefault="000E107D">
                  <w:pPr>
                    <w:pStyle w:val="Compact"/>
                  </w:pPr>
                </w:p>
              </w:tc>
              <w:tc>
                <w:tcPr>
                  <w:tcW w:w="780" w:type="dxa"/>
                </w:tcPr>
                <w:p w14:paraId="187DC064" w14:textId="77777777" w:rsidR="000E107D" w:rsidRDefault="00000000">
                  <w:pPr>
                    <w:pStyle w:val="Compact"/>
                    <w:jc w:val="center"/>
                  </w:pPr>
                  <w:r>
                    <w:t>0.045</w:t>
                  </w:r>
                </w:p>
              </w:tc>
              <w:tc>
                <w:tcPr>
                  <w:tcW w:w="1205" w:type="dxa"/>
                </w:tcPr>
                <w:p w14:paraId="2B4A85C2" w14:textId="77777777" w:rsidR="000E107D" w:rsidRDefault="00000000">
                  <w:pPr>
                    <w:pStyle w:val="Compact"/>
                    <w:jc w:val="center"/>
                  </w:pPr>
                  <w:r>
                    <w:t>(SD)</w:t>
                  </w:r>
                </w:p>
              </w:tc>
            </w:tr>
            <w:tr w:rsidR="000E107D" w14:paraId="67EDA058" w14:textId="77777777" w:rsidTr="00E32053">
              <w:tc>
                <w:tcPr>
                  <w:tcW w:w="2270" w:type="dxa"/>
                </w:tcPr>
                <w:p w14:paraId="6F1A9D94" w14:textId="77777777" w:rsidR="000E107D" w:rsidRDefault="00000000">
                  <w:pPr>
                    <w:pStyle w:val="Compact"/>
                    <w:jc w:val="center"/>
                  </w:pPr>
                  <w:r>
                    <w:t>LA (nested in region)</w:t>
                  </w:r>
                </w:p>
              </w:tc>
              <w:tc>
                <w:tcPr>
                  <w:tcW w:w="781" w:type="dxa"/>
                </w:tcPr>
                <w:p w14:paraId="6B1C2608" w14:textId="77777777" w:rsidR="000E107D" w:rsidRDefault="000E107D">
                  <w:pPr>
                    <w:pStyle w:val="Compact"/>
                  </w:pPr>
                </w:p>
              </w:tc>
              <w:tc>
                <w:tcPr>
                  <w:tcW w:w="496" w:type="dxa"/>
                </w:tcPr>
                <w:p w14:paraId="31EBF712" w14:textId="77777777" w:rsidR="000E107D" w:rsidRDefault="000E107D">
                  <w:pPr>
                    <w:pStyle w:val="Compact"/>
                  </w:pPr>
                </w:p>
              </w:tc>
              <w:tc>
                <w:tcPr>
                  <w:tcW w:w="780" w:type="dxa"/>
                </w:tcPr>
                <w:p w14:paraId="44723240" w14:textId="77777777" w:rsidR="000E107D" w:rsidRDefault="000E107D">
                  <w:pPr>
                    <w:pStyle w:val="Compact"/>
                  </w:pPr>
                </w:p>
              </w:tc>
              <w:tc>
                <w:tcPr>
                  <w:tcW w:w="496" w:type="dxa"/>
                </w:tcPr>
                <w:p w14:paraId="6BFE8A61" w14:textId="77777777" w:rsidR="000E107D" w:rsidRDefault="000E107D">
                  <w:pPr>
                    <w:pStyle w:val="Compact"/>
                  </w:pPr>
                </w:p>
              </w:tc>
              <w:tc>
                <w:tcPr>
                  <w:tcW w:w="780" w:type="dxa"/>
                </w:tcPr>
                <w:p w14:paraId="1F0F8FDF" w14:textId="77777777" w:rsidR="000E107D" w:rsidRDefault="000E107D">
                  <w:pPr>
                    <w:pStyle w:val="Compact"/>
                  </w:pPr>
                </w:p>
              </w:tc>
              <w:tc>
                <w:tcPr>
                  <w:tcW w:w="496" w:type="dxa"/>
                </w:tcPr>
                <w:p w14:paraId="330F0F64" w14:textId="77777777" w:rsidR="000E107D" w:rsidRDefault="000E107D">
                  <w:pPr>
                    <w:pStyle w:val="Compact"/>
                  </w:pPr>
                </w:p>
              </w:tc>
              <w:tc>
                <w:tcPr>
                  <w:tcW w:w="780" w:type="dxa"/>
                </w:tcPr>
                <w:p w14:paraId="63CE3DB4" w14:textId="77777777" w:rsidR="000E107D" w:rsidRDefault="000E107D">
                  <w:pPr>
                    <w:pStyle w:val="Compact"/>
                  </w:pPr>
                </w:p>
              </w:tc>
              <w:tc>
                <w:tcPr>
                  <w:tcW w:w="496" w:type="dxa"/>
                </w:tcPr>
                <w:p w14:paraId="7A21FC14" w14:textId="77777777" w:rsidR="000E107D" w:rsidRDefault="000E107D">
                  <w:pPr>
                    <w:pStyle w:val="Compact"/>
                  </w:pPr>
                </w:p>
              </w:tc>
              <w:tc>
                <w:tcPr>
                  <w:tcW w:w="780" w:type="dxa"/>
                </w:tcPr>
                <w:p w14:paraId="04D0755E" w14:textId="77777777" w:rsidR="000E107D" w:rsidRDefault="00000000">
                  <w:pPr>
                    <w:pStyle w:val="Compact"/>
                    <w:jc w:val="center"/>
                  </w:pPr>
                  <w:r>
                    <w:t>0.045</w:t>
                  </w:r>
                </w:p>
              </w:tc>
              <w:tc>
                <w:tcPr>
                  <w:tcW w:w="1205" w:type="dxa"/>
                </w:tcPr>
                <w:p w14:paraId="4C33526B" w14:textId="77777777" w:rsidR="000E107D" w:rsidRDefault="00000000">
                  <w:pPr>
                    <w:pStyle w:val="Compact"/>
                    <w:jc w:val="center"/>
                  </w:pPr>
                  <w:r>
                    <w:t>(SD)</w:t>
                  </w:r>
                </w:p>
              </w:tc>
            </w:tr>
            <w:tr w:rsidR="000E107D" w14:paraId="253491F7" w14:textId="77777777" w:rsidTr="00E32053">
              <w:tc>
                <w:tcPr>
                  <w:tcW w:w="2270" w:type="dxa"/>
                </w:tcPr>
                <w:p w14:paraId="222D4921" w14:textId="77777777" w:rsidR="000E107D" w:rsidRDefault="00000000">
                  <w:pPr>
                    <w:pStyle w:val="Compact"/>
                    <w:jc w:val="center"/>
                  </w:pPr>
                  <w:r>
                    <w:t>Residual</w:t>
                  </w:r>
                </w:p>
              </w:tc>
              <w:tc>
                <w:tcPr>
                  <w:tcW w:w="781" w:type="dxa"/>
                </w:tcPr>
                <w:p w14:paraId="3E5B45D0" w14:textId="77777777" w:rsidR="000E107D" w:rsidRDefault="000E107D">
                  <w:pPr>
                    <w:pStyle w:val="Compact"/>
                  </w:pPr>
                </w:p>
              </w:tc>
              <w:tc>
                <w:tcPr>
                  <w:tcW w:w="496" w:type="dxa"/>
                </w:tcPr>
                <w:p w14:paraId="4E9219B3" w14:textId="77777777" w:rsidR="000E107D" w:rsidRDefault="000E107D">
                  <w:pPr>
                    <w:pStyle w:val="Compact"/>
                  </w:pPr>
                </w:p>
              </w:tc>
              <w:tc>
                <w:tcPr>
                  <w:tcW w:w="780" w:type="dxa"/>
                </w:tcPr>
                <w:p w14:paraId="55F0B966" w14:textId="77777777" w:rsidR="000E107D" w:rsidRDefault="000E107D">
                  <w:pPr>
                    <w:pStyle w:val="Compact"/>
                  </w:pPr>
                </w:p>
              </w:tc>
              <w:tc>
                <w:tcPr>
                  <w:tcW w:w="496" w:type="dxa"/>
                </w:tcPr>
                <w:p w14:paraId="0F0561F0" w14:textId="77777777" w:rsidR="000E107D" w:rsidRDefault="000E107D">
                  <w:pPr>
                    <w:pStyle w:val="Compact"/>
                  </w:pPr>
                </w:p>
              </w:tc>
              <w:tc>
                <w:tcPr>
                  <w:tcW w:w="780" w:type="dxa"/>
                </w:tcPr>
                <w:p w14:paraId="5C8AEC88" w14:textId="77777777" w:rsidR="000E107D" w:rsidRDefault="000E107D">
                  <w:pPr>
                    <w:pStyle w:val="Compact"/>
                  </w:pPr>
                </w:p>
              </w:tc>
              <w:tc>
                <w:tcPr>
                  <w:tcW w:w="496" w:type="dxa"/>
                </w:tcPr>
                <w:p w14:paraId="58A10E06" w14:textId="77777777" w:rsidR="000E107D" w:rsidRDefault="000E107D">
                  <w:pPr>
                    <w:pStyle w:val="Compact"/>
                  </w:pPr>
                </w:p>
              </w:tc>
              <w:tc>
                <w:tcPr>
                  <w:tcW w:w="780" w:type="dxa"/>
                </w:tcPr>
                <w:p w14:paraId="35A3D63F" w14:textId="77777777" w:rsidR="000E107D" w:rsidRDefault="000E107D">
                  <w:pPr>
                    <w:pStyle w:val="Compact"/>
                  </w:pPr>
                </w:p>
              </w:tc>
              <w:tc>
                <w:tcPr>
                  <w:tcW w:w="496" w:type="dxa"/>
                </w:tcPr>
                <w:p w14:paraId="695EEF19" w14:textId="77777777" w:rsidR="000E107D" w:rsidRDefault="000E107D">
                  <w:pPr>
                    <w:pStyle w:val="Compact"/>
                  </w:pPr>
                </w:p>
              </w:tc>
              <w:tc>
                <w:tcPr>
                  <w:tcW w:w="780" w:type="dxa"/>
                </w:tcPr>
                <w:p w14:paraId="7A078578" w14:textId="77777777" w:rsidR="000E107D" w:rsidRDefault="00000000">
                  <w:pPr>
                    <w:pStyle w:val="Compact"/>
                    <w:jc w:val="center"/>
                  </w:pPr>
                  <w:r>
                    <w:t>0.092</w:t>
                  </w:r>
                </w:p>
              </w:tc>
              <w:tc>
                <w:tcPr>
                  <w:tcW w:w="1205" w:type="dxa"/>
                </w:tcPr>
                <w:p w14:paraId="0D98424F" w14:textId="77777777" w:rsidR="000E107D" w:rsidRDefault="00000000">
                  <w:pPr>
                    <w:pStyle w:val="Compact"/>
                    <w:jc w:val="center"/>
                  </w:pPr>
                  <w:r>
                    <w:t>(SD)</w:t>
                  </w:r>
                </w:p>
              </w:tc>
            </w:tr>
            <w:tr w:rsidR="000E107D" w14:paraId="70B84ECD" w14:textId="77777777" w:rsidTr="00E32053">
              <w:tc>
                <w:tcPr>
                  <w:tcW w:w="2270" w:type="dxa"/>
                </w:tcPr>
                <w:p w14:paraId="6CD06C39" w14:textId="77777777" w:rsidR="000E107D" w:rsidRDefault="000E107D">
                  <w:pPr>
                    <w:pStyle w:val="Compact"/>
                  </w:pPr>
                </w:p>
              </w:tc>
              <w:tc>
                <w:tcPr>
                  <w:tcW w:w="781" w:type="dxa"/>
                </w:tcPr>
                <w:p w14:paraId="12D4A917" w14:textId="77777777" w:rsidR="000E107D" w:rsidRDefault="000E107D">
                  <w:pPr>
                    <w:pStyle w:val="Compact"/>
                  </w:pPr>
                </w:p>
              </w:tc>
              <w:tc>
                <w:tcPr>
                  <w:tcW w:w="496" w:type="dxa"/>
                </w:tcPr>
                <w:p w14:paraId="03679DDE" w14:textId="77777777" w:rsidR="000E107D" w:rsidRDefault="000E107D">
                  <w:pPr>
                    <w:pStyle w:val="Compact"/>
                  </w:pPr>
                </w:p>
              </w:tc>
              <w:tc>
                <w:tcPr>
                  <w:tcW w:w="780" w:type="dxa"/>
                </w:tcPr>
                <w:p w14:paraId="391FFE34" w14:textId="77777777" w:rsidR="000E107D" w:rsidRDefault="000E107D">
                  <w:pPr>
                    <w:pStyle w:val="Compact"/>
                  </w:pPr>
                </w:p>
              </w:tc>
              <w:tc>
                <w:tcPr>
                  <w:tcW w:w="496" w:type="dxa"/>
                </w:tcPr>
                <w:p w14:paraId="1B67DF58" w14:textId="77777777" w:rsidR="000E107D" w:rsidRDefault="000E107D">
                  <w:pPr>
                    <w:pStyle w:val="Compact"/>
                  </w:pPr>
                </w:p>
              </w:tc>
              <w:tc>
                <w:tcPr>
                  <w:tcW w:w="780" w:type="dxa"/>
                </w:tcPr>
                <w:p w14:paraId="7AEFED42" w14:textId="77777777" w:rsidR="000E107D" w:rsidRDefault="000E107D">
                  <w:pPr>
                    <w:pStyle w:val="Compact"/>
                  </w:pPr>
                </w:p>
              </w:tc>
              <w:tc>
                <w:tcPr>
                  <w:tcW w:w="496" w:type="dxa"/>
                </w:tcPr>
                <w:p w14:paraId="616E0951" w14:textId="77777777" w:rsidR="000E107D" w:rsidRDefault="000E107D">
                  <w:pPr>
                    <w:pStyle w:val="Compact"/>
                  </w:pPr>
                </w:p>
              </w:tc>
              <w:tc>
                <w:tcPr>
                  <w:tcW w:w="780" w:type="dxa"/>
                </w:tcPr>
                <w:p w14:paraId="55684A82" w14:textId="77777777" w:rsidR="000E107D" w:rsidRDefault="000E107D">
                  <w:pPr>
                    <w:pStyle w:val="Compact"/>
                  </w:pPr>
                </w:p>
              </w:tc>
              <w:tc>
                <w:tcPr>
                  <w:tcW w:w="496" w:type="dxa"/>
                </w:tcPr>
                <w:p w14:paraId="1CFF2E27" w14:textId="77777777" w:rsidR="000E107D" w:rsidRDefault="000E107D">
                  <w:pPr>
                    <w:pStyle w:val="Compact"/>
                  </w:pPr>
                </w:p>
              </w:tc>
              <w:tc>
                <w:tcPr>
                  <w:tcW w:w="780" w:type="dxa"/>
                </w:tcPr>
                <w:p w14:paraId="049A483E" w14:textId="77777777" w:rsidR="000E107D" w:rsidRDefault="000E107D">
                  <w:pPr>
                    <w:pStyle w:val="Compact"/>
                  </w:pPr>
                </w:p>
              </w:tc>
              <w:tc>
                <w:tcPr>
                  <w:tcW w:w="1205" w:type="dxa"/>
                </w:tcPr>
                <w:p w14:paraId="2DD21D3C" w14:textId="77777777" w:rsidR="000E107D" w:rsidRDefault="000E107D">
                  <w:pPr>
                    <w:pStyle w:val="Compact"/>
                  </w:pPr>
                </w:p>
              </w:tc>
            </w:tr>
            <w:tr w:rsidR="000E107D" w14:paraId="2C7F1E56" w14:textId="77777777" w:rsidTr="00E32053">
              <w:tc>
                <w:tcPr>
                  <w:tcW w:w="2270" w:type="dxa"/>
                </w:tcPr>
                <w:p w14:paraId="69B3FDAA" w14:textId="77777777" w:rsidR="000E107D" w:rsidRDefault="00000000">
                  <w:pPr>
                    <w:pStyle w:val="Compact"/>
                    <w:jc w:val="center"/>
                  </w:pPr>
                  <w:r>
                    <w:t>R²</w:t>
                  </w:r>
                </w:p>
              </w:tc>
              <w:tc>
                <w:tcPr>
                  <w:tcW w:w="781" w:type="dxa"/>
                </w:tcPr>
                <w:p w14:paraId="391751E1" w14:textId="77777777" w:rsidR="000E107D" w:rsidRDefault="00000000">
                  <w:pPr>
                    <w:pStyle w:val="Compact"/>
                    <w:jc w:val="center"/>
                  </w:pPr>
                  <w:r>
                    <w:t>0.393</w:t>
                  </w:r>
                </w:p>
              </w:tc>
              <w:tc>
                <w:tcPr>
                  <w:tcW w:w="496" w:type="dxa"/>
                </w:tcPr>
                <w:p w14:paraId="4EACE686" w14:textId="77777777" w:rsidR="000E107D" w:rsidRDefault="000E107D">
                  <w:pPr>
                    <w:pStyle w:val="Compact"/>
                  </w:pPr>
                </w:p>
              </w:tc>
              <w:tc>
                <w:tcPr>
                  <w:tcW w:w="780" w:type="dxa"/>
                </w:tcPr>
                <w:p w14:paraId="5A148EF3" w14:textId="77777777" w:rsidR="000E107D" w:rsidRDefault="00000000">
                  <w:pPr>
                    <w:pStyle w:val="Compact"/>
                    <w:jc w:val="center"/>
                  </w:pPr>
                  <w:r>
                    <w:t>0.612</w:t>
                  </w:r>
                </w:p>
              </w:tc>
              <w:tc>
                <w:tcPr>
                  <w:tcW w:w="496" w:type="dxa"/>
                </w:tcPr>
                <w:p w14:paraId="61BCEC2C" w14:textId="77777777" w:rsidR="000E107D" w:rsidRDefault="000E107D">
                  <w:pPr>
                    <w:pStyle w:val="Compact"/>
                  </w:pPr>
                </w:p>
              </w:tc>
              <w:tc>
                <w:tcPr>
                  <w:tcW w:w="780" w:type="dxa"/>
                </w:tcPr>
                <w:p w14:paraId="27BD4368" w14:textId="77777777" w:rsidR="000E107D" w:rsidRDefault="00000000">
                  <w:pPr>
                    <w:pStyle w:val="Compact"/>
                    <w:jc w:val="center"/>
                  </w:pPr>
                  <w:r>
                    <w:t>0.696</w:t>
                  </w:r>
                </w:p>
              </w:tc>
              <w:tc>
                <w:tcPr>
                  <w:tcW w:w="496" w:type="dxa"/>
                </w:tcPr>
                <w:p w14:paraId="22CFA415" w14:textId="77777777" w:rsidR="000E107D" w:rsidRDefault="000E107D">
                  <w:pPr>
                    <w:pStyle w:val="Compact"/>
                  </w:pPr>
                </w:p>
              </w:tc>
              <w:tc>
                <w:tcPr>
                  <w:tcW w:w="780" w:type="dxa"/>
                </w:tcPr>
                <w:p w14:paraId="12D66F0E" w14:textId="77777777" w:rsidR="000E107D" w:rsidRDefault="00000000">
                  <w:pPr>
                    <w:pStyle w:val="Compact"/>
                    <w:jc w:val="center"/>
                  </w:pPr>
                  <w:r>
                    <w:t>0.709</w:t>
                  </w:r>
                </w:p>
              </w:tc>
              <w:tc>
                <w:tcPr>
                  <w:tcW w:w="496" w:type="dxa"/>
                </w:tcPr>
                <w:p w14:paraId="476F331E" w14:textId="77777777" w:rsidR="000E107D" w:rsidRDefault="000E107D">
                  <w:pPr>
                    <w:pStyle w:val="Compact"/>
                  </w:pPr>
                </w:p>
              </w:tc>
              <w:tc>
                <w:tcPr>
                  <w:tcW w:w="780" w:type="dxa"/>
                </w:tcPr>
                <w:p w14:paraId="1008E73C" w14:textId="77777777" w:rsidR="000E107D" w:rsidRDefault="00000000">
                  <w:pPr>
                    <w:pStyle w:val="Compact"/>
                    <w:jc w:val="center"/>
                  </w:pPr>
                  <w:r>
                    <w:t>0.651</w:t>
                  </w:r>
                </w:p>
              </w:tc>
              <w:tc>
                <w:tcPr>
                  <w:tcW w:w="1205" w:type="dxa"/>
                </w:tcPr>
                <w:p w14:paraId="409B9A66" w14:textId="77777777" w:rsidR="000E107D" w:rsidRDefault="00000000">
                  <w:pPr>
                    <w:pStyle w:val="Compact"/>
                    <w:jc w:val="center"/>
                  </w:pPr>
                  <w:r>
                    <w:t>(marginal)</w:t>
                  </w:r>
                </w:p>
              </w:tc>
            </w:tr>
            <w:tr w:rsidR="000E107D" w14:paraId="3B4CA400" w14:textId="77777777" w:rsidTr="00E32053">
              <w:tc>
                <w:tcPr>
                  <w:tcW w:w="2270" w:type="dxa"/>
                </w:tcPr>
                <w:p w14:paraId="23BB9692" w14:textId="77777777" w:rsidR="000E107D" w:rsidRDefault="00000000">
                  <w:pPr>
                    <w:pStyle w:val="Compact"/>
                    <w:jc w:val="center"/>
                  </w:pPr>
                  <w:r>
                    <w:t>R² (conditional)</w:t>
                  </w:r>
                </w:p>
              </w:tc>
              <w:tc>
                <w:tcPr>
                  <w:tcW w:w="781" w:type="dxa"/>
                </w:tcPr>
                <w:p w14:paraId="6E8C23E5" w14:textId="77777777" w:rsidR="000E107D" w:rsidRDefault="000E107D">
                  <w:pPr>
                    <w:pStyle w:val="Compact"/>
                  </w:pPr>
                </w:p>
              </w:tc>
              <w:tc>
                <w:tcPr>
                  <w:tcW w:w="496" w:type="dxa"/>
                </w:tcPr>
                <w:p w14:paraId="114A05A0" w14:textId="77777777" w:rsidR="000E107D" w:rsidRDefault="000E107D">
                  <w:pPr>
                    <w:pStyle w:val="Compact"/>
                  </w:pPr>
                </w:p>
              </w:tc>
              <w:tc>
                <w:tcPr>
                  <w:tcW w:w="780" w:type="dxa"/>
                </w:tcPr>
                <w:p w14:paraId="5FC6814C" w14:textId="77777777" w:rsidR="000E107D" w:rsidRDefault="000E107D">
                  <w:pPr>
                    <w:pStyle w:val="Compact"/>
                  </w:pPr>
                </w:p>
              </w:tc>
              <w:tc>
                <w:tcPr>
                  <w:tcW w:w="496" w:type="dxa"/>
                </w:tcPr>
                <w:p w14:paraId="5D5B26F6" w14:textId="77777777" w:rsidR="000E107D" w:rsidRDefault="000E107D">
                  <w:pPr>
                    <w:pStyle w:val="Compact"/>
                  </w:pPr>
                </w:p>
              </w:tc>
              <w:tc>
                <w:tcPr>
                  <w:tcW w:w="780" w:type="dxa"/>
                </w:tcPr>
                <w:p w14:paraId="0CF289DB" w14:textId="77777777" w:rsidR="000E107D" w:rsidRDefault="000E107D">
                  <w:pPr>
                    <w:pStyle w:val="Compact"/>
                  </w:pPr>
                </w:p>
              </w:tc>
              <w:tc>
                <w:tcPr>
                  <w:tcW w:w="496" w:type="dxa"/>
                </w:tcPr>
                <w:p w14:paraId="4F9F4BE8" w14:textId="77777777" w:rsidR="000E107D" w:rsidRDefault="000E107D">
                  <w:pPr>
                    <w:pStyle w:val="Compact"/>
                  </w:pPr>
                </w:p>
              </w:tc>
              <w:tc>
                <w:tcPr>
                  <w:tcW w:w="780" w:type="dxa"/>
                </w:tcPr>
                <w:p w14:paraId="2D2FE9B6" w14:textId="77777777" w:rsidR="000E107D" w:rsidRDefault="000E107D">
                  <w:pPr>
                    <w:pStyle w:val="Compact"/>
                  </w:pPr>
                </w:p>
              </w:tc>
              <w:tc>
                <w:tcPr>
                  <w:tcW w:w="496" w:type="dxa"/>
                </w:tcPr>
                <w:p w14:paraId="2225AA35" w14:textId="77777777" w:rsidR="000E107D" w:rsidRDefault="000E107D">
                  <w:pPr>
                    <w:pStyle w:val="Compact"/>
                  </w:pPr>
                </w:p>
              </w:tc>
              <w:tc>
                <w:tcPr>
                  <w:tcW w:w="780" w:type="dxa"/>
                </w:tcPr>
                <w:p w14:paraId="19FF8AD9" w14:textId="77777777" w:rsidR="000E107D" w:rsidRDefault="00000000">
                  <w:pPr>
                    <w:pStyle w:val="Compact"/>
                    <w:jc w:val="center"/>
                  </w:pPr>
                  <w:r>
                    <w:t>0.779</w:t>
                  </w:r>
                </w:p>
              </w:tc>
              <w:tc>
                <w:tcPr>
                  <w:tcW w:w="1205" w:type="dxa"/>
                </w:tcPr>
                <w:p w14:paraId="7B7E6744" w14:textId="77777777" w:rsidR="000E107D" w:rsidRDefault="00000000">
                  <w:pPr>
                    <w:pStyle w:val="Compact"/>
                    <w:jc w:val="center"/>
                  </w:pPr>
                  <w:r>
                    <w:t>(fixed + random)</w:t>
                  </w:r>
                </w:p>
              </w:tc>
            </w:tr>
            <w:tr w:rsidR="000E107D" w14:paraId="6EAE2DC9" w14:textId="77777777" w:rsidTr="00E32053">
              <w:tc>
                <w:tcPr>
                  <w:tcW w:w="2270" w:type="dxa"/>
                </w:tcPr>
                <w:p w14:paraId="063C5711" w14:textId="77777777" w:rsidR="000E107D" w:rsidRDefault="00000000">
                  <w:pPr>
                    <w:pStyle w:val="Compact"/>
                    <w:jc w:val="center"/>
                  </w:pPr>
                  <w:r>
                    <w:t>N</w:t>
                  </w:r>
                </w:p>
              </w:tc>
              <w:tc>
                <w:tcPr>
                  <w:tcW w:w="781" w:type="dxa"/>
                </w:tcPr>
                <w:p w14:paraId="53E4CA17" w14:textId="77777777" w:rsidR="000E107D" w:rsidRDefault="00000000">
                  <w:pPr>
                    <w:pStyle w:val="Compact"/>
                    <w:jc w:val="center"/>
                  </w:pPr>
                  <w:r>
                    <w:t>12,210</w:t>
                  </w:r>
                </w:p>
              </w:tc>
              <w:tc>
                <w:tcPr>
                  <w:tcW w:w="496" w:type="dxa"/>
                </w:tcPr>
                <w:p w14:paraId="0B29C6ED" w14:textId="77777777" w:rsidR="000E107D" w:rsidRDefault="000E107D">
                  <w:pPr>
                    <w:pStyle w:val="Compact"/>
                  </w:pPr>
                </w:p>
              </w:tc>
              <w:tc>
                <w:tcPr>
                  <w:tcW w:w="780" w:type="dxa"/>
                </w:tcPr>
                <w:p w14:paraId="5CC11B28" w14:textId="77777777" w:rsidR="000E107D" w:rsidRDefault="00000000">
                  <w:pPr>
                    <w:pStyle w:val="Compact"/>
                    <w:jc w:val="center"/>
                  </w:pPr>
                  <w:r>
                    <w:t>12,210</w:t>
                  </w:r>
                </w:p>
              </w:tc>
              <w:tc>
                <w:tcPr>
                  <w:tcW w:w="496" w:type="dxa"/>
                </w:tcPr>
                <w:p w14:paraId="773BBC0C" w14:textId="77777777" w:rsidR="000E107D" w:rsidRDefault="000E107D">
                  <w:pPr>
                    <w:pStyle w:val="Compact"/>
                  </w:pPr>
                </w:p>
              </w:tc>
              <w:tc>
                <w:tcPr>
                  <w:tcW w:w="780" w:type="dxa"/>
                </w:tcPr>
                <w:p w14:paraId="49AA157D" w14:textId="77777777" w:rsidR="000E107D" w:rsidRDefault="00000000">
                  <w:pPr>
                    <w:pStyle w:val="Compact"/>
                    <w:jc w:val="center"/>
                  </w:pPr>
                  <w:r>
                    <w:t>12,210</w:t>
                  </w:r>
                </w:p>
              </w:tc>
              <w:tc>
                <w:tcPr>
                  <w:tcW w:w="496" w:type="dxa"/>
                </w:tcPr>
                <w:p w14:paraId="1D074370" w14:textId="77777777" w:rsidR="000E107D" w:rsidRDefault="000E107D">
                  <w:pPr>
                    <w:pStyle w:val="Compact"/>
                  </w:pPr>
                </w:p>
              </w:tc>
              <w:tc>
                <w:tcPr>
                  <w:tcW w:w="780" w:type="dxa"/>
                </w:tcPr>
                <w:p w14:paraId="3AB2F029" w14:textId="77777777" w:rsidR="000E107D" w:rsidRDefault="00000000">
                  <w:pPr>
                    <w:pStyle w:val="Compact"/>
                    <w:jc w:val="center"/>
                  </w:pPr>
                  <w:r>
                    <w:t>12,210</w:t>
                  </w:r>
                </w:p>
              </w:tc>
              <w:tc>
                <w:tcPr>
                  <w:tcW w:w="496" w:type="dxa"/>
                </w:tcPr>
                <w:p w14:paraId="7DB431E1" w14:textId="77777777" w:rsidR="000E107D" w:rsidRDefault="000E107D">
                  <w:pPr>
                    <w:pStyle w:val="Compact"/>
                  </w:pPr>
                </w:p>
              </w:tc>
              <w:tc>
                <w:tcPr>
                  <w:tcW w:w="780" w:type="dxa"/>
                </w:tcPr>
                <w:p w14:paraId="04EA6E8A" w14:textId="77777777" w:rsidR="000E107D" w:rsidRDefault="00000000">
                  <w:pPr>
                    <w:pStyle w:val="Compact"/>
                    <w:jc w:val="center"/>
                  </w:pPr>
                  <w:r>
                    <w:t>12,210</w:t>
                  </w:r>
                </w:p>
              </w:tc>
              <w:tc>
                <w:tcPr>
                  <w:tcW w:w="1205" w:type="dxa"/>
                </w:tcPr>
                <w:p w14:paraId="309F69E4" w14:textId="77777777" w:rsidR="000E107D" w:rsidRDefault="000E107D">
                  <w:pPr>
                    <w:pStyle w:val="Compact"/>
                  </w:pPr>
                </w:p>
              </w:tc>
            </w:tr>
            <w:bookmarkEnd w:id="85"/>
          </w:tbl>
          <w:p w14:paraId="2B1F6FAE" w14:textId="77777777" w:rsidR="000E107D" w:rsidRDefault="000E107D"/>
        </w:tc>
      </w:tr>
    </w:tbl>
    <w:p w14:paraId="217ABEF7"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5E9D29F5" w14:textId="77777777">
        <w:tc>
          <w:tcPr>
            <w:tcW w:w="7920" w:type="dxa"/>
          </w:tcPr>
          <w:p w14:paraId="7CFCCF7C" w14:textId="77777777" w:rsidR="000E107D" w:rsidRDefault="00000000">
            <w:pPr>
              <w:pStyle w:val="Compact"/>
              <w:jc w:val="center"/>
            </w:pPr>
            <w:bookmarkStart w:id="86" w:name="fig-standardised-coefficients"/>
            <w:r>
              <w:rPr>
                <w:noProof/>
              </w:rPr>
              <w:lastRenderedPageBreak/>
              <w:drawing>
                <wp:inline distT="0" distB="0" distL="0" distR="0" wp14:anchorId="3BD0CFA4" wp14:editId="54BA9BC5">
                  <wp:extent cx="5943600" cy="4245428"/>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RPE_Paper_files/figure-docx/fig-standardised-coefficients-1.png"/>
                          <pic:cNvPicPr>
                            <a:picLocks noChangeAspect="1" noChangeArrowheads="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p w14:paraId="09B0CC60" w14:textId="77777777" w:rsidR="000E107D" w:rsidRDefault="00000000">
            <w:pPr>
              <w:pStyle w:val="ImageCaption"/>
              <w:spacing w:before="200"/>
            </w:pPr>
            <w:r>
              <w:t>Figure 1: Standardised coefficients showing relative variable importance across pupil groups. Bars show the change in log(ATT8) associated with a one-SD shift in each predictor.</w:t>
            </w:r>
          </w:p>
        </w:tc>
        <w:bookmarkEnd w:id="86"/>
      </w:tr>
    </w:tbl>
    <w:p w14:paraId="4E5F86DA"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1FCE66D9" w14:textId="77777777">
        <w:tc>
          <w:tcPr>
            <w:tcW w:w="7920" w:type="dxa"/>
          </w:tcPr>
          <w:p w14:paraId="41C533C9" w14:textId="77777777" w:rsidR="000E107D" w:rsidRDefault="00000000">
            <w:pPr>
              <w:pStyle w:val="Compact"/>
              <w:jc w:val="center"/>
            </w:pPr>
            <w:bookmarkStart w:id="87" w:name="fig-catchments"/>
            <w:r>
              <w:rPr>
                <w:noProof/>
              </w:rPr>
              <w:lastRenderedPageBreak/>
              <w:drawing>
                <wp:inline distT="0" distB="0" distL="0" distR="0" wp14:anchorId="15F6C290" wp14:editId="3692DAAA">
                  <wp:extent cx="5943600" cy="5094514"/>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RPE_Paper_files/figure-docx/fig-catchments-1.png"/>
                          <pic:cNvPicPr>
                            <a:picLocks noChangeAspect="1" noChangeArrowheads="1"/>
                          </pic:cNvPicPr>
                        </pic:nvPicPr>
                        <pic:blipFill>
                          <a:blip r:embed="rId57"/>
                          <a:stretch>
                            <a:fillRect/>
                          </a:stretch>
                        </pic:blipFill>
                        <pic:spPr bwMode="auto">
                          <a:xfrm>
                            <a:off x="0" y="0"/>
                            <a:ext cx="5943600" cy="5094514"/>
                          </a:xfrm>
                          <a:prstGeom prst="rect">
                            <a:avLst/>
                          </a:prstGeom>
                          <a:noFill/>
                          <a:ln w="9525">
                            <a:noFill/>
                            <a:headEnd/>
                            <a:tailEnd/>
                          </a:ln>
                        </pic:spPr>
                      </pic:pic>
                    </a:graphicData>
                  </a:graphic>
                </wp:inline>
              </w:drawing>
            </w:r>
          </w:p>
          <w:p w14:paraId="456070A6" w14:textId="77777777" w:rsidR="000E107D" w:rsidRDefault="00000000">
            <w:pPr>
              <w:pStyle w:val="ImageCaption"/>
              <w:spacing w:before="200"/>
            </w:pPr>
            <w:r>
              <w:t>Figure 2: Brighton and Hove secondary schools with 2025/26 catchment boundaries.</w:t>
            </w:r>
          </w:p>
        </w:tc>
        <w:bookmarkEnd w:id="87"/>
      </w:tr>
    </w:tbl>
    <w:p w14:paraId="4C4C64CE"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5008D5AB" w14:textId="77777777">
        <w:tc>
          <w:tcPr>
            <w:tcW w:w="7920" w:type="dxa"/>
          </w:tcPr>
          <w:p w14:paraId="29C401BD" w14:textId="77777777" w:rsidR="000E107D" w:rsidRDefault="00000000">
            <w:pPr>
              <w:pStyle w:val="Compact"/>
              <w:jc w:val="center"/>
            </w:pPr>
            <w:bookmarkStart w:id="88" w:name="fig-caterpillar"/>
            <w:r>
              <w:rPr>
                <w:noProof/>
              </w:rPr>
              <w:lastRenderedPageBreak/>
              <w:drawing>
                <wp:inline distT="0" distB="0" distL="0" distR="0" wp14:anchorId="3ADB891E" wp14:editId="13282A2E">
                  <wp:extent cx="5943600" cy="5094514"/>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RPE_Paper_files/figure-docx/fig-caterpillar-1.png"/>
                          <pic:cNvPicPr>
                            <a:picLocks noChangeAspect="1" noChangeArrowheads="1"/>
                          </pic:cNvPicPr>
                        </pic:nvPicPr>
                        <pic:blipFill>
                          <a:blip r:embed="rId58"/>
                          <a:stretch>
                            <a:fillRect/>
                          </a:stretch>
                        </pic:blipFill>
                        <pic:spPr bwMode="auto">
                          <a:xfrm>
                            <a:off x="0" y="0"/>
                            <a:ext cx="5943600" cy="5094514"/>
                          </a:xfrm>
                          <a:prstGeom prst="rect">
                            <a:avLst/>
                          </a:prstGeom>
                          <a:noFill/>
                          <a:ln w="9525">
                            <a:noFill/>
                            <a:headEnd/>
                            <a:tailEnd/>
                          </a:ln>
                        </pic:spPr>
                      </pic:pic>
                    </a:graphicData>
                  </a:graphic>
                </wp:inline>
              </w:drawing>
            </w:r>
          </w:p>
          <w:p w14:paraId="5F836D66" w14:textId="77777777" w:rsidR="000E107D" w:rsidRDefault="00000000">
            <w:pPr>
              <w:pStyle w:val="ImageCaption"/>
              <w:spacing w:before="200"/>
            </w:pPr>
            <w:r>
              <w:t>Figure 3: LA random intercepts for disadvantaged-pupil attainment (imputed full panel model). Top and bottom 10 LAs labelled; Brighton and Hove highlighted.</w:t>
            </w:r>
          </w:p>
        </w:tc>
        <w:bookmarkEnd w:id="88"/>
      </w:tr>
    </w:tbl>
    <w:p w14:paraId="7DF9E55F" w14:textId="4366D954" w:rsidR="00E32053" w:rsidRDefault="00000000">
      <w:pPr>
        <w:pStyle w:val="BodyText"/>
      </w:pPr>
      <w:r>
        <w:t xml:space="preserve"> </w:t>
      </w:r>
    </w:p>
    <w:p w14:paraId="5BAC50BE" w14:textId="77777777" w:rsidR="00E32053" w:rsidRDefault="00E32053">
      <w:pPr>
        <w:spacing w:after="200" w:line="240" w:lineRule="auto"/>
      </w:pPr>
      <w:r>
        <w:br w:type="page"/>
      </w:r>
    </w:p>
    <w:p w14:paraId="3D500F47" w14:textId="77777777" w:rsidR="000E107D" w:rsidRDefault="000E107D">
      <w:pPr>
        <w:pStyle w:val="BodyText"/>
      </w:pPr>
    </w:p>
    <w:tbl>
      <w:tblPr>
        <w:tblStyle w:val="Table"/>
        <w:tblW w:w="5000" w:type="pct"/>
        <w:tblLayout w:type="fixed"/>
        <w:tblLook w:val="0000" w:firstRow="0" w:lastRow="0" w:firstColumn="0" w:lastColumn="0" w:noHBand="0" w:noVBand="0"/>
      </w:tblPr>
      <w:tblGrid>
        <w:gridCol w:w="9446"/>
      </w:tblGrid>
      <w:tr w:rsidR="000E107D" w14:paraId="4614F2BF" w14:textId="77777777">
        <w:tc>
          <w:tcPr>
            <w:tcW w:w="7920" w:type="dxa"/>
          </w:tcPr>
          <w:p w14:paraId="76E16F0F" w14:textId="77777777" w:rsidR="000E107D" w:rsidRDefault="00000000">
            <w:pPr>
              <w:pStyle w:val="ImageCaption"/>
              <w:spacing w:before="200"/>
            </w:pPr>
            <w:bookmarkStart w:id="89" w:name="tbl-la-absence"/>
            <w:r>
              <w:t>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w="5000" w:type="pct"/>
              <w:tblLayout w:type="fixed"/>
              <w:tblLook w:val="0020" w:firstRow="1" w:lastRow="0" w:firstColumn="0" w:lastColumn="0" w:noHBand="0" w:noVBand="0"/>
            </w:tblPr>
            <w:tblGrid>
              <w:gridCol w:w="3787"/>
              <w:gridCol w:w="1156"/>
              <w:gridCol w:w="1683"/>
              <w:gridCol w:w="1788"/>
              <w:gridCol w:w="946"/>
            </w:tblGrid>
            <w:tr w:rsidR="000E107D" w14:paraId="3B8DEC0B" w14:textId="77777777" w:rsidTr="000E107D">
              <w:trPr>
                <w:cnfStyle w:val="100000000000" w:firstRow="1" w:lastRow="0" w:firstColumn="0" w:lastColumn="0" w:oddVBand="0" w:evenVBand="0" w:oddHBand="0" w:evenHBand="0" w:firstRowFirstColumn="0" w:firstRowLastColumn="0" w:lastRowFirstColumn="0" w:lastRowLastColumn="0"/>
                <w:tblHeader/>
              </w:trPr>
              <w:tc>
                <w:tcPr>
                  <w:tcW w:w="3203" w:type="dxa"/>
                </w:tcPr>
                <w:p w14:paraId="416E94E6" w14:textId="77777777" w:rsidR="000E107D" w:rsidRPr="004131D5" w:rsidRDefault="00000000">
                  <w:pPr>
                    <w:pStyle w:val="Compact"/>
                    <w:jc w:val="center"/>
                    <w:rPr>
                      <w:b/>
                      <w:bCs/>
                    </w:rPr>
                  </w:pPr>
                  <w:r w:rsidRPr="004131D5">
                    <w:rPr>
                      <w:b/>
                      <w:bCs/>
                    </w:rPr>
                    <w:t>Specification</w:t>
                  </w:r>
                </w:p>
              </w:tc>
              <w:tc>
                <w:tcPr>
                  <w:tcW w:w="978" w:type="dxa"/>
                </w:tcPr>
                <w:p w14:paraId="4A531E89" w14:textId="77777777" w:rsidR="000E107D" w:rsidRPr="004131D5" w:rsidRDefault="00000000">
                  <w:pPr>
                    <w:pStyle w:val="Compact"/>
                    <w:jc w:val="center"/>
                    <w:rPr>
                      <w:b/>
                      <w:bCs/>
                    </w:rPr>
                  </w:pPr>
                  <w:r w:rsidRPr="004131D5">
                    <w:rPr>
                      <w:b/>
                      <w:bCs/>
                    </w:rPr>
                    <w:t>B&amp;H effect</w:t>
                  </w:r>
                </w:p>
              </w:tc>
              <w:tc>
                <w:tcPr>
                  <w:tcW w:w="1423" w:type="dxa"/>
                </w:tcPr>
                <w:p w14:paraId="71C74595" w14:textId="77777777" w:rsidR="000E107D" w:rsidRPr="004131D5" w:rsidRDefault="00000000">
                  <w:pPr>
                    <w:pStyle w:val="Compact"/>
                    <w:jc w:val="center"/>
                    <w:rPr>
                      <w:b/>
                      <w:bCs/>
                    </w:rPr>
                  </w:pPr>
                  <w:r w:rsidRPr="004131D5">
                    <w:rPr>
                      <w:b/>
                      <w:bCs/>
                    </w:rPr>
                    <w:t>95% CI</w:t>
                  </w:r>
                </w:p>
              </w:tc>
              <w:tc>
                <w:tcPr>
                  <w:tcW w:w="1512" w:type="dxa"/>
                </w:tcPr>
                <w:p w14:paraId="04C560D7" w14:textId="77777777" w:rsidR="000E107D" w:rsidRPr="004131D5" w:rsidRDefault="00000000">
                  <w:pPr>
                    <w:pStyle w:val="Compact"/>
                    <w:jc w:val="center"/>
                    <w:rPr>
                      <w:b/>
                      <w:bCs/>
                    </w:rPr>
                  </w:pPr>
                  <w:r w:rsidRPr="004131D5">
                    <w:rPr>
                      <w:b/>
                      <w:bCs/>
                    </w:rPr>
                    <w:t>Rank</w:t>
                  </w:r>
                </w:p>
              </w:tc>
              <w:tc>
                <w:tcPr>
                  <w:tcW w:w="800" w:type="dxa"/>
                </w:tcPr>
                <w:p w14:paraId="2320C763" w14:textId="77777777" w:rsidR="000E107D" w:rsidRPr="004131D5" w:rsidRDefault="00000000">
                  <w:pPr>
                    <w:pStyle w:val="Compact"/>
                    <w:jc w:val="center"/>
                    <w:rPr>
                      <w:b/>
                      <w:bCs/>
                    </w:rPr>
                  </w:pPr>
                  <w:r w:rsidRPr="004131D5">
                    <w:rPr>
                      <w:b/>
                      <w:bCs/>
                    </w:rPr>
                    <w:t>ATT8 pts</w:t>
                  </w:r>
                </w:p>
              </w:tc>
            </w:tr>
            <w:tr w:rsidR="000E107D" w14:paraId="168607F0" w14:textId="77777777">
              <w:tc>
                <w:tcPr>
                  <w:tcW w:w="3203" w:type="dxa"/>
                </w:tcPr>
                <w:p w14:paraId="4EA53BFC" w14:textId="77777777" w:rsidR="000E107D" w:rsidRDefault="00000000">
                  <w:pPr>
                    <w:pStyle w:val="Compact"/>
                    <w:jc w:val="center"/>
                  </w:pPr>
                  <w:r>
                    <w:t>No absence control</w:t>
                  </w:r>
                </w:p>
              </w:tc>
              <w:tc>
                <w:tcPr>
                  <w:tcW w:w="978" w:type="dxa"/>
                </w:tcPr>
                <w:p w14:paraId="33FB1228" w14:textId="77777777" w:rsidR="000E107D" w:rsidRDefault="00000000">
                  <w:pPr>
                    <w:pStyle w:val="Compact"/>
                    <w:jc w:val="center"/>
                  </w:pPr>
                  <w:r>
                    <w:t>+0.006</w:t>
                  </w:r>
                </w:p>
              </w:tc>
              <w:tc>
                <w:tcPr>
                  <w:tcW w:w="1423" w:type="dxa"/>
                </w:tcPr>
                <w:p w14:paraId="41F459AE" w14:textId="77777777" w:rsidR="000E107D" w:rsidRDefault="00000000">
                  <w:pPr>
                    <w:pStyle w:val="Compact"/>
                    <w:jc w:val="center"/>
                  </w:pPr>
                  <w:r>
                    <w:t>-0.034 to 0.046</w:t>
                  </w:r>
                </w:p>
              </w:tc>
              <w:tc>
                <w:tcPr>
                  <w:tcW w:w="1512" w:type="dxa"/>
                </w:tcPr>
                <w:p w14:paraId="5621372F" w14:textId="77777777" w:rsidR="000E107D" w:rsidRDefault="00000000">
                  <w:pPr>
                    <w:pStyle w:val="Compact"/>
                    <w:jc w:val="center"/>
                  </w:pPr>
                  <w:r>
                    <w:t>69 of 151 (n.s.)</w:t>
                  </w:r>
                </w:p>
              </w:tc>
              <w:tc>
                <w:tcPr>
                  <w:tcW w:w="800" w:type="dxa"/>
                </w:tcPr>
                <w:p w14:paraId="534EF125" w14:textId="77777777" w:rsidR="000E107D" w:rsidRDefault="00000000">
                  <w:pPr>
                    <w:pStyle w:val="Compact"/>
                    <w:jc w:val="center"/>
                  </w:pPr>
                  <w:r>
                    <w:t>+0.2</w:t>
                  </w:r>
                </w:p>
              </w:tc>
            </w:tr>
            <w:tr w:rsidR="000E107D" w14:paraId="65971DEA" w14:textId="77777777">
              <w:tc>
                <w:tcPr>
                  <w:tcW w:w="3203" w:type="dxa"/>
                </w:tcPr>
                <w:p w14:paraId="2EEB4074" w14:textId="77777777" w:rsidR="000E107D" w:rsidRDefault="00000000">
                  <w:pPr>
                    <w:pStyle w:val="Compact"/>
                    <w:jc w:val="center"/>
                  </w:pPr>
                  <w:r>
                    <w:t>Absence controlled (main model)</w:t>
                  </w:r>
                </w:p>
              </w:tc>
              <w:tc>
                <w:tcPr>
                  <w:tcW w:w="978" w:type="dxa"/>
                </w:tcPr>
                <w:p w14:paraId="121479CF" w14:textId="77777777" w:rsidR="000E107D" w:rsidRDefault="00000000">
                  <w:pPr>
                    <w:pStyle w:val="Compact"/>
                    <w:jc w:val="center"/>
                  </w:pPr>
                  <w:r>
                    <w:t>+0.041</w:t>
                  </w:r>
                </w:p>
              </w:tc>
              <w:tc>
                <w:tcPr>
                  <w:tcW w:w="1423" w:type="dxa"/>
                </w:tcPr>
                <w:p w14:paraId="3691C19B" w14:textId="77777777" w:rsidR="000E107D" w:rsidRDefault="00000000">
                  <w:pPr>
                    <w:pStyle w:val="Compact"/>
                    <w:jc w:val="center"/>
                  </w:pPr>
                  <w:r>
                    <w:t>0.006 to 0.076</w:t>
                  </w:r>
                </w:p>
              </w:tc>
              <w:tc>
                <w:tcPr>
                  <w:tcW w:w="1512" w:type="dxa"/>
                </w:tcPr>
                <w:p w14:paraId="10BD351F" w14:textId="77777777" w:rsidR="000E107D" w:rsidRDefault="00000000">
                  <w:pPr>
                    <w:pStyle w:val="Compact"/>
                    <w:jc w:val="center"/>
                  </w:pPr>
                  <w:r>
                    <w:t>15 of 151</w:t>
                  </w:r>
                </w:p>
              </w:tc>
              <w:tc>
                <w:tcPr>
                  <w:tcW w:w="800" w:type="dxa"/>
                </w:tcPr>
                <w:p w14:paraId="45ABA99F" w14:textId="77777777" w:rsidR="000E107D" w:rsidRDefault="00000000">
                  <w:pPr>
                    <w:pStyle w:val="Compact"/>
                    <w:jc w:val="center"/>
                  </w:pPr>
                  <w:r>
                    <w:t>+1.6</w:t>
                  </w:r>
                </w:p>
              </w:tc>
            </w:tr>
            <w:tr w:rsidR="000E107D" w14:paraId="51F0509B" w14:textId="77777777">
              <w:tc>
                <w:tcPr>
                  <w:tcW w:w="3203" w:type="dxa"/>
                </w:tcPr>
                <w:p w14:paraId="71637C16" w14:textId="77777777" w:rsidR="000E107D" w:rsidRDefault="00000000">
                  <w:pPr>
                    <w:pStyle w:val="Compact"/>
                    <w:jc w:val="center"/>
                  </w:pPr>
                  <w:r>
                    <w:t>Intake-predicted absence controlled</w:t>
                  </w:r>
                </w:p>
              </w:tc>
              <w:tc>
                <w:tcPr>
                  <w:tcW w:w="978" w:type="dxa"/>
                </w:tcPr>
                <w:p w14:paraId="109C4F48" w14:textId="77777777" w:rsidR="000E107D" w:rsidRDefault="00000000">
                  <w:pPr>
                    <w:pStyle w:val="Compact"/>
                    <w:jc w:val="center"/>
                  </w:pPr>
                  <w:r>
                    <w:t>+0.005</w:t>
                  </w:r>
                </w:p>
              </w:tc>
              <w:tc>
                <w:tcPr>
                  <w:tcW w:w="1423" w:type="dxa"/>
                </w:tcPr>
                <w:p w14:paraId="579A3739" w14:textId="77777777" w:rsidR="000E107D" w:rsidRDefault="00000000">
                  <w:pPr>
                    <w:pStyle w:val="Compact"/>
                    <w:jc w:val="center"/>
                  </w:pPr>
                  <w:r>
                    <w:t>-0.035 to 0.044</w:t>
                  </w:r>
                </w:p>
              </w:tc>
              <w:tc>
                <w:tcPr>
                  <w:tcW w:w="1512" w:type="dxa"/>
                </w:tcPr>
                <w:p w14:paraId="52457D24" w14:textId="77777777" w:rsidR="000E107D" w:rsidRDefault="00000000">
                  <w:pPr>
                    <w:pStyle w:val="Compact"/>
                    <w:jc w:val="center"/>
                  </w:pPr>
                  <w:r>
                    <w:t>71 of 151 (n.s.)</w:t>
                  </w:r>
                </w:p>
              </w:tc>
              <w:tc>
                <w:tcPr>
                  <w:tcW w:w="800" w:type="dxa"/>
                </w:tcPr>
                <w:p w14:paraId="4EDEBC72" w14:textId="77777777" w:rsidR="000E107D" w:rsidRDefault="00000000">
                  <w:pPr>
                    <w:pStyle w:val="Compact"/>
                    <w:jc w:val="center"/>
                  </w:pPr>
                  <w:r>
                    <w:t>+0.2</w:t>
                  </w:r>
                </w:p>
              </w:tc>
            </w:tr>
            <w:bookmarkEnd w:id="89"/>
          </w:tbl>
          <w:p w14:paraId="0B51396E" w14:textId="77777777" w:rsidR="000E107D" w:rsidRDefault="000E107D"/>
        </w:tc>
      </w:tr>
    </w:tbl>
    <w:p w14:paraId="2CB175A9" w14:textId="1A0A4D47" w:rsidR="00E32053" w:rsidRDefault="00000000">
      <w:pPr>
        <w:pStyle w:val="BodyText"/>
      </w:pPr>
      <w:r>
        <w:t xml:space="preserve"> </w:t>
      </w:r>
    </w:p>
    <w:p w14:paraId="18434B07" w14:textId="77777777" w:rsidR="00E32053" w:rsidRDefault="00E32053">
      <w:pPr>
        <w:spacing w:after="200" w:line="240" w:lineRule="auto"/>
      </w:pPr>
      <w:r>
        <w:br w:type="page"/>
      </w:r>
    </w:p>
    <w:p w14:paraId="7EFF0FB3" w14:textId="77777777" w:rsidR="000E107D" w:rsidRDefault="000E107D">
      <w:pPr>
        <w:pStyle w:val="BodyText"/>
      </w:pPr>
    </w:p>
    <w:tbl>
      <w:tblPr>
        <w:tblStyle w:val="Table"/>
        <w:tblW w:w="5000" w:type="pct"/>
        <w:tblLayout w:type="fixed"/>
        <w:tblLook w:val="0000" w:firstRow="0" w:lastRow="0" w:firstColumn="0" w:lastColumn="0" w:noHBand="0" w:noVBand="0"/>
      </w:tblPr>
      <w:tblGrid>
        <w:gridCol w:w="9446"/>
      </w:tblGrid>
      <w:tr w:rsidR="000E107D" w14:paraId="774C8D9C" w14:textId="77777777">
        <w:tc>
          <w:tcPr>
            <w:tcW w:w="7920" w:type="dxa"/>
          </w:tcPr>
          <w:p w14:paraId="2EFB99EE" w14:textId="77777777" w:rsidR="000E107D" w:rsidRDefault="00000000">
            <w:pPr>
              <w:pStyle w:val="Compact"/>
              <w:jc w:val="center"/>
            </w:pPr>
            <w:bookmarkStart w:id="90" w:name="fig-accelerating-returns"/>
            <w:r>
              <w:rPr>
                <w:noProof/>
              </w:rPr>
              <w:drawing>
                <wp:inline distT="0" distB="0" distL="0" distR="0" wp14:anchorId="06E6D7DE" wp14:editId="60F4191E">
                  <wp:extent cx="5943600" cy="3820885"/>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RPE_Paper_files/figure-docx/fig-accelerating-returns-1.png"/>
                          <pic:cNvPicPr>
                            <a:picLocks noChangeAspect="1" noChangeArrowheads="1"/>
                          </pic:cNvPicPr>
                        </pic:nvPicPr>
                        <pic:blipFill>
                          <a:blip r:embed="rId59"/>
                          <a:stretch>
                            <a:fillRect/>
                          </a:stretch>
                        </pic:blipFill>
                        <pic:spPr bwMode="auto">
                          <a:xfrm>
                            <a:off x="0" y="0"/>
                            <a:ext cx="5943600" cy="3820885"/>
                          </a:xfrm>
                          <a:prstGeom prst="rect">
                            <a:avLst/>
                          </a:prstGeom>
                          <a:noFill/>
                          <a:ln w="9525">
                            <a:noFill/>
                            <a:headEnd/>
                            <a:tailEnd/>
                          </a:ln>
                        </pic:spPr>
                      </pic:pic>
                    </a:graphicData>
                  </a:graphic>
                </wp:inline>
              </w:drawing>
            </w:r>
          </w:p>
          <w:p w14:paraId="054D0885" w14:textId="77777777" w:rsidR="000E107D" w:rsidRDefault="00000000">
            <w:pPr>
              <w:pStyle w:val="ImageCaption"/>
              <w:spacing w:before="200"/>
            </w:pPr>
            <w:r>
              <w:t>Figure 4: Accelerating returns: each percentage-point reduction buys a progressively larger ATT8 gain (reading right to left). Absence delivers substantially larger gains than FSM at every level. Brighton and Hove schools marked on each curve.</w:t>
            </w:r>
          </w:p>
        </w:tc>
        <w:bookmarkEnd w:id="90"/>
      </w:tr>
    </w:tbl>
    <w:p w14:paraId="4EE19BD2"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3872CC23" w14:textId="77777777">
        <w:tc>
          <w:tcPr>
            <w:tcW w:w="7920" w:type="dxa"/>
          </w:tcPr>
          <w:p w14:paraId="4023B4C2" w14:textId="77777777" w:rsidR="000E107D" w:rsidRDefault="00000000">
            <w:pPr>
              <w:pStyle w:val="Compact"/>
              <w:jc w:val="center"/>
            </w:pPr>
            <w:bookmarkStart w:id="91" w:name="fig-obs-vs-pred"/>
            <w:r>
              <w:rPr>
                <w:noProof/>
              </w:rPr>
              <w:lastRenderedPageBreak/>
              <w:drawing>
                <wp:inline distT="0" distB="0" distL="0" distR="0" wp14:anchorId="0F7479F4" wp14:editId="2FDED6D8">
                  <wp:extent cx="5610225" cy="72771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RPE_Paper_files/figure-docx/fig-obs-vs-pred-1.png"/>
                          <pic:cNvPicPr>
                            <a:picLocks noChangeAspect="1" noChangeArrowheads="1"/>
                          </pic:cNvPicPr>
                        </pic:nvPicPr>
                        <pic:blipFill>
                          <a:blip r:embed="rId60"/>
                          <a:stretch>
                            <a:fillRect/>
                          </a:stretch>
                        </pic:blipFill>
                        <pic:spPr bwMode="auto">
                          <a:xfrm>
                            <a:off x="0" y="0"/>
                            <a:ext cx="5610358" cy="7277273"/>
                          </a:xfrm>
                          <a:prstGeom prst="rect">
                            <a:avLst/>
                          </a:prstGeom>
                          <a:noFill/>
                          <a:ln w="9525">
                            <a:noFill/>
                            <a:headEnd/>
                            <a:tailEnd/>
                          </a:ln>
                        </pic:spPr>
                      </pic:pic>
                    </a:graphicData>
                  </a:graphic>
                </wp:inline>
              </w:drawing>
            </w:r>
          </w:p>
          <w:p w14:paraId="34DA5EC7" w14:textId="77777777" w:rsidR="000E107D" w:rsidRDefault="00000000">
            <w:pPr>
              <w:pStyle w:val="ImageCaption"/>
              <w:spacing w:before="200"/>
            </w:pPr>
            <w:r>
              <w:t>Figure 5: Observed versus predicted Attainment 8 for Brighton and Hove schools (highlighted) against all schools nationally, 2024–25.</w:t>
            </w:r>
          </w:p>
        </w:tc>
        <w:bookmarkEnd w:id="91"/>
      </w:tr>
    </w:tbl>
    <w:p w14:paraId="270E3E5F" w14:textId="77777777" w:rsidR="000E107D"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446"/>
      </w:tblGrid>
      <w:tr w:rsidR="000E107D" w14:paraId="5B9A3CEF" w14:textId="77777777">
        <w:tc>
          <w:tcPr>
            <w:tcW w:w="7920" w:type="dxa"/>
          </w:tcPr>
          <w:p w14:paraId="687B8C50" w14:textId="77777777" w:rsidR="000E107D" w:rsidRDefault="00000000">
            <w:pPr>
              <w:pStyle w:val="Compact"/>
              <w:jc w:val="center"/>
            </w:pPr>
            <w:bookmarkStart w:id="92" w:name="fig-quadrant"/>
            <w:r>
              <w:rPr>
                <w:noProof/>
              </w:rPr>
              <w:drawing>
                <wp:inline distT="0" distB="0" distL="0" distR="0" wp14:anchorId="351BAB73" wp14:editId="018D1959">
                  <wp:extent cx="5943600" cy="4245428"/>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RPE_Paper_files/figure-docx/fig-quadrant-1.png"/>
                          <pic:cNvPicPr>
                            <a:picLocks noChangeAspect="1" noChangeArrowheads="1"/>
                          </pic:cNvPicPr>
                        </pic:nvPicPr>
                        <pic:blipFill>
                          <a:blip r:embed="rId61"/>
                          <a:stretch>
                            <a:fillRect/>
                          </a:stretch>
                        </pic:blipFill>
                        <pic:spPr bwMode="auto">
                          <a:xfrm>
                            <a:off x="0" y="0"/>
                            <a:ext cx="5943600" cy="4245428"/>
                          </a:xfrm>
                          <a:prstGeom prst="rect">
                            <a:avLst/>
                          </a:prstGeom>
                          <a:noFill/>
                          <a:ln w="9525">
                            <a:noFill/>
                            <a:headEnd/>
                            <a:tailEnd/>
                          </a:ln>
                        </pic:spPr>
                      </pic:pic>
                    </a:graphicData>
                  </a:graphic>
                </wp:inline>
              </w:drawing>
            </w:r>
          </w:p>
          <w:p w14:paraId="66C2D60A" w14:textId="77777777" w:rsidR="000E107D" w:rsidRDefault="00000000">
            <w:pPr>
              <w:pStyle w:val="ImageCaption"/>
              <w:spacing w:before="200"/>
            </w:pPr>
            <w:r>
              <w:t>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tc>
        <w:bookmarkEnd w:id="92"/>
      </w:tr>
    </w:tbl>
    <w:p w14:paraId="47208DF7" w14:textId="3F379A1B" w:rsidR="00E32053" w:rsidRDefault="00000000">
      <w:pPr>
        <w:pStyle w:val="BodyText"/>
      </w:pPr>
      <w:r>
        <w:t xml:space="preserve"> </w:t>
      </w:r>
    </w:p>
    <w:p w14:paraId="531FD4F3" w14:textId="77777777" w:rsidR="00E32053" w:rsidRDefault="00E32053">
      <w:pPr>
        <w:spacing w:after="200" w:line="240" w:lineRule="auto"/>
      </w:pPr>
      <w:r>
        <w:br w:type="page"/>
      </w:r>
    </w:p>
    <w:p w14:paraId="7074784A" w14:textId="77777777" w:rsidR="000E107D" w:rsidRDefault="000E107D">
      <w:pPr>
        <w:pStyle w:val="BodyText"/>
      </w:pPr>
    </w:p>
    <w:tbl>
      <w:tblPr>
        <w:tblStyle w:val="Table"/>
        <w:tblW w:w="5000" w:type="pct"/>
        <w:tblLayout w:type="fixed"/>
        <w:tblLook w:val="0000" w:firstRow="0" w:lastRow="0" w:firstColumn="0" w:lastColumn="0" w:noHBand="0" w:noVBand="0"/>
      </w:tblPr>
      <w:tblGrid>
        <w:gridCol w:w="9446"/>
      </w:tblGrid>
      <w:tr w:rsidR="000E107D" w14:paraId="0277FDCE" w14:textId="77777777">
        <w:tc>
          <w:tcPr>
            <w:tcW w:w="7920" w:type="dxa"/>
          </w:tcPr>
          <w:p w14:paraId="46F32136" w14:textId="77777777" w:rsidR="000E107D" w:rsidRDefault="00000000">
            <w:pPr>
              <w:pStyle w:val="ImageCaption"/>
              <w:spacing w:before="200"/>
            </w:pPr>
            <w:bookmarkStart w:id="93" w:name="tbl-league"/>
            <w:r>
              <w:t>Table 3: Value-added rankings for Brighton and Hove schools (panel model residuals by year, in Attainment 8 points).</w:t>
            </w:r>
          </w:p>
          <w:tbl>
            <w:tblPr>
              <w:tblStyle w:val="Table"/>
              <w:tblW w:w="5000" w:type="pct"/>
              <w:tblLayout w:type="fixed"/>
              <w:tblLook w:val="0020" w:firstRow="1" w:lastRow="0" w:firstColumn="0" w:lastColumn="0" w:noHBand="0" w:noVBand="0"/>
            </w:tblPr>
            <w:tblGrid>
              <w:gridCol w:w="576"/>
              <w:gridCol w:w="4507"/>
              <w:gridCol w:w="925"/>
              <w:gridCol w:w="925"/>
              <w:gridCol w:w="925"/>
              <w:gridCol w:w="925"/>
              <w:gridCol w:w="577"/>
            </w:tblGrid>
            <w:tr w:rsidR="000E107D" w14:paraId="7AA6E084" w14:textId="77777777" w:rsidTr="00E32053">
              <w:trPr>
                <w:cnfStyle w:val="100000000000" w:firstRow="1" w:lastRow="0" w:firstColumn="0" w:lastColumn="0" w:oddVBand="0" w:evenVBand="0" w:oddHBand="0" w:evenHBand="0" w:firstRowFirstColumn="0" w:firstRowLastColumn="0" w:lastRowFirstColumn="0" w:lastRowLastColumn="0"/>
                <w:tblHeader/>
              </w:trPr>
              <w:tc>
                <w:tcPr>
                  <w:tcW w:w="576" w:type="dxa"/>
                </w:tcPr>
                <w:p w14:paraId="784DDE58" w14:textId="77777777" w:rsidR="000E107D" w:rsidRPr="004131D5" w:rsidRDefault="00000000">
                  <w:pPr>
                    <w:pStyle w:val="Compact"/>
                    <w:jc w:val="center"/>
                    <w:rPr>
                      <w:b/>
                      <w:bCs/>
                    </w:rPr>
                  </w:pPr>
                  <w:r w:rsidRPr="004131D5">
                    <w:rPr>
                      <w:b/>
                      <w:bCs/>
                    </w:rPr>
                    <w:t>Rank</w:t>
                  </w:r>
                </w:p>
              </w:tc>
              <w:tc>
                <w:tcPr>
                  <w:tcW w:w="4507" w:type="dxa"/>
                </w:tcPr>
                <w:p w14:paraId="5E57CBFB" w14:textId="77777777" w:rsidR="000E107D" w:rsidRPr="004131D5" w:rsidRDefault="00000000">
                  <w:pPr>
                    <w:pStyle w:val="Compact"/>
                    <w:jc w:val="center"/>
                    <w:rPr>
                      <w:b/>
                      <w:bCs/>
                    </w:rPr>
                  </w:pPr>
                  <w:r w:rsidRPr="004131D5">
                    <w:rPr>
                      <w:b/>
                      <w:bCs/>
                    </w:rPr>
                    <w:t>School</w:t>
                  </w:r>
                </w:p>
              </w:tc>
              <w:tc>
                <w:tcPr>
                  <w:tcW w:w="925" w:type="dxa"/>
                </w:tcPr>
                <w:p w14:paraId="69393951" w14:textId="77777777" w:rsidR="000E107D" w:rsidRPr="004131D5" w:rsidRDefault="00000000">
                  <w:pPr>
                    <w:pStyle w:val="Compact"/>
                    <w:jc w:val="center"/>
                    <w:rPr>
                      <w:b/>
                      <w:bCs/>
                    </w:rPr>
                  </w:pPr>
                  <w:r w:rsidRPr="004131D5">
                    <w:rPr>
                      <w:b/>
                      <w:bCs/>
                    </w:rPr>
                    <w:t>2021-22</w:t>
                  </w:r>
                </w:p>
              </w:tc>
              <w:tc>
                <w:tcPr>
                  <w:tcW w:w="925" w:type="dxa"/>
                </w:tcPr>
                <w:p w14:paraId="5358D029" w14:textId="77777777" w:rsidR="000E107D" w:rsidRPr="004131D5" w:rsidRDefault="00000000">
                  <w:pPr>
                    <w:pStyle w:val="Compact"/>
                    <w:jc w:val="center"/>
                    <w:rPr>
                      <w:b/>
                      <w:bCs/>
                    </w:rPr>
                  </w:pPr>
                  <w:r w:rsidRPr="004131D5">
                    <w:rPr>
                      <w:b/>
                      <w:bCs/>
                    </w:rPr>
                    <w:t>2022-23</w:t>
                  </w:r>
                </w:p>
              </w:tc>
              <w:tc>
                <w:tcPr>
                  <w:tcW w:w="925" w:type="dxa"/>
                </w:tcPr>
                <w:p w14:paraId="113698C7" w14:textId="77777777" w:rsidR="000E107D" w:rsidRPr="004131D5" w:rsidRDefault="00000000">
                  <w:pPr>
                    <w:pStyle w:val="Compact"/>
                    <w:jc w:val="center"/>
                    <w:rPr>
                      <w:b/>
                      <w:bCs/>
                    </w:rPr>
                  </w:pPr>
                  <w:r w:rsidRPr="004131D5">
                    <w:rPr>
                      <w:b/>
                      <w:bCs/>
                    </w:rPr>
                    <w:t>2023-24</w:t>
                  </w:r>
                </w:p>
              </w:tc>
              <w:tc>
                <w:tcPr>
                  <w:tcW w:w="925" w:type="dxa"/>
                </w:tcPr>
                <w:p w14:paraId="768FC2A3" w14:textId="77777777" w:rsidR="000E107D" w:rsidRPr="004131D5" w:rsidRDefault="00000000">
                  <w:pPr>
                    <w:pStyle w:val="Compact"/>
                    <w:jc w:val="center"/>
                    <w:rPr>
                      <w:b/>
                      <w:bCs/>
                    </w:rPr>
                  </w:pPr>
                  <w:r w:rsidRPr="004131D5">
                    <w:rPr>
                      <w:b/>
                      <w:bCs/>
                    </w:rPr>
                    <w:t>2024-25</w:t>
                  </w:r>
                </w:p>
              </w:tc>
              <w:tc>
                <w:tcPr>
                  <w:tcW w:w="577" w:type="dxa"/>
                </w:tcPr>
                <w:p w14:paraId="042AD7D6" w14:textId="77777777" w:rsidR="000E107D" w:rsidRPr="004131D5" w:rsidRDefault="00000000">
                  <w:pPr>
                    <w:pStyle w:val="Compact"/>
                    <w:jc w:val="center"/>
                    <w:rPr>
                      <w:b/>
                      <w:bCs/>
                    </w:rPr>
                  </w:pPr>
                  <w:r w:rsidRPr="004131D5">
                    <w:rPr>
                      <w:b/>
                      <w:bCs/>
                    </w:rPr>
                    <w:t>Mean</w:t>
                  </w:r>
                </w:p>
              </w:tc>
            </w:tr>
            <w:tr w:rsidR="00E32053" w14:paraId="13B46185" w14:textId="77777777" w:rsidTr="00DC3992">
              <w:tc>
                <w:tcPr>
                  <w:tcW w:w="9360" w:type="dxa"/>
                  <w:gridSpan w:val="7"/>
                </w:tcPr>
                <w:p w14:paraId="6A13C689" w14:textId="5024FDC0" w:rsidR="00E32053" w:rsidRDefault="00E32053" w:rsidP="00E32053">
                  <w:pPr>
                    <w:pStyle w:val="Compact"/>
                  </w:pPr>
                  <w:r w:rsidRPr="00440721">
                    <w:rPr>
                      <w:b/>
                      <w:bCs/>
                      <w:i/>
                      <w:iCs/>
                    </w:rPr>
                    <w:t>All Pupils</w:t>
                  </w:r>
                </w:p>
              </w:tc>
            </w:tr>
            <w:tr w:rsidR="000E107D" w14:paraId="4049396B" w14:textId="77777777" w:rsidTr="00E32053">
              <w:tc>
                <w:tcPr>
                  <w:tcW w:w="576" w:type="dxa"/>
                </w:tcPr>
                <w:p w14:paraId="6F00157F" w14:textId="77777777" w:rsidR="000E107D" w:rsidRDefault="00000000">
                  <w:pPr>
                    <w:pStyle w:val="Compact"/>
                    <w:jc w:val="center"/>
                  </w:pPr>
                  <w:r>
                    <w:t>1</w:t>
                  </w:r>
                </w:p>
              </w:tc>
              <w:tc>
                <w:tcPr>
                  <w:tcW w:w="4507" w:type="dxa"/>
                </w:tcPr>
                <w:p w14:paraId="7145988D" w14:textId="77777777" w:rsidR="000E107D" w:rsidRDefault="00000000">
                  <w:pPr>
                    <w:pStyle w:val="Compact"/>
                    <w:jc w:val="center"/>
                  </w:pPr>
                  <w:r>
                    <w:t>Dorothy Stringer School</w:t>
                  </w:r>
                </w:p>
              </w:tc>
              <w:tc>
                <w:tcPr>
                  <w:tcW w:w="925" w:type="dxa"/>
                </w:tcPr>
                <w:p w14:paraId="15FA5D53" w14:textId="77777777" w:rsidR="000E107D" w:rsidRDefault="00000000">
                  <w:pPr>
                    <w:pStyle w:val="Compact"/>
                    <w:jc w:val="center"/>
                  </w:pPr>
                  <w:r>
                    <w:t>+2.5</w:t>
                  </w:r>
                </w:p>
              </w:tc>
              <w:tc>
                <w:tcPr>
                  <w:tcW w:w="925" w:type="dxa"/>
                </w:tcPr>
                <w:p w14:paraId="40DAF59F" w14:textId="77777777" w:rsidR="000E107D" w:rsidRDefault="00000000">
                  <w:pPr>
                    <w:pStyle w:val="Compact"/>
                    <w:jc w:val="center"/>
                  </w:pPr>
                  <w:r>
                    <w:t>+3.1</w:t>
                  </w:r>
                </w:p>
              </w:tc>
              <w:tc>
                <w:tcPr>
                  <w:tcW w:w="925" w:type="dxa"/>
                </w:tcPr>
                <w:p w14:paraId="2B0D9EA5" w14:textId="77777777" w:rsidR="000E107D" w:rsidRDefault="00000000">
                  <w:pPr>
                    <w:pStyle w:val="Compact"/>
                    <w:jc w:val="center"/>
                  </w:pPr>
                  <w:r>
                    <w:t>+2.2</w:t>
                  </w:r>
                </w:p>
              </w:tc>
              <w:tc>
                <w:tcPr>
                  <w:tcW w:w="925" w:type="dxa"/>
                </w:tcPr>
                <w:p w14:paraId="448BD72A" w14:textId="77777777" w:rsidR="000E107D" w:rsidRDefault="00000000">
                  <w:pPr>
                    <w:pStyle w:val="Compact"/>
                    <w:jc w:val="center"/>
                  </w:pPr>
                  <w:r>
                    <w:t>+4.8</w:t>
                  </w:r>
                </w:p>
              </w:tc>
              <w:tc>
                <w:tcPr>
                  <w:tcW w:w="577" w:type="dxa"/>
                </w:tcPr>
                <w:p w14:paraId="43CA3B14" w14:textId="77777777" w:rsidR="000E107D" w:rsidRDefault="00000000">
                  <w:pPr>
                    <w:pStyle w:val="Compact"/>
                    <w:jc w:val="center"/>
                  </w:pPr>
                  <w:r>
                    <w:t>+3.1</w:t>
                  </w:r>
                </w:p>
              </w:tc>
            </w:tr>
            <w:tr w:rsidR="000E107D" w14:paraId="603AF507" w14:textId="77777777" w:rsidTr="00E32053">
              <w:tc>
                <w:tcPr>
                  <w:tcW w:w="576" w:type="dxa"/>
                </w:tcPr>
                <w:p w14:paraId="542C9ED4" w14:textId="77777777" w:rsidR="000E107D" w:rsidRDefault="00000000">
                  <w:pPr>
                    <w:pStyle w:val="Compact"/>
                    <w:jc w:val="center"/>
                  </w:pPr>
                  <w:r>
                    <w:t>2</w:t>
                  </w:r>
                </w:p>
              </w:tc>
              <w:tc>
                <w:tcPr>
                  <w:tcW w:w="4507" w:type="dxa"/>
                </w:tcPr>
                <w:p w14:paraId="4ED60681" w14:textId="77777777" w:rsidR="000E107D" w:rsidRDefault="00000000">
                  <w:pPr>
                    <w:pStyle w:val="Compact"/>
                    <w:jc w:val="center"/>
                  </w:pPr>
                  <w:r>
                    <w:t>Varndean School</w:t>
                  </w:r>
                </w:p>
              </w:tc>
              <w:tc>
                <w:tcPr>
                  <w:tcW w:w="925" w:type="dxa"/>
                </w:tcPr>
                <w:p w14:paraId="03C45464" w14:textId="77777777" w:rsidR="000E107D" w:rsidRDefault="00000000">
                  <w:pPr>
                    <w:pStyle w:val="Compact"/>
                    <w:jc w:val="center"/>
                  </w:pPr>
                  <w:r>
                    <w:t>+2.7</w:t>
                  </w:r>
                </w:p>
              </w:tc>
              <w:tc>
                <w:tcPr>
                  <w:tcW w:w="925" w:type="dxa"/>
                </w:tcPr>
                <w:p w14:paraId="1DE6256C" w14:textId="77777777" w:rsidR="000E107D" w:rsidRDefault="00000000">
                  <w:pPr>
                    <w:pStyle w:val="Compact"/>
                    <w:jc w:val="center"/>
                  </w:pPr>
                  <w:r>
                    <w:t>+2.6</w:t>
                  </w:r>
                </w:p>
              </w:tc>
              <w:tc>
                <w:tcPr>
                  <w:tcW w:w="925" w:type="dxa"/>
                </w:tcPr>
                <w:p w14:paraId="21365057" w14:textId="77777777" w:rsidR="000E107D" w:rsidRDefault="00000000">
                  <w:pPr>
                    <w:pStyle w:val="Compact"/>
                    <w:jc w:val="center"/>
                  </w:pPr>
                  <w:r>
                    <w:t>+5.3</w:t>
                  </w:r>
                </w:p>
              </w:tc>
              <w:tc>
                <w:tcPr>
                  <w:tcW w:w="925" w:type="dxa"/>
                </w:tcPr>
                <w:p w14:paraId="3BB4E49C" w14:textId="77777777" w:rsidR="000E107D" w:rsidRDefault="00000000">
                  <w:pPr>
                    <w:pStyle w:val="Compact"/>
                    <w:jc w:val="center"/>
                  </w:pPr>
                  <w:r>
                    <w:t>+0.5</w:t>
                  </w:r>
                </w:p>
              </w:tc>
              <w:tc>
                <w:tcPr>
                  <w:tcW w:w="577" w:type="dxa"/>
                </w:tcPr>
                <w:p w14:paraId="25B307B2" w14:textId="77777777" w:rsidR="000E107D" w:rsidRDefault="00000000">
                  <w:pPr>
                    <w:pStyle w:val="Compact"/>
                    <w:jc w:val="center"/>
                  </w:pPr>
                  <w:r>
                    <w:t>+2.8</w:t>
                  </w:r>
                </w:p>
              </w:tc>
            </w:tr>
            <w:tr w:rsidR="000E107D" w14:paraId="5835D394" w14:textId="77777777" w:rsidTr="00E32053">
              <w:tc>
                <w:tcPr>
                  <w:tcW w:w="576" w:type="dxa"/>
                </w:tcPr>
                <w:p w14:paraId="50D704AE" w14:textId="77777777" w:rsidR="000E107D" w:rsidRDefault="00000000">
                  <w:pPr>
                    <w:pStyle w:val="Compact"/>
                    <w:jc w:val="center"/>
                  </w:pPr>
                  <w:r>
                    <w:t>3</w:t>
                  </w:r>
                </w:p>
              </w:tc>
              <w:tc>
                <w:tcPr>
                  <w:tcW w:w="4507" w:type="dxa"/>
                </w:tcPr>
                <w:p w14:paraId="63DB59B5" w14:textId="77777777" w:rsidR="000E107D" w:rsidRDefault="00000000">
                  <w:pPr>
                    <w:pStyle w:val="Compact"/>
                    <w:jc w:val="center"/>
                  </w:pPr>
                  <w:r>
                    <w:t>King’s School</w:t>
                  </w:r>
                </w:p>
              </w:tc>
              <w:tc>
                <w:tcPr>
                  <w:tcW w:w="925" w:type="dxa"/>
                </w:tcPr>
                <w:p w14:paraId="710D4E11" w14:textId="77777777" w:rsidR="000E107D" w:rsidRDefault="00000000">
                  <w:pPr>
                    <w:pStyle w:val="Compact"/>
                    <w:jc w:val="center"/>
                  </w:pPr>
                  <w:r>
                    <w:t>+3.5</w:t>
                  </w:r>
                </w:p>
              </w:tc>
              <w:tc>
                <w:tcPr>
                  <w:tcW w:w="925" w:type="dxa"/>
                </w:tcPr>
                <w:p w14:paraId="2678CFCC" w14:textId="77777777" w:rsidR="000E107D" w:rsidRDefault="00000000">
                  <w:pPr>
                    <w:pStyle w:val="Compact"/>
                    <w:jc w:val="center"/>
                  </w:pPr>
                  <w:r>
                    <w:t>+0.9</w:t>
                  </w:r>
                </w:p>
              </w:tc>
              <w:tc>
                <w:tcPr>
                  <w:tcW w:w="925" w:type="dxa"/>
                </w:tcPr>
                <w:p w14:paraId="03C89510" w14:textId="77777777" w:rsidR="000E107D" w:rsidRDefault="00000000">
                  <w:pPr>
                    <w:pStyle w:val="Compact"/>
                    <w:jc w:val="center"/>
                  </w:pPr>
                  <w:r>
                    <w:t>+5.0</w:t>
                  </w:r>
                </w:p>
              </w:tc>
              <w:tc>
                <w:tcPr>
                  <w:tcW w:w="925" w:type="dxa"/>
                </w:tcPr>
                <w:p w14:paraId="410B3305" w14:textId="77777777" w:rsidR="000E107D" w:rsidRDefault="00000000">
                  <w:pPr>
                    <w:pStyle w:val="Compact"/>
                    <w:jc w:val="center"/>
                  </w:pPr>
                  <w:r>
                    <w:t>-0.5</w:t>
                  </w:r>
                </w:p>
              </w:tc>
              <w:tc>
                <w:tcPr>
                  <w:tcW w:w="577" w:type="dxa"/>
                </w:tcPr>
                <w:p w14:paraId="65B12719" w14:textId="77777777" w:rsidR="000E107D" w:rsidRDefault="00000000">
                  <w:pPr>
                    <w:pStyle w:val="Compact"/>
                    <w:jc w:val="center"/>
                  </w:pPr>
                  <w:r>
                    <w:t>+2.2</w:t>
                  </w:r>
                </w:p>
              </w:tc>
            </w:tr>
            <w:tr w:rsidR="000E107D" w14:paraId="5A0DB797" w14:textId="77777777" w:rsidTr="00E32053">
              <w:tc>
                <w:tcPr>
                  <w:tcW w:w="576" w:type="dxa"/>
                </w:tcPr>
                <w:p w14:paraId="2402CB61" w14:textId="77777777" w:rsidR="000E107D" w:rsidRDefault="00000000">
                  <w:pPr>
                    <w:pStyle w:val="Compact"/>
                    <w:jc w:val="center"/>
                  </w:pPr>
                  <w:r>
                    <w:t>4</w:t>
                  </w:r>
                </w:p>
              </w:tc>
              <w:tc>
                <w:tcPr>
                  <w:tcW w:w="4507" w:type="dxa"/>
                </w:tcPr>
                <w:p w14:paraId="1A411052" w14:textId="77777777" w:rsidR="000E107D" w:rsidRDefault="00000000">
                  <w:pPr>
                    <w:pStyle w:val="Compact"/>
                    <w:jc w:val="center"/>
                  </w:pPr>
                  <w:r>
                    <w:t>Brighton Aldridge Community Academy</w:t>
                  </w:r>
                </w:p>
              </w:tc>
              <w:tc>
                <w:tcPr>
                  <w:tcW w:w="925" w:type="dxa"/>
                </w:tcPr>
                <w:p w14:paraId="4D1BE996" w14:textId="77777777" w:rsidR="000E107D" w:rsidRDefault="00000000">
                  <w:pPr>
                    <w:pStyle w:val="Compact"/>
                    <w:jc w:val="center"/>
                  </w:pPr>
                  <w:r>
                    <w:t>+2.0</w:t>
                  </w:r>
                </w:p>
              </w:tc>
              <w:tc>
                <w:tcPr>
                  <w:tcW w:w="925" w:type="dxa"/>
                </w:tcPr>
                <w:p w14:paraId="42DD0A7D" w14:textId="77777777" w:rsidR="000E107D" w:rsidRDefault="00000000">
                  <w:pPr>
                    <w:pStyle w:val="Compact"/>
                    <w:jc w:val="center"/>
                  </w:pPr>
                  <w:r>
                    <w:t>+1.4</w:t>
                  </w:r>
                </w:p>
              </w:tc>
              <w:tc>
                <w:tcPr>
                  <w:tcW w:w="925" w:type="dxa"/>
                </w:tcPr>
                <w:p w14:paraId="34E845F0" w14:textId="77777777" w:rsidR="000E107D" w:rsidRDefault="00000000">
                  <w:pPr>
                    <w:pStyle w:val="Compact"/>
                    <w:jc w:val="center"/>
                  </w:pPr>
                  <w:r>
                    <w:t>+1.2</w:t>
                  </w:r>
                </w:p>
              </w:tc>
              <w:tc>
                <w:tcPr>
                  <w:tcW w:w="925" w:type="dxa"/>
                </w:tcPr>
                <w:p w14:paraId="4DCFCA93" w14:textId="77777777" w:rsidR="000E107D" w:rsidRDefault="00000000">
                  <w:pPr>
                    <w:pStyle w:val="Compact"/>
                    <w:jc w:val="center"/>
                  </w:pPr>
                  <w:r>
                    <w:t>+0.8</w:t>
                  </w:r>
                </w:p>
              </w:tc>
              <w:tc>
                <w:tcPr>
                  <w:tcW w:w="577" w:type="dxa"/>
                </w:tcPr>
                <w:p w14:paraId="379B40B2" w14:textId="77777777" w:rsidR="000E107D" w:rsidRDefault="00000000">
                  <w:pPr>
                    <w:pStyle w:val="Compact"/>
                    <w:jc w:val="center"/>
                  </w:pPr>
                  <w:r>
                    <w:t>+1.4</w:t>
                  </w:r>
                </w:p>
              </w:tc>
            </w:tr>
            <w:tr w:rsidR="000E107D" w14:paraId="61D3D1C9" w14:textId="77777777" w:rsidTr="00E32053">
              <w:tc>
                <w:tcPr>
                  <w:tcW w:w="576" w:type="dxa"/>
                </w:tcPr>
                <w:p w14:paraId="5B490E45" w14:textId="77777777" w:rsidR="000E107D" w:rsidRDefault="00000000">
                  <w:pPr>
                    <w:pStyle w:val="Compact"/>
                    <w:jc w:val="center"/>
                  </w:pPr>
                  <w:r>
                    <w:t>5</w:t>
                  </w:r>
                </w:p>
              </w:tc>
              <w:tc>
                <w:tcPr>
                  <w:tcW w:w="4507" w:type="dxa"/>
                </w:tcPr>
                <w:p w14:paraId="1CB554EB" w14:textId="77777777" w:rsidR="000E107D" w:rsidRDefault="00000000">
                  <w:pPr>
                    <w:pStyle w:val="Compact"/>
                    <w:jc w:val="center"/>
                  </w:pPr>
                  <w:r>
                    <w:t>Portslade Aldridge Community Academy</w:t>
                  </w:r>
                </w:p>
              </w:tc>
              <w:tc>
                <w:tcPr>
                  <w:tcW w:w="925" w:type="dxa"/>
                </w:tcPr>
                <w:p w14:paraId="73878BC4" w14:textId="77777777" w:rsidR="000E107D" w:rsidRDefault="00000000">
                  <w:pPr>
                    <w:pStyle w:val="Compact"/>
                    <w:jc w:val="center"/>
                  </w:pPr>
                  <w:r>
                    <w:t>+3.8</w:t>
                  </w:r>
                </w:p>
              </w:tc>
              <w:tc>
                <w:tcPr>
                  <w:tcW w:w="925" w:type="dxa"/>
                </w:tcPr>
                <w:p w14:paraId="3209DA96" w14:textId="77777777" w:rsidR="000E107D" w:rsidRDefault="00000000">
                  <w:pPr>
                    <w:pStyle w:val="Compact"/>
                    <w:jc w:val="center"/>
                  </w:pPr>
                  <w:r>
                    <w:t>+0.6</w:t>
                  </w:r>
                </w:p>
              </w:tc>
              <w:tc>
                <w:tcPr>
                  <w:tcW w:w="925" w:type="dxa"/>
                </w:tcPr>
                <w:p w14:paraId="3F13740D" w14:textId="77777777" w:rsidR="000E107D" w:rsidRDefault="00000000">
                  <w:pPr>
                    <w:pStyle w:val="Compact"/>
                    <w:jc w:val="center"/>
                  </w:pPr>
                  <w:r>
                    <w:t>+2.3</w:t>
                  </w:r>
                </w:p>
              </w:tc>
              <w:tc>
                <w:tcPr>
                  <w:tcW w:w="925" w:type="dxa"/>
                </w:tcPr>
                <w:p w14:paraId="6857DC1B" w14:textId="77777777" w:rsidR="000E107D" w:rsidRDefault="00000000">
                  <w:pPr>
                    <w:pStyle w:val="Compact"/>
                    <w:jc w:val="center"/>
                  </w:pPr>
                  <w:r>
                    <w:t>-1.3</w:t>
                  </w:r>
                </w:p>
              </w:tc>
              <w:tc>
                <w:tcPr>
                  <w:tcW w:w="577" w:type="dxa"/>
                </w:tcPr>
                <w:p w14:paraId="0DA3D94B" w14:textId="77777777" w:rsidR="000E107D" w:rsidRDefault="00000000">
                  <w:pPr>
                    <w:pStyle w:val="Compact"/>
                    <w:jc w:val="center"/>
                  </w:pPr>
                  <w:r>
                    <w:t>+1.4</w:t>
                  </w:r>
                </w:p>
              </w:tc>
            </w:tr>
            <w:tr w:rsidR="000E107D" w14:paraId="206C9298" w14:textId="77777777" w:rsidTr="00E32053">
              <w:tc>
                <w:tcPr>
                  <w:tcW w:w="576" w:type="dxa"/>
                </w:tcPr>
                <w:p w14:paraId="1623E70F" w14:textId="77777777" w:rsidR="000E107D" w:rsidRDefault="00000000">
                  <w:pPr>
                    <w:pStyle w:val="Compact"/>
                    <w:jc w:val="center"/>
                  </w:pPr>
                  <w:r>
                    <w:t>6</w:t>
                  </w:r>
                </w:p>
              </w:tc>
              <w:tc>
                <w:tcPr>
                  <w:tcW w:w="4507" w:type="dxa"/>
                </w:tcPr>
                <w:p w14:paraId="7A63F885" w14:textId="77777777" w:rsidR="000E107D" w:rsidRDefault="00000000">
                  <w:pPr>
                    <w:pStyle w:val="Compact"/>
                    <w:jc w:val="center"/>
                  </w:pPr>
                  <w:r>
                    <w:t>Hove Park School and Sixth Form Centre</w:t>
                  </w:r>
                </w:p>
              </w:tc>
              <w:tc>
                <w:tcPr>
                  <w:tcW w:w="925" w:type="dxa"/>
                </w:tcPr>
                <w:p w14:paraId="684210DB" w14:textId="77777777" w:rsidR="000E107D" w:rsidRDefault="00000000">
                  <w:pPr>
                    <w:pStyle w:val="Compact"/>
                    <w:jc w:val="center"/>
                  </w:pPr>
                  <w:r>
                    <w:t>+1.5</w:t>
                  </w:r>
                </w:p>
              </w:tc>
              <w:tc>
                <w:tcPr>
                  <w:tcW w:w="925" w:type="dxa"/>
                </w:tcPr>
                <w:p w14:paraId="498D9C37" w14:textId="77777777" w:rsidR="000E107D" w:rsidRDefault="00000000">
                  <w:pPr>
                    <w:pStyle w:val="Compact"/>
                    <w:jc w:val="center"/>
                  </w:pPr>
                  <w:r>
                    <w:t>+0.9</w:t>
                  </w:r>
                </w:p>
              </w:tc>
              <w:tc>
                <w:tcPr>
                  <w:tcW w:w="925" w:type="dxa"/>
                </w:tcPr>
                <w:p w14:paraId="58AED115" w14:textId="77777777" w:rsidR="000E107D" w:rsidRDefault="00000000">
                  <w:pPr>
                    <w:pStyle w:val="Compact"/>
                    <w:jc w:val="center"/>
                  </w:pPr>
                  <w:r>
                    <w:t>+1.4</w:t>
                  </w:r>
                </w:p>
              </w:tc>
              <w:tc>
                <w:tcPr>
                  <w:tcW w:w="925" w:type="dxa"/>
                </w:tcPr>
                <w:p w14:paraId="4597EA12" w14:textId="77777777" w:rsidR="000E107D" w:rsidRDefault="00000000">
                  <w:pPr>
                    <w:pStyle w:val="Compact"/>
                    <w:jc w:val="center"/>
                  </w:pPr>
                  <w:r>
                    <w:t>+0.4</w:t>
                  </w:r>
                </w:p>
              </w:tc>
              <w:tc>
                <w:tcPr>
                  <w:tcW w:w="577" w:type="dxa"/>
                </w:tcPr>
                <w:p w14:paraId="6FFB8D67" w14:textId="77777777" w:rsidR="000E107D" w:rsidRDefault="00000000">
                  <w:pPr>
                    <w:pStyle w:val="Compact"/>
                    <w:jc w:val="center"/>
                  </w:pPr>
                  <w:r>
                    <w:t>+1.0</w:t>
                  </w:r>
                </w:p>
              </w:tc>
            </w:tr>
            <w:tr w:rsidR="000E107D" w14:paraId="33FA005C" w14:textId="77777777" w:rsidTr="00E32053">
              <w:tc>
                <w:tcPr>
                  <w:tcW w:w="576" w:type="dxa"/>
                </w:tcPr>
                <w:p w14:paraId="00409389" w14:textId="77777777" w:rsidR="000E107D" w:rsidRDefault="00000000">
                  <w:pPr>
                    <w:pStyle w:val="Compact"/>
                    <w:jc w:val="center"/>
                  </w:pPr>
                  <w:r>
                    <w:t>7</w:t>
                  </w:r>
                </w:p>
              </w:tc>
              <w:tc>
                <w:tcPr>
                  <w:tcW w:w="4507" w:type="dxa"/>
                </w:tcPr>
                <w:p w14:paraId="486898BB" w14:textId="77777777" w:rsidR="000E107D" w:rsidRDefault="00000000">
                  <w:pPr>
                    <w:pStyle w:val="Compact"/>
                    <w:jc w:val="center"/>
                  </w:pPr>
                  <w:r>
                    <w:t>Blatchington Mill School</w:t>
                  </w:r>
                </w:p>
              </w:tc>
              <w:tc>
                <w:tcPr>
                  <w:tcW w:w="925" w:type="dxa"/>
                </w:tcPr>
                <w:p w14:paraId="6FB80CFB" w14:textId="77777777" w:rsidR="000E107D" w:rsidRDefault="00000000">
                  <w:pPr>
                    <w:pStyle w:val="Compact"/>
                    <w:jc w:val="center"/>
                  </w:pPr>
                  <w:r>
                    <w:t>-1.5</w:t>
                  </w:r>
                </w:p>
              </w:tc>
              <w:tc>
                <w:tcPr>
                  <w:tcW w:w="925" w:type="dxa"/>
                </w:tcPr>
                <w:p w14:paraId="02D6F99D" w14:textId="77777777" w:rsidR="000E107D" w:rsidRDefault="00000000">
                  <w:pPr>
                    <w:pStyle w:val="Compact"/>
                    <w:jc w:val="center"/>
                  </w:pPr>
                  <w:r>
                    <w:t>-1.0</w:t>
                  </w:r>
                </w:p>
              </w:tc>
              <w:tc>
                <w:tcPr>
                  <w:tcW w:w="925" w:type="dxa"/>
                </w:tcPr>
                <w:p w14:paraId="0C32BC67" w14:textId="77777777" w:rsidR="000E107D" w:rsidRDefault="00000000">
                  <w:pPr>
                    <w:pStyle w:val="Compact"/>
                    <w:jc w:val="center"/>
                  </w:pPr>
                  <w:r>
                    <w:t>+2.0</w:t>
                  </w:r>
                </w:p>
              </w:tc>
              <w:tc>
                <w:tcPr>
                  <w:tcW w:w="925" w:type="dxa"/>
                </w:tcPr>
                <w:p w14:paraId="11727006" w14:textId="77777777" w:rsidR="000E107D" w:rsidRDefault="00000000">
                  <w:pPr>
                    <w:pStyle w:val="Compact"/>
                    <w:jc w:val="center"/>
                  </w:pPr>
                  <w:r>
                    <w:t>+2.4</w:t>
                  </w:r>
                </w:p>
              </w:tc>
              <w:tc>
                <w:tcPr>
                  <w:tcW w:w="577" w:type="dxa"/>
                </w:tcPr>
                <w:p w14:paraId="6E404DEA" w14:textId="77777777" w:rsidR="000E107D" w:rsidRDefault="00000000">
                  <w:pPr>
                    <w:pStyle w:val="Compact"/>
                    <w:jc w:val="center"/>
                  </w:pPr>
                  <w:r>
                    <w:t>+0.5</w:t>
                  </w:r>
                </w:p>
              </w:tc>
            </w:tr>
            <w:tr w:rsidR="000E107D" w14:paraId="7DC4F652" w14:textId="77777777" w:rsidTr="00E32053">
              <w:tc>
                <w:tcPr>
                  <w:tcW w:w="576" w:type="dxa"/>
                </w:tcPr>
                <w:p w14:paraId="18EC8C56" w14:textId="77777777" w:rsidR="000E107D" w:rsidRDefault="00000000">
                  <w:pPr>
                    <w:pStyle w:val="Compact"/>
                    <w:jc w:val="center"/>
                  </w:pPr>
                  <w:r>
                    <w:t>8</w:t>
                  </w:r>
                </w:p>
              </w:tc>
              <w:tc>
                <w:tcPr>
                  <w:tcW w:w="4507" w:type="dxa"/>
                </w:tcPr>
                <w:p w14:paraId="45D07A96" w14:textId="77777777" w:rsidR="000E107D" w:rsidRDefault="00000000">
                  <w:pPr>
                    <w:pStyle w:val="Compact"/>
                    <w:jc w:val="center"/>
                  </w:pPr>
                  <w:r>
                    <w:t>Cardinal Newman Catholic School</w:t>
                  </w:r>
                </w:p>
              </w:tc>
              <w:tc>
                <w:tcPr>
                  <w:tcW w:w="925" w:type="dxa"/>
                </w:tcPr>
                <w:p w14:paraId="69FBA0EF" w14:textId="77777777" w:rsidR="000E107D" w:rsidRDefault="00000000">
                  <w:pPr>
                    <w:pStyle w:val="Compact"/>
                    <w:jc w:val="center"/>
                  </w:pPr>
                  <w:r>
                    <w:t>+1.3</w:t>
                  </w:r>
                </w:p>
              </w:tc>
              <w:tc>
                <w:tcPr>
                  <w:tcW w:w="925" w:type="dxa"/>
                </w:tcPr>
                <w:p w14:paraId="7559E5DC" w14:textId="77777777" w:rsidR="000E107D" w:rsidRDefault="00000000">
                  <w:pPr>
                    <w:pStyle w:val="Compact"/>
                    <w:jc w:val="center"/>
                  </w:pPr>
                  <w:r>
                    <w:t>-2.2</w:t>
                  </w:r>
                </w:p>
              </w:tc>
              <w:tc>
                <w:tcPr>
                  <w:tcW w:w="925" w:type="dxa"/>
                </w:tcPr>
                <w:p w14:paraId="14D41E7D" w14:textId="77777777" w:rsidR="000E107D" w:rsidRDefault="00000000">
                  <w:pPr>
                    <w:pStyle w:val="Compact"/>
                    <w:jc w:val="center"/>
                  </w:pPr>
                  <w:r>
                    <w:t>+1.3</w:t>
                  </w:r>
                </w:p>
              </w:tc>
              <w:tc>
                <w:tcPr>
                  <w:tcW w:w="925" w:type="dxa"/>
                </w:tcPr>
                <w:p w14:paraId="28A254BD" w14:textId="77777777" w:rsidR="000E107D" w:rsidRDefault="00000000">
                  <w:pPr>
                    <w:pStyle w:val="Compact"/>
                    <w:jc w:val="center"/>
                  </w:pPr>
                  <w:r>
                    <w:t>-1.5</w:t>
                  </w:r>
                </w:p>
              </w:tc>
              <w:tc>
                <w:tcPr>
                  <w:tcW w:w="577" w:type="dxa"/>
                </w:tcPr>
                <w:p w14:paraId="76999A64" w14:textId="77777777" w:rsidR="000E107D" w:rsidRDefault="00000000">
                  <w:pPr>
                    <w:pStyle w:val="Compact"/>
                    <w:jc w:val="center"/>
                  </w:pPr>
                  <w:r>
                    <w:t>-0.3</w:t>
                  </w:r>
                </w:p>
              </w:tc>
            </w:tr>
            <w:tr w:rsidR="000E107D" w14:paraId="44C36C54" w14:textId="77777777" w:rsidTr="00E32053">
              <w:tc>
                <w:tcPr>
                  <w:tcW w:w="576" w:type="dxa"/>
                </w:tcPr>
                <w:p w14:paraId="082A9BB5" w14:textId="77777777" w:rsidR="000E107D" w:rsidRDefault="00000000">
                  <w:pPr>
                    <w:pStyle w:val="Compact"/>
                    <w:jc w:val="center"/>
                  </w:pPr>
                  <w:r>
                    <w:t>9</w:t>
                  </w:r>
                </w:p>
              </w:tc>
              <w:tc>
                <w:tcPr>
                  <w:tcW w:w="4507" w:type="dxa"/>
                </w:tcPr>
                <w:p w14:paraId="65A4223A" w14:textId="77777777" w:rsidR="000E107D" w:rsidRDefault="00000000">
                  <w:pPr>
                    <w:pStyle w:val="Compact"/>
                    <w:jc w:val="center"/>
                  </w:pPr>
                  <w:r>
                    <w:t>Longhill High School</w:t>
                  </w:r>
                </w:p>
              </w:tc>
              <w:tc>
                <w:tcPr>
                  <w:tcW w:w="925" w:type="dxa"/>
                </w:tcPr>
                <w:p w14:paraId="64C2031A" w14:textId="77777777" w:rsidR="000E107D" w:rsidRDefault="00000000">
                  <w:pPr>
                    <w:pStyle w:val="Compact"/>
                    <w:jc w:val="center"/>
                  </w:pPr>
                  <w:r>
                    <w:t>-0.2</w:t>
                  </w:r>
                </w:p>
              </w:tc>
              <w:tc>
                <w:tcPr>
                  <w:tcW w:w="925" w:type="dxa"/>
                </w:tcPr>
                <w:p w14:paraId="01FDFC34" w14:textId="77777777" w:rsidR="000E107D" w:rsidRDefault="00000000">
                  <w:pPr>
                    <w:pStyle w:val="Compact"/>
                    <w:jc w:val="center"/>
                  </w:pPr>
                  <w:r>
                    <w:t>-2.3</w:t>
                  </w:r>
                </w:p>
              </w:tc>
              <w:tc>
                <w:tcPr>
                  <w:tcW w:w="925" w:type="dxa"/>
                </w:tcPr>
                <w:p w14:paraId="07C0FEC2" w14:textId="77777777" w:rsidR="000E107D" w:rsidRDefault="00000000">
                  <w:pPr>
                    <w:pStyle w:val="Compact"/>
                    <w:jc w:val="center"/>
                  </w:pPr>
                  <w:r>
                    <w:t>-1.1</w:t>
                  </w:r>
                </w:p>
              </w:tc>
              <w:tc>
                <w:tcPr>
                  <w:tcW w:w="925" w:type="dxa"/>
                </w:tcPr>
                <w:p w14:paraId="11F9FDDF" w14:textId="77777777" w:rsidR="000E107D" w:rsidRDefault="00000000">
                  <w:pPr>
                    <w:pStyle w:val="Compact"/>
                    <w:jc w:val="center"/>
                  </w:pPr>
                  <w:r>
                    <w:t>-2.5</w:t>
                  </w:r>
                </w:p>
              </w:tc>
              <w:tc>
                <w:tcPr>
                  <w:tcW w:w="577" w:type="dxa"/>
                </w:tcPr>
                <w:p w14:paraId="3E8D109F" w14:textId="77777777" w:rsidR="000E107D" w:rsidRDefault="00000000">
                  <w:pPr>
                    <w:pStyle w:val="Compact"/>
                    <w:jc w:val="center"/>
                  </w:pPr>
                  <w:r>
                    <w:t>-1.5</w:t>
                  </w:r>
                </w:p>
              </w:tc>
            </w:tr>
            <w:tr w:rsidR="000E107D" w14:paraId="6563A056" w14:textId="77777777" w:rsidTr="00E32053">
              <w:tc>
                <w:tcPr>
                  <w:tcW w:w="576" w:type="dxa"/>
                </w:tcPr>
                <w:p w14:paraId="181FBC78" w14:textId="77777777" w:rsidR="000E107D" w:rsidRDefault="00000000">
                  <w:pPr>
                    <w:pStyle w:val="Compact"/>
                    <w:jc w:val="center"/>
                  </w:pPr>
                  <w:r>
                    <w:t>10</w:t>
                  </w:r>
                </w:p>
              </w:tc>
              <w:tc>
                <w:tcPr>
                  <w:tcW w:w="4507" w:type="dxa"/>
                </w:tcPr>
                <w:p w14:paraId="148DF4EE" w14:textId="77777777" w:rsidR="000E107D" w:rsidRDefault="00000000">
                  <w:pPr>
                    <w:pStyle w:val="Compact"/>
                    <w:jc w:val="center"/>
                  </w:pPr>
                  <w:r>
                    <w:t>Patcham High School</w:t>
                  </w:r>
                </w:p>
              </w:tc>
              <w:tc>
                <w:tcPr>
                  <w:tcW w:w="925" w:type="dxa"/>
                </w:tcPr>
                <w:p w14:paraId="24F9FDD1" w14:textId="77777777" w:rsidR="000E107D" w:rsidRDefault="00000000">
                  <w:pPr>
                    <w:pStyle w:val="Compact"/>
                    <w:jc w:val="center"/>
                  </w:pPr>
                  <w:r>
                    <w:t>-2.7</w:t>
                  </w:r>
                </w:p>
              </w:tc>
              <w:tc>
                <w:tcPr>
                  <w:tcW w:w="925" w:type="dxa"/>
                </w:tcPr>
                <w:p w14:paraId="258B0CF9" w14:textId="77777777" w:rsidR="000E107D" w:rsidRDefault="00000000">
                  <w:pPr>
                    <w:pStyle w:val="Compact"/>
                    <w:jc w:val="center"/>
                  </w:pPr>
                  <w:r>
                    <w:t>-2.8</w:t>
                  </w:r>
                </w:p>
              </w:tc>
              <w:tc>
                <w:tcPr>
                  <w:tcW w:w="925" w:type="dxa"/>
                </w:tcPr>
                <w:p w14:paraId="627D8253" w14:textId="77777777" w:rsidR="000E107D" w:rsidRDefault="00000000">
                  <w:pPr>
                    <w:pStyle w:val="Compact"/>
                    <w:jc w:val="center"/>
                  </w:pPr>
                  <w:r>
                    <w:t>-4.4</w:t>
                  </w:r>
                </w:p>
              </w:tc>
              <w:tc>
                <w:tcPr>
                  <w:tcW w:w="925" w:type="dxa"/>
                </w:tcPr>
                <w:p w14:paraId="03FD8A24" w14:textId="77777777" w:rsidR="000E107D" w:rsidRDefault="00000000">
                  <w:pPr>
                    <w:pStyle w:val="Compact"/>
                    <w:jc w:val="center"/>
                  </w:pPr>
                  <w:r>
                    <w:t>-2.9</w:t>
                  </w:r>
                </w:p>
              </w:tc>
              <w:tc>
                <w:tcPr>
                  <w:tcW w:w="577" w:type="dxa"/>
                </w:tcPr>
                <w:p w14:paraId="30A92E58" w14:textId="77777777" w:rsidR="000E107D" w:rsidRDefault="00000000">
                  <w:pPr>
                    <w:pStyle w:val="Compact"/>
                    <w:jc w:val="center"/>
                  </w:pPr>
                  <w:r>
                    <w:t>-3.2</w:t>
                  </w:r>
                </w:p>
              </w:tc>
            </w:tr>
            <w:tr w:rsidR="00E32053" w14:paraId="66762134" w14:textId="77777777" w:rsidTr="00D95822">
              <w:tc>
                <w:tcPr>
                  <w:tcW w:w="9360" w:type="dxa"/>
                  <w:gridSpan w:val="7"/>
                </w:tcPr>
                <w:p w14:paraId="2E2F44FB" w14:textId="2F919A14" w:rsidR="00E32053" w:rsidRDefault="00E32053" w:rsidP="00E32053">
                  <w:pPr>
                    <w:pStyle w:val="Compact"/>
                  </w:pPr>
                  <w:r w:rsidRPr="00440721">
                    <w:rPr>
                      <w:b/>
                      <w:bCs/>
                      <w:i/>
                      <w:iCs/>
                    </w:rPr>
                    <w:t>Disadvantaged Pupils</w:t>
                  </w:r>
                </w:p>
              </w:tc>
            </w:tr>
            <w:tr w:rsidR="000E107D" w14:paraId="7FB7DE4C" w14:textId="77777777" w:rsidTr="00E32053">
              <w:tc>
                <w:tcPr>
                  <w:tcW w:w="576" w:type="dxa"/>
                </w:tcPr>
                <w:p w14:paraId="3A0AF030" w14:textId="77777777" w:rsidR="000E107D" w:rsidRDefault="00000000">
                  <w:pPr>
                    <w:pStyle w:val="Compact"/>
                    <w:jc w:val="center"/>
                  </w:pPr>
                  <w:r>
                    <w:t>1</w:t>
                  </w:r>
                </w:p>
              </w:tc>
              <w:tc>
                <w:tcPr>
                  <w:tcW w:w="4507" w:type="dxa"/>
                </w:tcPr>
                <w:p w14:paraId="50AD3F52" w14:textId="77777777" w:rsidR="000E107D" w:rsidRDefault="00000000">
                  <w:pPr>
                    <w:pStyle w:val="Compact"/>
                    <w:jc w:val="center"/>
                  </w:pPr>
                  <w:r>
                    <w:t>Brighton Aldridge Community Academy</w:t>
                  </w:r>
                </w:p>
              </w:tc>
              <w:tc>
                <w:tcPr>
                  <w:tcW w:w="925" w:type="dxa"/>
                </w:tcPr>
                <w:p w14:paraId="21631D7C" w14:textId="77777777" w:rsidR="000E107D" w:rsidRDefault="00000000">
                  <w:pPr>
                    <w:pStyle w:val="Compact"/>
                    <w:jc w:val="center"/>
                  </w:pPr>
                  <w:r>
                    <w:t>+3.1</w:t>
                  </w:r>
                </w:p>
              </w:tc>
              <w:tc>
                <w:tcPr>
                  <w:tcW w:w="925" w:type="dxa"/>
                </w:tcPr>
                <w:p w14:paraId="726ED8B7" w14:textId="77777777" w:rsidR="000E107D" w:rsidRDefault="00000000">
                  <w:pPr>
                    <w:pStyle w:val="Compact"/>
                    <w:jc w:val="center"/>
                  </w:pPr>
                  <w:r>
                    <w:t>-1.3</w:t>
                  </w:r>
                </w:p>
              </w:tc>
              <w:tc>
                <w:tcPr>
                  <w:tcW w:w="925" w:type="dxa"/>
                </w:tcPr>
                <w:p w14:paraId="217CC6F0" w14:textId="77777777" w:rsidR="000E107D" w:rsidRDefault="00000000">
                  <w:pPr>
                    <w:pStyle w:val="Compact"/>
                    <w:jc w:val="center"/>
                  </w:pPr>
                  <w:r>
                    <w:t>+4.6</w:t>
                  </w:r>
                </w:p>
              </w:tc>
              <w:tc>
                <w:tcPr>
                  <w:tcW w:w="925" w:type="dxa"/>
                </w:tcPr>
                <w:p w14:paraId="4AE8B2BD" w14:textId="77777777" w:rsidR="000E107D" w:rsidRDefault="00000000">
                  <w:pPr>
                    <w:pStyle w:val="Compact"/>
                    <w:jc w:val="center"/>
                  </w:pPr>
                  <w:r>
                    <w:t>+5.7</w:t>
                  </w:r>
                </w:p>
              </w:tc>
              <w:tc>
                <w:tcPr>
                  <w:tcW w:w="577" w:type="dxa"/>
                </w:tcPr>
                <w:p w14:paraId="5C1DD66C" w14:textId="77777777" w:rsidR="000E107D" w:rsidRDefault="00000000">
                  <w:pPr>
                    <w:pStyle w:val="Compact"/>
                    <w:jc w:val="center"/>
                  </w:pPr>
                  <w:r>
                    <w:t>+3.1</w:t>
                  </w:r>
                </w:p>
              </w:tc>
            </w:tr>
            <w:tr w:rsidR="000E107D" w14:paraId="53B044B3" w14:textId="77777777" w:rsidTr="00E32053">
              <w:tc>
                <w:tcPr>
                  <w:tcW w:w="576" w:type="dxa"/>
                </w:tcPr>
                <w:p w14:paraId="4BD80D7C" w14:textId="77777777" w:rsidR="000E107D" w:rsidRDefault="00000000">
                  <w:pPr>
                    <w:pStyle w:val="Compact"/>
                    <w:jc w:val="center"/>
                  </w:pPr>
                  <w:r>
                    <w:t>2</w:t>
                  </w:r>
                </w:p>
              </w:tc>
              <w:tc>
                <w:tcPr>
                  <w:tcW w:w="4507" w:type="dxa"/>
                </w:tcPr>
                <w:p w14:paraId="3A8A1BE6" w14:textId="77777777" w:rsidR="000E107D" w:rsidRDefault="00000000">
                  <w:pPr>
                    <w:pStyle w:val="Compact"/>
                    <w:jc w:val="center"/>
                  </w:pPr>
                  <w:r>
                    <w:t>Varndean School</w:t>
                  </w:r>
                </w:p>
              </w:tc>
              <w:tc>
                <w:tcPr>
                  <w:tcW w:w="925" w:type="dxa"/>
                </w:tcPr>
                <w:p w14:paraId="5F5D15D4" w14:textId="77777777" w:rsidR="000E107D" w:rsidRDefault="00000000">
                  <w:pPr>
                    <w:pStyle w:val="Compact"/>
                    <w:jc w:val="center"/>
                  </w:pPr>
                  <w:r>
                    <w:t>+2.2</w:t>
                  </w:r>
                </w:p>
              </w:tc>
              <w:tc>
                <w:tcPr>
                  <w:tcW w:w="925" w:type="dxa"/>
                </w:tcPr>
                <w:p w14:paraId="111B469A" w14:textId="77777777" w:rsidR="000E107D" w:rsidRDefault="00000000">
                  <w:pPr>
                    <w:pStyle w:val="Compact"/>
                    <w:jc w:val="center"/>
                  </w:pPr>
                  <w:r>
                    <w:t>+3.2</w:t>
                  </w:r>
                </w:p>
              </w:tc>
              <w:tc>
                <w:tcPr>
                  <w:tcW w:w="925" w:type="dxa"/>
                </w:tcPr>
                <w:p w14:paraId="5E703A97" w14:textId="77777777" w:rsidR="000E107D" w:rsidRDefault="00000000">
                  <w:pPr>
                    <w:pStyle w:val="Compact"/>
                    <w:jc w:val="center"/>
                  </w:pPr>
                  <w:r>
                    <w:t>+3.9</w:t>
                  </w:r>
                </w:p>
              </w:tc>
              <w:tc>
                <w:tcPr>
                  <w:tcW w:w="925" w:type="dxa"/>
                </w:tcPr>
                <w:p w14:paraId="128498FC" w14:textId="77777777" w:rsidR="000E107D" w:rsidRDefault="00000000">
                  <w:pPr>
                    <w:pStyle w:val="Compact"/>
                    <w:jc w:val="center"/>
                  </w:pPr>
                  <w:r>
                    <w:t>-2.4</w:t>
                  </w:r>
                </w:p>
              </w:tc>
              <w:tc>
                <w:tcPr>
                  <w:tcW w:w="577" w:type="dxa"/>
                </w:tcPr>
                <w:p w14:paraId="03EDC521" w14:textId="77777777" w:rsidR="000E107D" w:rsidRDefault="00000000">
                  <w:pPr>
                    <w:pStyle w:val="Compact"/>
                    <w:jc w:val="center"/>
                  </w:pPr>
                  <w:r>
                    <w:t>+1.7</w:t>
                  </w:r>
                </w:p>
              </w:tc>
            </w:tr>
            <w:tr w:rsidR="000E107D" w14:paraId="14F17D60" w14:textId="77777777" w:rsidTr="00E32053">
              <w:tc>
                <w:tcPr>
                  <w:tcW w:w="576" w:type="dxa"/>
                </w:tcPr>
                <w:p w14:paraId="2C486C55" w14:textId="77777777" w:rsidR="000E107D" w:rsidRDefault="00000000">
                  <w:pPr>
                    <w:pStyle w:val="Compact"/>
                    <w:jc w:val="center"/>
                  </w:pPr>
                  <w:r>
                    <w:t>3</w:t>
                  </w:r>
                </w:p>
              </w:tc>
              <w:tc>
                <w:tcPr>
                  <w:tcW w:w="4507" w:type="dxa"/>
                </w:tcPr>
                <w:p w14:paraId="7170C288" w14:textId="77777777" w:rsidR="000E107D" w:rsidRDefault="00000000">
                  <w:pPr>
                    <w:pStyle w:val="Compact"/>
                    <w:jc w:val="center"/>
                  </w:pPr>
                  <w:r>
                    <w:t>Cardinal Newman Catholic School</w:t>
                  </w:r>
                </w:p>
              </w:tc>
              <w:tc>
                <w:tcPr>
                  <w:tcW w:w="925" w:type="dxa"/>
                </w:tcPr>
                <w:p w14:paraId="0DE3CA74" w14:textId="77777777" w:rsidR="000E107D" w:rsidRDefault="00000000">
                  <w:pPr>
                    <w:pStyle w:val="Compact"/>
                    <w:jc w:val="center"/>
                  </w:pPr>
                  <w:r>
                    <w:t>+2.9</w:t>
                  </w:r>
                </w:p>
              </w:tc>
              <w:tc>
                <w:tcPr>
                  <w:tcW w:w="925" w:type="dxa"/>
                </w:tcPr>
                <w:p w14:paraId="76DA7F1B" w14:textId="77777777" w:rsidR="000E107D" w:rsidRDefault="00000000">
                  <w:pPr>
                    <w:pStyle w:val="Compact"/>
                    <w:jc w:val="center"/>
                  </w:pPr>
                  <w:r>
                    <w:t>-5.4</w:t>
                  </w:r>
                </w:p>
              </w:tc>
              <w:tc>
                <w:tcPr>
                  <w:tcW w:w="925" w:type="dxa"/>
                </w:tcPr>
                <w:p w14:paraId="374B2D23" w14:textId="77777777" w:rsidR="000E107D" w:rsidRDefault="00000000">
                  <w:pPr>
                    <w:pStyle w:val="Compact"/>
                    <w:jc w:val="center"/>
                  </w:pPr>
                  <w:r>
                    <w:t>+6.5</w:t>
                  </w:r>
                </w:p>
              </w:tc>
              <w:tc>
                <w:tcPr>
                  <w:tcW w:w="925" w:type="dxa"/>
                </w:tcPr>
                <w:p w14:paraId="5A0F7B25" w14:textId="77777777" w:rsidR="000E107D" w:rsidRDefault="00000000">
                  <w:pPr>
                    <w:pStyle w:val="Compact"/>
                    <w:jc w:val="center"/>
                  </w:pPr>
                  <w:r>
                    <w:t>+2.3</w:t>
                  </w:r>
                </w:p>
              </w:tc>
              <w:tc>
                <w:tcPr>
                  <w:tcW w:w="577" w:type="dxa"/>
                </w:tcPr>
                <w:p w14:paraId="1EF415B5" w14:textId="77777777" w:rsidR="000E107D" w:rsidRDefault="00000000">
                  <w:pPr>
                    <w:pStyle w:val="Compact"/>
                    <w:jc w:val="center"/>
                  </w:pPr>
                  <w:r>
                    <w:t>+1.6</w:t>
                  </w:r>
                </w:p>
              </w:tc>
            </w:tr>
            <w:tr w:rsidR="000E107D" w14:paraId="0B00D79B" w14:textId="77777777" w:rsidTr="00E32053">
              <w:tc>
                <w:tcPr>
                  <w:tcW w:w="576" w:type="dxa"/>
                </w:tcPr>
                <w:p w14:paraId="0F637D55" w14:textId="77777777" w:rsidR="000E107D" w:rsidRDefault="00000000">
                  <w:pPr>
                    <w:pStyle w:val="Compact"/>
                    <w:jc w:val="center"/>
                  </w:pPr>
                  <w:r>
                    <w:t>4</w:t>
                  </w:r>
                </w:p>
              </w:tc>
              <w:tc>
                <w:tcPr>
                  <w:tcW w:w="4507" w:type="dxa"/>
                </w:tcPr>
                <w:p w14:paraId="76CBD4DB" w14:textId="77777777" w:rsidR="000E107D" w:rsidRDefault="00000000">
                  <w:pPr>
                    <w:pStyle w:val="Compact"/>
                    <w:jc w:val="center"/>
                  </w:pPr>
                  <w:r>
                    <w:t>Dorothy Stringer School</w:t>
                  </w:r>
                </w:p>
              </w:tc>
              <w:tc>
                <w:tcPr>
                  <w:tcW w:w="925" w:type="dxa"/>
                </w:tcPr>
                <w:p w14:paraId="04B1D17E" w14:textId="77777777" w:rsidR="000E107D" w:rsidRDefault="00000000">
                  <w:pPr>
                    <w:pStyle w:val="Compact"/>
                    <w:jc w:val="center"/>
                  </w:pPr>
                  <w:r>
                    <w:t>+2.2</w:t>
                  </w:r>
                </w:p>
              </w:tc>
              <w:tc>
                <w:tcPr>
                  <w:tcW w:w="925" w:type="dxa"/>
                </w:tcPr>
                <w:p w14:paraId="34BE9309" w14:textId="77777777" w:rsidR="000E107D" w:rsidRDefault="00000000">
                  <w:pPr>
                    <w:pStyle w:val="Compact"/>
                    <w:jc w:val="center"/>
                  </w:pPr>
                  <w:r>
                    <w:t>+2.6</w:t>
                  </w:r>
                </w:p>
              </w:tc>
              <w:tc>
                <w:tcPr>
                  <w:tcW w:w="925" w:type="dxa"/>
                </w:tcPr>
                <w:p w14:paraId="0E1B85F5" w14:textId="77777777" w:rsidR="000E107D" w:rsidRDefault="00000000">
                  <w:pPr>
                    <w:pStyle w:val="Compact"/>
                    <w:jc w:val="center"/>
                  </w:pPr>
                  <w:r>
                    <w:t>-0.2</w:t>
                  </w:r>
                </w:p>
              </w:tc>
              <w:tc>
                <w:tcPr>
                  <w:tcW w:w="925" w:type="dxa"/>
                </w:tcPr>
                <w:p w14:paraId="50EEB8A2" w14:textId="77777777" w:rsidR="000E107D" w:rsidRDefault="00000000">
                  <w:pPr>
                    <w:pStyle w:val="Compact"/>
                    <w:jc w:val="center"/>
                  </w:pPr>
                  <w:r>
                    <w:t>+1.4</w:t>
                  </w:r>
                </w:p>
              </w:tc>
              <w:tc>
                <w:tcPr>
                  <w:tcW w:w="577" w:type="dxa"/>
                </w:tcPr>
                <w:p w14:paraId="712DF444" w14:textId="77777777" w:rsidR="000E107D" w:rsidRDefault="00000000">
                  <w:pPr>
                    <w:pStyle w:val="Compact"/>
                    <w:jc w:val="center"/>
                  </w:pPr>
                  <w:r>
                    <w:t>+1.5</w:t>
                  </w:r>
                </w:p>
              </w:tc>
            </w:tr>
            <w:tr w:rsidR="000E107D" w14:paraId="6BE98F9F" w14:textId="77777777" w:rsidTr="00E32053">
              <w:tc>
                <w:tcPr>
                  <w:tcW w:w="576" w:type="dxa"/>
                </w:tcPr>
                <w:p w14:paraId="3A5C155F" w14:textId="77777777" w:rsidR="000E107D" w:rsidRDefault="00000000">
                  <w:pPr>
                    <w:pStyle w:val="Compact"/>
                    <w:jc w:val="center"/>
                  </w:pPr>
                  <w:r>
                    <w:t>5</w:t>
                  </w:r>
                </w:p>
              </w:tc>
              <w:tc>
                <w:tcPr>
                  <w:tcW w:w="4507" w:type="dxa"/>
                </w:tcPr>
                <w:p w14:paraId="79ACC2F6" w14:textId="77777777" w:rsidR="000E107D" w:rsidRDefault="00000000">
                  <w:pPr>
                    <w:pStyle w:val="Compact"/>
                    <w:jc w:val="center"/>
                  </w:pPr>
                  <w:r>
                    <w:t>Blatchington Mill School</w:t>
                  </w:r>
                </w:p>
              </w:tc>
              <w:tc>
                <w:tcPr>
                  <w:tcW w:w="925" w:type="dxa"/>
                </w:tcPr>
                <w:p w14:paraId="73C05552" w14:textId="77777777" w:rsidR="000E107D" w:rsidRDefault="00000000">
                  <w:pPr>
                    <w:pStyle w:val="Compact"/>
                    <w:jc w:val="center"/>
                  </w:pPr>
                  <w:r>
                    <w:t>-5.0</w:t>
                  </w:r>
                </w:p>
              </w:tc>
              <w:tc>
                <w:tcPr>
                  <w:tcW w:w="925" w:type="dxa"/>
                </w:tcPr>
                <w:p w14:paraId="349611AB" w14:textId="77777777" w:rsidR="000E107D" w:rsidRDefault="00000000">
                  <w:pPr>
                    <w:pStyle w:val="Compact"/>
                    <w:jc w:val="center"/>
                  </w:pPr>
                  <w:r>
                    <w:t>+1.1</w:t>
                  </w:r>
                </w:p>
              </w:tc>
              <w:tc>
                <w:tcPr>
                  <w:tcW w:w="925" w:type="dxa"/>
                </w:tcPr>
                <w:p w14:paraId="7C308FBB" w14:textId="77777777" w:rsidR="000E107D" w:rsidRDefault="00000000">
                  <w:pPr>
                    <w:pStyle w:val="Compact"/>
                    <w:jc w:val="center"/>
                  </w:pPr>
                  <w:r>
                    <w:t>+4.7</w:t>
                  </w:r>
                </w:p>
              </w:tc>
              <w:tc>
                <w:tcPr>
                  <w:tcW w:w="925" w:type="dxa"/>
                </w:tcPr>
                <w:p w14:paraId="6E06E521" w14:textId="77777777" w:rsidR="000E107D" w:rsidRDefault="00000000">
                  <w:pPr>
                    <w:pStyle w:val="Compact"/>
                    <w:jc w:val="center"/>
                  </w:pPr>
                  <w:r>
                    <w:t>+2.9</w:t>
                  </w:r>
                </w:p>
              </w:tc>
              <w:tc>
                <w:tcPr>
                  <w:tcW w:w="577" w:type="dxa"/>
                </w:tcPr>
                <w:p w14:paraId="199107EB" w14:textId="77777777" w:rsidR="000E107D" w:rsidRDefault="00000000">
                  <w:pPr>
                    <w:pStyle w:val="Compact"/>
                    <w:jc w:val="center"/>
                  </w:pPr>
                  <w:r>
                    <w:t>+0.9</w:t>
                  </w:r>
                </w:p>
              </w:tc>
            </w:tr>
            <w:tr w:rsidR="000E107D" w14:paraId="7068F174" w14:textId="77777777" w:rsidTr="00E32053">
              <w:tc>
                <w:tcPr>
                  <w:tcW w:w="576" w:type="dxa"/>
                </w:tcPr>
                <w:p w14:paraId="7A37AB03" w14:textId="77777777" w:rsidR="000E107D" w:rsidRDefault="00000000">
                  <w:pPr>
                    <w:pStyle w:val="Compact"/>
                    <w:jc w:val="center"/>
                  </w:pPr>
                  <w:r>
                    <w:t>6</w:t>
                  </w:r>
                </w:p>
              </w:tc>
              <w:tc>
                <w:tcPr>
                  <w:tcW w:w="4507" w:type="dxa"/>
                </w:tcPr>
                <w:p w14:paraId="44A893CA" w14:textId="77777777" w:rsidR="000E107D" w:rsidRDefault="00000000">
                  <w:pPr>
                    <w:pStyle w:val="Compact"/>
                    <w:jc w:val="center"/>
                  </w:pPr>
                  <w:r>
                    <w:t>King’s School</w:t>
                  </w:r>
                </w:p>
              </w:tc>
              <w:tc>
                <w:tcPr>
                  <w:tcW w:w="925" w:type="dxa"/>
                </w:tcPr>
                <w:p w14:paraId="123A9669" w14:textId="77777777" w:rsidR="000E107D" w:rsidRDefault="00000000">
                  <w:pPr>
                    <w:pStyle w:val="Compact"/>
                    <w:jc w:val="center"/>
                  </w:pPr>
                  <w:r>
                    <w:t>+4.8</w:t>
                  </w:r>
                </w:p>
              </w:tc>
              <w:tc>
                <w:tcPr>
                  <w:tcW w:w="925" w:type="dxa"/>
                </w:tcPr>
                <w:p w14:paraId="6CA8EE71" w14:textId="77777777" w:rsidR="000E107D" w:rsidRDefault="00000000">
                  <w:pPr>
                    <w:pStyle w:val="Compact"/>
                    <w:jc w:val="center"/>
                  </w:pPr>
                  <w:r>
                    <w:t>+1.4</w:t>
                  </w:r>
                </w:p>
              </w:tc>
              <w:tc>
                <w:tcPr>
                  <w:tcW w:w="925" w:type="dxa"/>
                </w:tcPr>
                <w:p w14:paraId="27D05D03" w14:textId="77777777" w:rsidR="000E107D" w:rsidRDefault="00000000">
                  <w:pPr>
                    <w:pStyle w:val="Compact"/>
                    <w:jc w:val="center"/>
                  </w:pPr>
                  <w:r>
                    <w:t>+3.8</w:t>
                  </w:r>
                </w:p>
              </w:tc>
              <w:tc>
                <w:tcPr>
                  <w:tcW w:w="925" w:type="dxa"/>
                </w:tcPr>
                <w:p w14:paraId="7F8D0E95" w14:textId="77777777" w:rsidR="000E107D" w:rsidRDefault="00000000">
                  <w:pPr>
                    <w:pStyle w:val="Compact"/>
                    <w:jc w:val="center"/>
                  </w:pPr>
                  <w:r>
                    <w:t>-6.2</w:t>
                  </w:r>
                </w:p>
              </w:tc>
              <w:tc>
                <w:tcPr>
                  <w:tcW w:w="577" w:type="dxa"/>
                </w:tcPr>
                <w:p w14:paraId="617569CE" w14:textId="77777777" w:rsidR="000E107D" w:rsidRDefault="00000000">
                  <w:pPr>
                    <w:pStyle w:val="Compact"/>
                    <w:jc w:val="center"/>
                  </w:pPr>
                  <w:r>
                    <w:t>+0.9</w:t>
                  </w:r>
                </w:p>
              </w:tc>
            </w:tr>
            <w:tr w:rsidR="000E107D" w14:paraId="6F672838" w14:textId="77777777" w:rsidTr="00E32053">
              <w:tc>
                <w:tcPr>
                  <w:tcW w:w="576" w:type="dxa"/>
                </w:tcPr>
                <w:p w14:paraId="0503E562" w14:textId="77777777" w:rsidR="000E107D" w:rsidRDefault="00000000">
                  <w:pPr>
                    <w:pStyle w:val="Compact"/>
                    <w:jc w:val="center"/>
                  </w:pPr>
                  <w:r>
                    <w:t>7</w:t>
                  </w:r>
                </w:p>
              </w:tc>
              <w:tc>
                <w:tcPr>
                  <w:tcW w:w="4507" w:type="dxa"/>
                </w:tcPr>
                <w:p w14:paraId="018385FF" w14:textId="77777777" w:rsidR="000E107D" w:rsidRDefault="00000000">
                  <w:pPr>
                    <w:pStyle w:val="Compact"/>
                    <w:jc w:val="center"/>
                  </w:pPr>
                  <w:r>
                    <w:t>Hove Park School and Sixth Form Centre</w:t>
                  </w:r>
                </w:p>
              </w:tc>
              <w:tc>
                <w:tcPr>
                  <w:tcW w:w="925" w:type="dxa"/>
                </w:tcPr>
                <w:p w14:paraId="2DB82D41" w14:textId="77777777" w:rsidR="000E107D" w:rsidRDefault="00000000">
                  <w:pPr>
                    <w:pStyle w:val="Compact"/>
                    <w:jc w:val="center"/>
                  </w:pPr>
                  <w:r>
                    <w:t>+3.0</w:t>
                  </w:r>
                </w:p>
              </w:tc>
              <w:tc>
                <w:tcPr>
                  <w:tcW w:w="925" w:type="dxa"/>
                </w:tcPr>
                <w:p w14:paraId="0DACD123" w14:textId="77777777" w:rsidR="000E107D" w:rsidRDefault="00000000">
                  <w:pPr>
                    <w:pStyle w:val="Compact"/>
                    <w:jc w:val="center"/>
                  </w:pPr>
                  <w:r>
                    <w:t>-2.5</w:t>
                  </w:r>
                </w:p>
              </w:tc>
              <w:tc>
                <w:tcPr>
                  <w:tcW w:w="925" w:type="dxa"/>
                </w:tcPr>
                <w:p w14:paraId="39DFE55F" w14:textId="77777777" w:rsidR="000E107D" w:rsidRDefault="00000000">
                  <w:pPr>
                    <w:pStyle w:val="Compact"/>
                    <w:jc w:val="center"/>
                  </w:pPr>
                  <w:r>
                    <w:t>+2.0</w:t>
                  </w:r>
                </w:p>
              </w:tc>
              <w:tc>
                <w:tcPr>
                  <w:tcW w:w="925" w:type="dxa"/>
                </w:tcPr>
                <w:p w14:paraId="5D6F51CD" w14:textId="77777777" w:rsidR="000E107D" w:rsidRDefault="00000000">
                  <w:pPr>
                    <w:pStyle w:val="Compact"/>
                    <w:jc w:val="center"/>
                  </w:pPr>
                  <w:r>
                    <w:t>+1.1</w:t>
                  </w:r>
                </w:p>
              </w:tc>
              <w:tc>
                <w:tcPr>
                  <w:tcW w:w="577" w:type="dxa"/>
                </w:tcPr>
                <w:p w14:paraId="12A2175E" w14:textId="77777777" w:rsidR="000E107D" w:rsidRDefault="00000000">
                  <w:pPr>
                    <w:pStyle w:val="Compact"/>
                    <w:jc w:val="center"/>
                  </w:pPr>
                  <w:r>
                    <w:t>+0.9</w:t>
                  </w:r>
                </w:p>
              </w:tc>
            </w:tr>
            <w:tr w:rsidR="000E107D" w14:paraId="280463A8" w14:textId="77777777" w:rsidTr="00E32053">
              <w:tc>
                <w:tcPr>
                  <w:tcW w:w="576" w:type="dxa"/>
                </w:tcPr>
                <w:p w14:paraId="637ED996" w14:textId="77777777" w:rsidR="000E107D" w:rsidRDefault="00000000">
                  <w:pPr>
                    <w:pStyle w:val="Compact"/>
                    <w:jc w:val="center"/>
                  </w:pPr>
                  <w:r>
                    <w:t>8</w:t>
                  </w:r>
                </w:p>
              </w:tc>
              <w:tc>
                <w:tcPr>
                  <w:tcW w:w="4507" w:type="dxa"/>
                </w:tcPr>
                <w:p w14:paraId="146E4967" w14:textId="77777777" w:rsidR="000E107D" w:rsidRDefault="00000000">
                  <w:pPr>
                    <w:pStyle w:val="Compact"/>
                    <w:jc w:val="center"/>
                  </w:pPr>
                  <w:r>
                    <w:t>Portslade Aldridge Community Academy</w:t>
                  </w:r>
                </w:p>
              </w:tc>
              <w:tc>
                <w:tcPr>
                  <w:tcW w:w="925" w:type="dxa"/>
                </w:tcPr>
                <w:p w14:paraId="6602BC33" w14:textId="77777777" w:rsidR="000E107D" w:rsidRDefault="00000000">
                  <w:pPr>
                    <w:pStyle w:val="Compact"/>
                    <w:jc w:val="center"/>
                  </w:pPr>
                  <w:r>
                    <w:t>+3.2</w:t>
                  </w:r>
                </w:p>
              </w:tc>
              <w:tc>
                <w:tcPr>
                  <w:tcW w:w="925" w:type="dxa"/>
                </w:tcPr>
                <w:p w14:paraId="11FACAD2" w14:textId="77777777" w:rsidR="000E107D" w:rsidRDefault="00000000">
                  <w:pPr>
                    <w:pStyle w:val="Compact"/>
                    <w:jc w:val="center"/>
                  </w:pPr>
                  <w:r>
                    <w:t>-3.4</w:t>
                  </w:r>
                </w:p>
              </w:tc>
              <w:tc>
                <w:tcPr>
                  <w:tcW w:w="925" w:type="dxa"/>
                </w:tcPr>
                <w:p w14:paraId="5D43890B" w14:textId="77777777" w:rsidR="000E107D" w:rsidRDefault="00000000">
                  <w:pPr>
                    <w:pStyle w:val="Compact"/>
                    <w:jc w:val="center"/>
                  </w:pPr>
                  <w:r>
                    <w:t>+4.1</w:t>
                  </w:r>
                </w:p>
              </w:tc>
              <w:tc>
                <w:tcPr>
                  <w:tcW w:w="925" w:type="dxa"/>
                </w:tcPr>
                <w:p w14:paraId="02ED5207" w14:textId="77777777" w:rsidR="000E107D" w:rsidRDefault="00000000">
                  <w:pPr>
                    <w:pStyle w:val="Compact"/>
                    <w:jc w:val="center"/>
                  </w:pPr>
                  <w:r>
                    <w:t>-1.9</w:t>
                  </w:r>
                </w:p>
              </w:tc>
              <w:tc>
                <w:tcPr>
                  <w:tcW w:w="577" w:type="dxa"/>
                </w:tcPr>
                <w:p w14:paraId="657080A7" w14:textId="77777777" w:rsidR="000E107D" w:rsidRDefault="00000000">
                  <w:pPr>
                    <w:pStyle w:val="Compact"/>
                    <w:jc w:val="center"/>
                  </w:pPr>
                  <w:r>
                    <w:t>+0.5</w:t>
                  </w:r>
                </w:p>
              </w:tc>
            </w:tr>
            <w:tr w:rsidR="000E107D" w14:paraId="18753916" w14:textId="77777777" w:rsidTr="00E32053">
              <w:tc>
                <w:tcPr>
                  <w:tcW w:w="576" w:type="dxa"/>
                </w:tcPr>
                <w:p w14:paraId="4B6FFE78" w14:textId="77777777" w:rsidR="000E107D" w:rsidRDefault="00000000">
                  <w:pPr>
                    <w:pStyle w:val="Compact"/>
                    <w:jc w:val="center"/>
                  </w:pPr>
                  <w:r>
                    <w:t>9</w:t>
                  </w:r>
                </w:p>
              </w:tc>
              <w:tc>
                <w:tcPr>
                  <w:tcW w:w="4507" w:type="dxa"/>
                </w:tcPr>
                <w:p w14:paraId="228224A7" w14:textId="77777777" w:rsidR="000E107D" w:rsidRDefault="00000000">
                  <w:pPr>
                    <w:pStyle w:val="Compact"/>
                    <w:jc w:val="center"/>
                  </w:pPr>
                  <w:r>
                    <w:t>Patcham High School</w:t>
                  </w:r>
                </w:p>
              </w:tc>
              <w:tc>
                <w:tcPr>
                  <w:tcW w:w="925" w:type="dxa"/>
                </w:tcPr>
                <w:p w14:paraId="75C4D316" w14:textId="77777777" w:rsidR="000E107D" w:rsidRDefault="00000000">
                  <w:pPr>
                    <w:pStyle w:val="Compact"/>
                    <w:jc w:val="center"/>
                  </w:pPr>
                  <w:r>
                    <w:t>+4.1</w:t>
                  </w:r>
                </w:p>
              </w:tc>
              <w:tc>
                <w:tcPr>
                  <w:tcW w:w="925" w:type="dxa"/>
                </w:tcPr>
                <w:p w14:paraId="1AE2EA95" w14:textId="77777777" w:rsidR="000E107D" w:rsidRDefault="00000000">
                  <w:pPr>
                    <w:pStyle w:val="Compact"/>
                    <w:jc w:val="center"/>
                  </w:pPr>
                  <w:r>
                    <w:t>+1.5</w:t>
                  </w:r>
                </w:p>
              </w:tc>
              <w:tc>
                <w:tcPr>
                  <w:tcW w:w="925" w:type="dxa"/>
                </w:tcPr>
                <w:p w14:paraId="0E4E05B6" w14:textId="77777777" w:rsidR="000E107D" w:rsidRDefault="00000000">
                  <w:pPr>
                    <w:pStyle w:val="Compact"/>
                    <w:jc w:val="center"/>
                  </w:pPr>
                  <w:r>
                    <w:t>-11.6</w:t>
                  </w:r>
                </w:p>
              </w:tc>
              <w:tc>
                <w:tcPr>
                  <w:tcW w:w="925" w:type="dxa"/>
                </w:tcPr>
                <w:p w14:paraId="623DD7B4" w14:textId="77777777" w:rsidR="000E107D" w:rsidRDefault="00000000">
                  <w:pPr>
                    <w:pStyle w:val="Compact"/>
                    <w:jc w:val="center"/>
                  </w:pPr>
                  <w:r>
                    <w:t>-3.5</w:t>
                  </w:r>
                </w:p>
              </w:tc>
              <w:tc>
                <w:tcPr>
                  <w:tcW w:w="577" w:type="dxa"/>
                </w:tcPr>
                <w:p w14:paraId="79890441" w14:textId="77777777" w:rsidR="000E107D" w:rsidRDefault="00000000">
                  <w:pPr>
                    <w:pStyle w:val="Compact"/>
                    <w:jc w:val="center"/>
                  </w:pPr>
                  <w:r>
                    <w:t>-2.4</w:t>
                  </w:r>
                </w:p>
              </w:tc>
            </w:tr>
            <w:tr w:rsidR="000E107D" w14:paraId="7BECCD03" w14:textId="77777777" w:rsidTr="00E32053">
              <w:tc>
                <w:tcPr>
                  <w:tcW w:w="576" w:type="dxa"/>
                </w:tcPr>
                <w:p w14:paraId="641BC40D" w14:textId="77777777" w:rsidR="000E107D" w:rsidRDefault="00000000">
                  <w:pPr>
                    <w:pStyle w:val="Compact"/>
                    <w:jc w:val="center"/>
                  </w:pPr>
                  <w:r>
                    <w:t>10</w:t>
                  </w:r>
                </w:p>
              </w:tc>
              <w:tc>
                <w:tcPr>
                  <w:tcW w:w="4507" w:type="dxa"/>
                </w:tcPr>
                <w:p w14:paraId="183D165E" w14:textId="77777777" w:rsidR="000E107D" w:rsidRDefault="00000000">
                  <w:pPr>
                    <w:pStyle w:val="Compact"/>
                    <w:jc w:val="center"/>
                  </w:pPr>
                  <w:r>
                    <w:t>Longhill High School</w:t>
                  </w:r>
                </w:p>
              </w:tc>
              <w:tc>
                <w:tcPr>
                  <w:tcW w:w="925" w:type="dxa"/>
                </w:tcPr>
                <w:p w14:paraId="7A8FE059" w14:textId="77777777" w:rsidR="000E107D" w:rsidRDefault="00000000">
                  <w:pPr>
                    <w:pStyle w:val="Compact"/>
                    <w:jc w:val="center"/>
                  </w:pPr>
                  <w:r>
                    <w:t>-5.1</w:t>
                  </w:r>
                </w:p>
              </w:tc>
              <w:tc>
                <w:tcPr>
                  <w:tcW w:w="925" w:type="dxa"/>
                </w:tcPr>
                <w:p w14:paraId="7C9EAC1E" w14:textId="77777777" w:rsidR="000E107D" w:rsidRDefault="00000000">
                  <w:pPr>
                    <w:pStyle w:val="Compact"/>
                    <w:jc w:val="center"/>
                  </w:pPr>
                  <w:r>
                    <w:t>-6.4</w:t>
                  </w:r>
                </w:p>
              </w:tc>
              <w:tc>
                <w:tcPr>
                  <w:tcW w:w="925" w:type="dxa"/>
                </w:tcPr>
                <w:p w14:paraId="6E3DE96A" w14:textId="77777777" w:rsidR="000E107D" w:rsidRDefault="00000000">
                  <w:pPr>
                    <w:pStyle w:val="Compact"/>
                    <w:jc w:val="center"/>
                  </w:pPr>
                  <w:r>
                    <w:t>+1.4</w:t>
                  </w:r>
                </w:p>
              </w:tc>
              <w:tc>
                <w:tcPr>
                  <w:tcW w:w="925" w:type="dxa"/>
                </w:tcPr>
                <w:p w14:paraId="583084B6" w14:textId="77777777" w:rsidR="000E107D" w:rsidRDefault="00000000">
                  <w:pPr>
                    <w:pStyle w:val="Compact"/>
                    <w:jc w:val="center"/>
                  </w:pPr>
                  <w:r>
                    <w:t>-0.9</w:t>
                  </w:r>
                </w:p>
              </w:tc>
              <w:tc>
                <w:tcPr>
                  <w:tcW w:w="577" w:type="dxa"/>
                </w:tcPr>
                <w:p w14:paraId="58602809" w14:textId="77777777" w:rsidR="000E107D" w:rsidRDefault="00000000">
                  <w:pPr>
                    <w:pStyle w:val="Compact"/>
                    <w:jc w:val="center"/>
                  </w:pPr>
                  <w:r>
                    <w:t>-2.7</w:t>
                  </w:r>
                </w:p>
              </w:tc>
            </w:tr>
            <w:bookmarkEnd w:id="93"/>
          </w:tbl>
          <w:p w14:paraId="4681F3EF" w14:textId="77777777" w:rsidR="000E107D" w:rsidRDefault="000E107D"/>
        </w:tc>
      </w:tr>
      <w:bookmarkEnd w:id="84"/>
    </w:tbl>
    <w:p w14:paraId="5050837A" w14:textId="77777777" w:rsidR="00EC1847" w:rsidRDefault="00EC1847"/>
    <w:sectPr w:rsidR="00EC184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0E6CB" w14:textId="77777777" w:rsidR="0081213F" w:rsidRDefault="0081213F">
      <w:pPr>
        <w:spacing w:line="240" w:lineRule="auto"/>
      </w:pPr>
      <w:r>
        <w:separator/>
      </w:r>
    </w:p>
  </w:endnote>
  <w:endnote w:type="continuationSeparator" w:id="0">
    <w:p w14:paraId="74306320" w14:textId="77777777" w:rsidR="0081213F" w:rsidRDefault="008121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D3519" w14:textId="77777777" w:rsidR="0081213F" w:rsidRDefault="0081213F">
      <w:pPr>
        <w:spacing w:line="240" w:lineRule="auto"/>
      </w:pPr>
      <w:r>
        <w:separator/>
      </w:r>
    </w:p>
  </w:footnote>
  <w:footnote w:type="continuationSeparator" w:id="0">
    <w:p w14:paraId="36684FEF" w14:textId="77777777" w:rsidR="0081213F" w:rsidRDefault="0081213F">
      <w:pPr>
        <w:spacing w:line="240" w:lineRule="auto"/>
      </w:pPr>
      <w:r>
        <w:continuationSeparator/>
      </w:r>
    </w:p>
  </w:footnote>
  <w:footnote w:id="1">
    <w:p w14:paraId="2A48708B" w14:textId="77777777" w:rsidR="000E107D" w:rsidRDefault="00000000">
      <w:pPr>
        <w:pStyle w:val="FootnoteText"/>
      </w:pPr>
      <w:r>
        <w:rPr>
          <w:rStyle w:val="FootnoteReference"/>
        </w:rPr>
        <w:footnoteRef/>
      </w:r>
      <w:r>
        <w:t xml:space="preserve"> </w:t>
      </w:r>
      <w:hyperlink r:id="rId1">
        <w:r w:rsidR="000E107D">
          <w:rPr>
            <w:rStyle w:val="Hyperlink"/>
          </w:rPr>
          <w:t>https://osf.io/x82j3/overview</w:t>
        </w:r>
      </w:hyperlink>
      <w:r>
        <w:t xml:space="preserve"> (see `about.html` in `supplementary.zip`)</w:t>
      </w:r>
    </w:p>
  </w:footnote>
  <w:footnote w:id="2">
    <w:p w14:paraId="38124DA0" w14:textId="77777777" w:rsidR="000E107D" w:rsidRDefault="00000000">
      <w:pPr>
        <w:pStyle w:val="FootnoteText"/>
      </w:pPr>
      <w:r>
        <w:rPr>
          <w:rStyle w:val="FootnoteReference"/>
        </w:rPr>
        <w:footnoteRef/>
      </w:r>
      <w:r>
        <w:t xml:space="preserve"> Details of English National Curriculum Key Stages </w:t>
      </w:r>
      <w:hyperlink r:id="rId2">
        <w:r w:rsidR="000E107D">
          <w:rPr>
            <w:rStyle w:val="Hyperlink"/>
          </w:rPr>
          <w:t>https://www.gov.uk/national-curriculum</w:t>
        </w:r>
      </w:hyperlink>
    </w:p>
  </w:footnote>
  <w:footnote w:id="3">
    <w:p w14:paraId="3138D7C1" w14:textId="77777777" w:rsidR="000E107D" w:rsidRDefault="00000000">
      <w:pPr>
        <w:pStyle w:val="FootnoteText"/>
      </w:pPr>
      <w:r>
        <w:rPr>
          <w:rStyle w:val="FootnoteReference"/>
        </w:rPr>
        <w:footnoteRef/>
      </w:r>
      <w:r>
        <w:t xml:space="preserve"> Supplementary material: </w:t>
      </w:r>
      <w:hyperlink r:id="rId3">
        <w:r w:rsidR="000E107D">
          <w:rPr>
            <w:rStyle w:val="Hyperlink"/>
          </w:rPr>
          <w:t>https://osf.io/x82j3/overview (see `index.html` in `supplementary.zip`)</w:t>
        </w:r>
      </w:hyperlink>
      <w:r>
        <w:t xml:space="preserve"> - with links through to the source code on Github.</w:t>
      </w:r>
    </w:p>
  </w:footnote>
  <w:footnote w:id="4">
    <w:p w14:paraId="6CB9DEC7" w14:textId="77777777" w:rsidR="000E107D" w:rsidRDefault="00000000">
      <w:pPr>
        <w:pStyle w:val="FootnoteText"/>
      </w:pPr>
      <w:r>
        <w:rPr>
          <w:rStyle w:val="FootnoteReference"/>
        </w:rPr>
        <w:footnoteRef/>
      </w:r>
      <w:r>
        <w:t xml:space="preserve"> missing data and imputation: </w:t>
      </w:r>
      <w:hyperlink r:id="rId4">
        <w:r w:rsidR="000E107D">
          <w:rPr>
            <w:rStyle w:val="Hyperlink"/>
          </w:rPr>
          <w:t>https://osf.io/x82j3/overview (see `data_overview.html#missing-data` in `supplementary.zip`)</w:t>
        </w:r>
      </w:hyperlink>
    </w:p>
  </w:footnote>
  <w:footnote w:id="5">
    <w:p w14:paraId="31A46610" w14:textId="77777777" w:rsidR="000E107D" w:rsidRDefault="00000000">
      <w:pPr>
        <w:pStyle w:val="FootnoteText"/>
      </w:pPr>
      <w:r>
        <w:rPr>
          <w:rStyle w:val="FootnoteReference"/>
        </w:rPr>
        <w:footnoteRef/>
      </w:r>
      <w:r>
        <w:t xml:space="preserve"> Department for Education, </w:t>
      </w:r>
      <w:r>
        <w:rPr>
          <w:i/>
          <w:iCs/>
        </w:rPr>
        <w:t>Key stage 4 performance</w:t>
      </w:r>
      <w:r>
        <w:t xml:space="preserve">: “It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 </w:t>
      </w:r>
      <w:hyperlink r:id="rId5">
        <w:r w:rsidR="000E107D">
          <w:rPr>
            <w:rStyle w:val="Hyperlink"/>
          </w:rPr>
          <w:t>https://explore-education-statistics.service.gov.uk/find-statistics/key-stage-4-performance</w:t>
        </w:r>
      </w:hyperlink>
    </w:p>
  </w:footnote>
  <w:footnote w:id="6">
    <w:p w14:paraId="0AEC51B4" w14:textId="77777777" w:rsidR="000E107D" w:rsidRDefault="00000000">
      <w:pPr>
        <w:pStyle w:val="FootnoteText"/>
      </w:pPr>
      <w:r>
        <w:rPr>
          <w:rStyle w:val="FootnoteReference"/>
        </w:rPr>
        <w:footnoteRef/>
      </w:r>
      <w:r>
        <w:t xml:space="preserve"> See data overview for details </w:t>
      </w:r>
      <w:hyperlink r:id="rId6">
        <w:r w:rsidR="000E107D">
          <w:rPr>
            <w:rStyle w:val="Hyperlink"/>
          </w:rPr>
          <w:t>https://osf.io/x82j3/overview (see `data_overview.html` in `supplementary.zip`)</w:t>
        </w:r>
      </w:hyperlink>
    </w:p>
  </w:footnote>
  <w:footnote w:id="7">
    <w:p w14:paraId="27070A5C" w14:textId="77777777" w:rsidR="000E107D" w:rsidRDefault="00000000">
      <w:pPr>
        <w:pStyle w:val="FootnoteText"/>
      </w:pPr>
      <w:r>
        <w:rPr>
          <w:rStyle w:val="FootnoteReference"/>
        </w:rPr>
        <w:footnoteRef/>
      </w:r>
      <w:r>
        <w:t xml:space="preserve"> See data overview for details </w:t>
      </w:r>
      <w:hyperlink r:id="rId7">
        <w:r w:rsidR="000E107D">
          <w:rPr>
            <w:rStyle w:val="Hyperlink"/>
          </w:rPr>
          <w:t>https://osf.io/x82j3/overview (see `data_overview.html` in `supplementary.zip`)</w:t>
        </w:r>
      </w:hyperlink>
    </w:p>
  </w:footnote>
  <w:footnote w:id="8">
    <w:p w14:paraId="54252617" w14:textId="77777777" w:rsidR="000E107D" w:rsidRDefault="00000000">
      <w:pPr>
        <w:pStyle w:val="FootnoteText"/>
      </w:pPr>
      <w:r>
        <w:rPr>
          <w:rStyle w:val="FootnoteReference"/>
        </w:rPr>
        <w:footnoteRef/>
      </w:r>
      <w:r>
        <w:t xml:space="preserve"> See supplementary material for robustness checks: </w:t>
      </w:r>
      <w:hyperlink r:id="rId8">
        <w:r w:rsidR="000E107D">
          <w:rPr>
            <w:rStyle w:val="Hyperlink"/>
          </w:rPr>
          <w:t>https://osf.io/x82j3/overview (see `model_experiments.html` in `supplementary.zip`)</w:t>
        </w:r>
      </w:hyperlink>
    </w:p>
  </w:footnote>
  <w:footnote w:id="9">
    <w:p w14:paraId="303322D0" w14:textId="77777777" w:rsidR="000E107D" w:rsidRDefault="00000000">
      <w:pPr>
        <w:pStyle w:val="FootnoteText"/>
      </w:pPr>
      <w:r>
        <w:rPr>
          <w:rStyle w:val="FootnoteReference"/>
        </w:rPr>
        <w:footnoteRef/>
      </w:r>
      <w:r>
        <w:t xml:space="preserve"> Standardised coefficients are computed as </w:t>
      </w:r>
      <m:oMath>
        <m:sSubSup>
          <m:sSubSupPr>
            <m:ctrlPr>
              <w:rPr>
                <w:rFonts w:ascii="Cambria Math" w:hAnsi="Cambria Math"/>
              </w:rPr>
            </m:ctrlPr>
          </m:sSubSupPr>
          <m:e>
            <m:r>
              <w:rPr>
                <w:rFonts w:ascii="Cambria Math" w:hAnsi="Cambria Math"/>
              </w:rPr>
              <m:t>β</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k</m:t>
            </m:r>
          </m:sub>
        </m:sSub>
        <m:r>
          <m:rPr>
            <m:sty m:val="p"/>
          </m:rPr>
          <w:rPr>
            <w:rFonts w:ascii="Cambria Math" w:hAnsi="Cambria Math"/>
          </w:rPr>
          <m:t>×</m:t>
        </m:r>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m:rPr>
            <m:sty m:val="p"/>
          </m:rPr>
          <w:rPr>
            <w:rFonts w:ascii="Cambria Math" w:hAnsi="Cambria Math"/>
          </w:rPr>
          <m:t>/</m:t>
        </m:r>
        <m:r>
          <m:rPr>
            <m:nor/>
          </m:rPr>
          <m:t>SD</m:t>
        </m:r>
        <m:d>
          <m:dPr>
            <m:ctrlPr>
              <w:rPr>
                <w:rFonts w:ascii="Cambria Math" w:hAnsi="Cambria Math"/>
              </w:rPr>
            </m:ctrlPr>
          </m:dPr>
          <m:e>
            <m:r>
              <m:rPr>
                <m:sty m:val="p"/>
              </m:rPr>
              <w:rPr>
                <w:rFonts w:ascii="Cambria Math" w:hAnsi="Cambria Math"/>
              </w:rPr>
              <m:t>log</m:t>
            </m:r>
            <m:r>
              <m:rPr>
                <m:nor/>
              </m:rPr>
              <m:t>ATT8</m:t>
            </m:r>
          </m:e>
        </m:d>
      </m:oMath>
      <w:r>
        <w:t xml:space="preserve">, where </w:t>
      </w:r>
      <m:oMath>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oMath>
      <w:r>
        <w:t xml:space="preserve"> is the sample standard deviation of the predictor (log-transformed where applicable). This rescales each coefficient to represent the change in outcome, in standard-deviation units, associated with a one-standard-deviation change in the predictor.</w:t>
      </w:r>
    </w:p>
  </w:footnote>
  <w:footnote w:id="10">
    <w:p w14:paraId="34CB52F7" w14:textId="77777777" w:rsidR="000E107D" w:rsidRDefault="00000000">
      <w:pPr>
        <w:pStyle w:val="FootnoteText"/>
      </w:pPr>
      <w:r>
        <w:rPr>
          <w:rStyle w:val="FootnoteReference"/>
        </w:rPr>
        <w:footnoteRef/>
      </w:r>
      <w:r>
        <w:t xml:space="preserve"> Stepwise Models for all pupil groups </w:t>
      </w:r>
      <w:hyperlink r:id="rId9">
        <w:r w:rsidR="000E107D">
          <w:rPr>
            <w:rStyle w:val="Hyperlink"/>
          </w:rPr>
          <w:t>https://osf.io/x82j3/overview (see `model_results.html#stepwise-model-building` in `supplementary.zip`)</w:t>
        </w:r>
      </w:hyperlink>
    </w:p>
  </w:footnote>
  <w:footnote w:id="11">
    <w:p w14:paraId="773A998E" w14:textId="77777777" w:rsidR="000E107D" w:rsidRDefault="00000000">
      <w:pPr>
        <w:pStyle w:val="FootnoteText"/>
      </w:pPr>
      <w:r>
        <w:rPr>
          <w:rStyle w:val="FootnoteReference"/>
        </w:rPr>
        <w:footnoteRef/>
      </w:r>
      <w:r>
        <w:t xml:space="preserve"> See supplementary material for robustness checks: </w:t>
      </w:r>
      <w:hyperlink r:id="rId10">
        <w:r w:rsidR="000E107D">
          <w:rPr>
            <w:rStyle w:val="Hyperlink"/>
          </w:rPr>
          <w:t>https://osf.io/x82j3/overview (see `model_experiments.html` in `supplementary.zip`)</w:t>
        </w:r>
      </w:hyperlink>
    </w:p>
  </w:footnote>
  <w:footnote w:id="12">
    <w:p w14:paraId="1E21D5E6" w14:textId="77777777" w:rsidR="000E107D"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11">
        <w:r w:rsidR="000E107D">
          <w:rPr>
            <w:rStyle w:val="Hyperlink"/>
          </w:rPr>
          <w:t>https://democracy.brighton-hove.gov.uk/documents/s204040/School%20Admission%20Arrangements%202026-27.pdf</w:t>
        </w:r>
      </w:hyperlink>
      <w:r>
        <w:t xml:space="preserve">. Brighton and Hove City Council (2025) </w:t>
      </w:r>
      <w:r>
        <w:rPr>
          <w:i/>
          <w:iCs/>
        </w:rPr>
        <w:t>School Admission Arrangements 2026/27</w:t>
      </w:r>
      <w:r>
        <w:t xml:space="preserve"> - Full Council Report, 27 February 2025 (determination): </w:t>
      </w:r>
      <w:hyperlink r:id="rId12">
        <w:r w:rsidR="000E107D">
          <w:rPr>
            <w:rStyle w:val="Hyperlink"/>
          </w:rPr>
          <w:t>https://democracy.brighton-hove.gov.uk/documents/s205834/School%20Admission%20Arrangements%202026-27.pdf</w:t>
        </w:r>
      </w:hyperlink>
      <w:r>
        <w:t>.</w:t>
      </w:r>
    </w:p>
  </w:footnote>
  <w:footnote w:id="13">
    <w:p w14:paraId="13178F08" w14:textId="77777777" w:rsidR="000E107D" w:rsidRDefault="00000000">
      <w:pPr>
        <w:pStyle w:val="FootnoteText"/>
      </w:pPr>
      <w:r>
        <w:rPr>
          <w:rStyle w:val="FootnoteReference"/>
        </w:rPr>
        <w:footnoteRef/>
      </w:r>
      <w:r>
        <w:t xml:space="preserve"> 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hyperlink r:id="rId13">
        <w:r w:rsidR="000E107D">
          <w:rPr>
            <w:rStyle w:val="Hyperlink"/>
          </w:rPr>
          <w:t>https://yourvoice.brighton-hove.gov.uk/en-GB/projects/school-admission-arrangements-public-consultation/1</w:t>
        </w:r>
      </w:hyperlink>
      <w:r>
        <w:t>.</w:t>
      </w:r>
    </w:p>
  </w:footnote>
  <w:footnote w:id="14">
    <w:p w14:paraId="09D6DB69" w14:textId="77777777" w:rsidR="000E107D" w:rsidRDefault="00000000">
      <w:pPr>
        <w:pStyle w:val="FootnoteText"/>
      </w:pPr>
      <w:r>
        <w:rPr>
          <w:rStyle w:val="FootnoteReference"/>
        </w:rPr>
        <w:footnoteRef/>
      </w:r>
      <w:r>
        <w:t xml:space="preserve"> </w:t>
      </w:r>
      <w:hyperlink r:id="rId14">
        <w:r w:rsidR="000E107D">
          <w:rPr>
            <w:rStyle w:val="Hyperlink"/>
          </w:rPr>
          <w:t>https://www.brighton-hove.gov.uk/schools-and-learning/school-policies-reports-strategies-and-other-documents/better-outcomes-better-lives-brighton-hoves-strategy-tackling-educational-disadvantage</w:t>
        </w:r>
      </w:hyperlink>
    </w:p>
  </w:footnote>
  <w:footnote w:id="15">
    <w:p w14:paraId="12ABF2C9" w14:textId="77777777" w:rsidR="000E107D" w:rsidRDefault="00000000">
      <w:pPr>
        <w:pStyle w:val="FootnoteText"/>
      </w:pPr>
      <w:r>
        <w:rPr>
          <w:rStyle w:val="FootnoteReference"/>
        </w:rPr>
        <w:footnoteRef/>
      </w:r>
      <w:r>
        <w:t xml:space="preserve"> Full technical details, model fits, sensitivity checks and a 50-replicate clustered bootstrap of school rank uncertainty are in the supplementary material: </w:t>
      </w:r>
      <w:hyperlink r:id="rId15">
        <w:r w:rsidR="000E107D">
          <w:rPr>
            <w:rStyle w:val="Hyperlink"/>
          </w:rPr>
          <w:t>https://osf.io/x82j3/overview (see `model_experiments.html#sec-two-stage-absence` in `supplementary.zip`)</w:t>
        </w:r>
      </w:hyperlink>
    </w:p>
  </w:footnote>
  <w:footnote w:id="16">
    <w:p w14:paraId="698DBFDD" w14:textId="77777777" w:rsidR="000E107D" w:rsidRDefault="00000000">
      <w:pPr>
        <w:pStyle w:val="FootnoteText"/>
      </w:pPr>
      <w:r>
        <w:rPr>
          <w:rStyle w:val="FootnoteReference"/>
        </w:rPr>
        <w:footnoteRef/>
      </w:r>
      <w:r>
        <w:t xml:space="preserve"> Brighton and Hove Council 2024 Consultation Papers: </w:t>
      </w:r>
      <w:hyperlink r:id="rId16">
        <w:r w:rsidR="000E107D">
          <w:rPr>
            <w:rStyle w:val="Hyperlink"/>
          </w:rPr>
          <w:t>https://yourvoice.brighton-hove.gov.uk/en-GB/projects/school-admission-arrangements-public-consultation/1</w:t>
        </w:r>
      </w:hyperlink>
    </w:p>
  </w:footnote>
  <w:footnote w:id="17">
    <w:p w14:paraId="7E067FFC" w14:textId="77777777" w:rsidR="000E107D"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17">
        <w:r w:rsidR="000E107D">
          <w:rPr>
            <w:rStyle w:val="Hyperlink"/>
          </w:rPr>
          <w:t>https://democracy.brighton-hove.gov.uk/documents/s204040/School%20Admission%20Arrangements%202026-27.pdf</w:t>
        </w:r>
      </w:hyperlink>
      <w:r>
        <w:t xml:space="preserve">. Brighton and Hove City Council (2025) </w:t>
      </w:r>
      <w:r>
        <w:rPr>
          <w:i/>
          <w:iCs/>
        </w:rPr>
        <w:t>School Admission Arrangements 2026/27</w:t>
      </w:r>
      <w:r>
        <w:t xml:space="preserve"> - Full Council Report, 27 February 2025 (determination): </w:t>
      </w:r>
      <w:hyperlink r:id="rId18">
        <w:r w:rsidR="000E107D">
          <w:rPr>
            <w:rStyle w:val="Hyperlink"/>
          </w:rPr>
          <w:t>https://democracy.brighton-hove.gov.uk/documents/s205834/School%20Admission%20Arrangements%202026-27.pdf</w:t>
        </w:r>
      </w:hyperlink>
      <w:r>
        <w:t>.</w:t>
      </w:r>
    </w:p>
  </w:footnote>
  <w:footnote w:id="18">
    <w:p w14:paraId="5A68ECAB" w14:textId="77777777" w:rsidR="000E107D" w:rsidRDefault="00000000">
      <w:pPr>
        <w:pStyle w:val="FootnoteText"/>
      </w:pPr>
      <w:r>
        <w:rPr>
          <w:rStyle w:val="FootnoteReference"/>
        </w:rPr>
        <w:footnoteRef/>
      </w:r>
      <w:r>
        <w:t xml:space="preserve"> The comment was made in a blog post here: </w:t>
      </w:r>
      <w:hyperlink r:id="rId19">
        <w:r w:rsidR="000E107D">
          <w:rPr>
            <w:rStyle w:val="Hyperlink"/>
          </w:rPr>
          <w:t>https://www.classdivide.co.uk/news/uk5uk5bxax0rvjz9q4tu4kgx2lbyhw</w:t>
        </w:r>
      </w:hyperlink>
    </w:p>
  </w:footnote>
  <w:footnote w:id="19">
    <w:p w14:paraId="064C3B5C" w14:textId="77777777" w:rsidR="000E107D" w:rsidRDefault="00000000">
      <w:pPr>
        <w:pStyle w:val="FootnoteText"/>
      </w:pPr>
      <w:r>
        <w:rPr>
          <w:rStyle w:val="FootnoteReference"/>
        </w:rPr>
        <w:footnoteRef/>
      </w:r>
      <w:r>
        <w:t xml:space="preserve"> 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hyperlink r:id="rId20">
        <w:r w:rsidR="000E107D">
          <w:rPr>
            <w:rStyle w:val="Hyperlink"/>
          </w:rPr>
          <w:t>https://yourvoice.brighton-hove.gov.uk/en-GB/projects/school-admission-arrangements-public-consultation/1</w:t>
        </w:r>
      </w:hyperlink>
      <w:r>
        <w:t>.</w:t>
      </w:r>
    </w:p>
  </w:footnote>
  <w:footnote w:id="20">
    <w:p w14:paraId="358DE6BB" w14:textId="77777777" w:rsidR="000E107D" w:rsidRDefault="00000000">
      <w:pPr>
        <w:pStyle w:val="FootnoteText"/>
      </w:pPr>
      <w:r>
        <w:rPr>
          <w:rStyle w:val="FootnoteReference"/>
        </w:rPr>
        <w:footnoteRef/>
      </w:r>
      <w:r>
        <w:t xml:space="preserve"> </w:t>
      </w:r>
      <w:hyperlink r:id="rId21">
        <w:r w:rsidR="000E107D">
          <w:rPr>
            <w:rStyle w:val="Hyperlink"/>
          </w:rPr>
          <w:t>https://educationequity.kit.com/</w:t>
        </w:r>
      </w:hyperlink>
    </w:p>
  </w:footnote>
  <w:footnote w:id="21">
    <w:p w14:paraId="1FD95127" w14:textId="77777777" w:rsidR="000E107D" w:rsidRDefault="00000000">
      <w:pPr>
        <w:pStyle w:val="FootnoteText"/>
      </w:pPr>
      <w:r>
        <w:rPr>
          <w:rStyle w:val="FootnoteReference"/>
        </w:rPr>
        <w:footnoteRef/>
      </w:r>
      <w:r>
        <w:t xml:space="preserve"> </w:t>
      </w:r>
      <w:hyperlink r:id="rId22">
        <w:r w:rsidR="000E107D">
          <w:rPr>
            <w:rStyle w:val="Hyperlink"/>
          </w:rPr>
          <w:t>https://reports.ofsted.gov.uk/provider/23/136164</w:t>
        </w:r>
      </w:hyperlink>
    </w:p>
  </w:footnote>
  <w:footnote w:id="22">
    <w:p w14:paraId="6F0B0800" w14:textId="77777777" w:rsidR="000E107D"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23">
        <w:r w:rsidR="000E107D">
          <w:rPr>
            <w:rStyle w:val="Hyperlink"/>
          </w:rPr>
          <w:t>https://democracy.brighton-hove.gov.uk/documents/s204040/School%20Admission%20Arrangements%202026-27.pdf</w:t>
        </w:r>
      </w:hyperlink>
    </w:p>
  </w:footnote>
  <w:footnote w:id="23">
    <w:p w14:paraId="153EE91B" w14:textId="77777777" w:rsidR="000E107D" w:rsidRDefault="00000000">
      <w:pPr>
        <w:pStyle w:val="FootnoteText"/>
      </w:pPr>
      <w:r>
        <w:rPr>
          <w:rStyle w:val="FootnoteReference"/>
        </w:rPr>
        <w:footnoteRef/>
      </w:r>
      <w:r>
        <w:t xml:space="preserve"> 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9AC26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3349035">
    <w:abstractNumId w:val="11"/>
  </w:num>
  <w:num w:numId="2" w16cid:durableId="715008937">
    <w:abstractNumId w:val="16"/>
  </w:num>
  <w:num w:numId="3" w16cid:durableId="90863085">
    <w:abstractNumId w:val="20"/>
  </w:num>
  <w:num w:numId="4" w16cid:durableId="285892989">
    <w:abstractNumId w:val="1"/>
  </w:num>
  <w:num w:numId="5" w16cid:durableId="1889688008">
    <w:abstractNumId w:val="2"/>
  </w:num>
  <w:num w:numId="6" w16cid:durableId="1659188007">
    <w:abstractNumId w:val="3"/>
  </w:num>
  <w:num w:numId="7" w16cid:durableId="1748379258">
    <w:abstractNumId w:val="4"/>
  </w:num>
  <w:num w:numId="8" w16cid:durableId="1522279981">
    <w:abstractNumId w:val="9"/>
  </w:num>
  <w:num w:numId="9" w16cid:durableId="1846019313">
    <w:abstractNumId w:val="5"/>
  </w:num>
  <w:num w:numId="10" w16cid:durableId="1511069277">
    <w:abstractNumId w:val="7"/>
  </w:num>
  <w:num w:numId="11" w16cid:durableId="522597845">
    <w:abstractNumId w:val="6"/>
  </w:num>
  <w:num w:numId="12" w16cid:durableId="1183083884">
    <w:abstractNumId w:val="10"/>
  </w:num>
  <w:num w:numId="13" w16cid:durableId="1310789798">
    <w:abstractNumId w:val="8"/>
  </w:num>
  <w:num w:numId="14" w16cid:durableId="530187866">
    <w:abstractNumId w:val="18"/>
  </w:num>
  <w:num w:numId="15" w16cid:durableId="967275065">
    <w:abstractNumId w:val="21"/>
  </w:num>
  <w:num w:numId="16" w16cid:durableId="1562205318">
    <w:abstractNumId w:val="15"/>
  </w:num>
  <w:num w:numId="17" w16cid:durableId="18243480">
    <w:abstractNumId w:val="17"/>
  </w:num>
  <w:num w:numId="18" w16cid:durableId="148324002">
    <w:abstractNumId w:val="12"/>
  </w:num>
  <w:num w:numId="19" w16cid:durableId="1065106568">
    <w:abstractNumId w:val="0"/>
  </w:num>
  <w:num w:numId="20" w16cid:durableId="452943983">
    <w:abstractNumId w:val="13"/>
  </w:num>
  <w:num w:numId="21" w16cid:durableId="518197463">
    <w:abstractNumId w:val="19"/>
  </w:num>
  <w:num w:numId="22" w16cid:durableId="517695458">
    <w:abstractNumId w:val="22"/>
  </w:num>
  <w:num w:numId="23" w16cid:durableId="478576357">
    <w:abstractNumId w:val="23"/>
  </w:num>
  <w:num w:numId="24" w16cid:durableId="1353457913">
    <w:abstractNumId w:val="14"/>
  </w:num>
  <w:num w:numId="25" w16cid:durableId="1522280334">
    <w:abstractNumId w:val="24"/>
  </w:num>
  <w:num w:numId="26" w16cid:durableId="12485420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linkStyle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0CA6"/>
    <w:rsid w:val="000E107D"/>
    <w:rsid w:val="000F697D"/>
    <w:rsid w:val="00162B3B"/>
    <w:rsid w:val="001A76D3"/>
    <w:rsid w:val="00302154"/>
    <w:rsid w:val="00303AF6"/>
    <w:rsid w:val="003E124A"/>
    <w:rsid w:val="004131D5"/>
    <w:rsid w:val="00413CD7"/>
    <w:rsid w:val="00413EAF"/>
    <w:rsid w:val="00440721"/>
    <w:rsid w:val="00491C3B"/>
    <w:rsid w:val="005B7D00"/>
    <w:rsid w:val="006440C5"/>
    <w:rsid w:val="00660CA6"/>
    <w:rsid w:val="006B1605"/>
    <w:rsid w:val="006B1EF0"/>
    <w:rsid w:val="006E261F"/>
    <w:rsid w:val="00751895"/>
    <w:rsid w:val="0078047F"/>
    <w:rsid w:val="007C4687"/>
    <w:rsid w:val="0081213F"/>
    <w:rsid w:val="00856D00"/>
    <w:rsid w:val="00861632"/>
    <w:rsid w:val="009105F0"/>
    <w:rsid w:val="00A44957"/>
    <w:rsid w:val="00A50E66"/>
    <w:rsid w:val="00A96273"/>
    <w:rsid w:val="00B25936"/>
    <w:rsid w:val="00B6371F"/>
    <w:rsid w:val="00B8250B"/>
    <w:rsid w:val="00BE31E9"/>
    <w:rsid w:val="00C545A6"/>
    <w:rsid w:val="00C71E44"/>
    <w:rsid w:val="00D05A8B"/>
    <w:rsid w:val="00D5127C"/>
    <w:rsid w:val="00D62C5E"/>
    <w:rsid w:val="00E32053"/>
    <w:rsid w:val="00EB2F3C"/>
    <w:rsid w:val="00EC1847"/>
    <w:rsid w:val="00EC7E12"/>
    <w:rsid w:val="00F81C80"/>
    <w:rsid w:val="00FF7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335C9"/>
  <w15:docId w15:val="{085C577D-6BA0-4CC0-82ED-D7F2254E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81C80"/>
    <w:pPr>
      <w:spacing w:after="0" w:line="480" w:lineRule="auto"/>
    </w:pPr>
    <w:rPr>
      <w:rFonts w:ascii="Times New Roman" w:eastAsia="Times New Roman" w:hAnsi="Times New Roman" w:cs="Times New Roman"/>
      <w:lang w:val="en-GB" w:eastAsia="en-GB"/>
    </w:rPr>
  </w:style>
  <w:style w:type="paragraph" w:styleId="Heading1">
    <w:name w:val="heading 1"/>
    <w:basedOn w:val="Normal"/>
    <w:next w:val="Paragraph"/>
    <w:link w:val="Heading1Char"/>
    <w:qFormat/>
    <w:rsid w:val="00F81C80"/>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F81C80"/>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F81C80"/>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81C80"/>
    <w:pPr>
      <w:spacing w:before="360"/>
      <w:outlineLvl w:val="3"/>
    </w:pPr>
    <w:rPr>
      <w:bCs/>
      <w:szCs w:val="28"/>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F81C8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81C80"/>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40" w:lineRule="auto"/>
    </w:pPr>
    <w:rPr>
      <w:sz w:val="16"/>
      <w:szCs w:val="16"/>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Keywords"/>
    <w:qFormat/>
    <w:rsid w:val="00F81C80"/>
    <w:pPr>
      <w:spacing w:before="360" w:after="300" w:line="360" w:lineRule="auto"/>
      <w:ind w:left="720" w:right="567"/>
    </w:pPr>
    <w:rPr>
      <w:sz w:val="22"/>
    </w:rPr>
  </w:style>
  <w:style w:type="paragraph" w:styleId="Bibliography">
    <w:name w:val="Bibliography"/>
    <w:basedOn w:val="Normal"/>
    <w:qFormat/>
    <w:pPr>
      <w:ind w:left="720" w:hanging="720"/>
    </w:pPr>
  </w:style>
  <w:style w:type="character" w:customStyle="1" w:styleId="Heading1Char">
    <w:name w:val="Heading 1 Char"/>
    <w:basedOn w:val="DefaultParagraphFont"/>
    <w:link w:val="Heading1"/>
    <w:rsid w:val="00F81C80"/>
    <w:rPr>
      <w:rFonts w:ascii="Times New Roman" w:eastAsia="Times New Roman" w:hAnsi="Times New Roman" w:cs="Arial"/>
      <w:b/>
      <w:bCs/>
      <w:kern w:val="32"/>
      <w:szCs w:val="32"/>
      <w:lang w:val="en-GB" w:eastAsia="en-GB"/>
    </w:rPr>
  </w:style>
  <w:style w:type="character" w:customStyle="1" w:styleId="Heading2Char">
    <w:name w:val="Heading 2 Char"/>
    <w:basedOn w:val="DefaultParagraphFont"/>
    <w:link w:val="Heading2"/>
    <w:rsid w:val="00F81C80"/>
    <w:rPr>
      <w:rFonts w:ascii="Times New Roman" w:eastAsia="Times New Roman" w:hAnsi="Times New Roman" w:cs="Arial"/>
      <w:b/>
      <w:bCs/>
      <w:i/>
      <w:iCs/>
      <w:szCs w:val="28"/>
      <w:lang w:val="en-GB" w:eastAsia="en-GB"/>
    </w:rPr>
  </w:style>
  <w:style w:type="character" w:customStyle="1" w:styleId="Heading3Char">
    <w:name w:val="Heading 3 Char"/>
    <w:basedOn w:val="DefaultParagraphFont"/>
    <w:link w:val="Heading3"/>
    <w:rsid w:val="00F81C80"/>
    <w:rPr>
      <w:rFonts w:ascii="Times New Roman" w:eastAsia="Times New Roman" w:hAnsi="Times New Roman" w:cs="Arial"/>
      <w:bCs/>
      <w:i/>
      <w:szCs w:val="26"/>
      <w:lang w:val="en-GB" w:eastAsia="en-GB"/>
    </w:rPr>
  </w:style>
  <w:style w:type="character" w:customStyle="1" w:styleId="Heading4Char">
    <w:name w:val="Heading 4 Char"/>
    <w:basedOn w:val="DefaultParagraphFont"/>
    <w:link w:val="Heading4"/>
    <w:rsid w:val="00F81C80"/>
    <w:rPr>
      <w:rFonts w:ascii="Times New Roman" w:eastAsia="Times New Roman" w:hAnsi="Times New Roman" w:cs="Times New Roman"/>
      <w:bCs/>
      <w:szCs w:val="28"/>
      <w:lang w:val="en-GB" w:eastAsia="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autoRedefine/>
    <w:rsid w:val="00F81C80"/>
    <w:pPr>
      <w:ind w:left="284" w:hanging="284"/>
    </w:pPr>
    <w:rPr>
      <w:sz w:val="22"/>
      <w:szCs w:val="20"/>
    </w:rPr>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43" w:type="dxa"/>
        <w:bottom w:w="0" w:type="dxa"/>
        <w:right w:w="43"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DefaultParagraphFont"/>
    <w:rsid w:val="00F81C80"/>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Articletitle">
    <w:name w:val="Article title"/>
    <w:basedOn w:val="Normal"/>
    <w:next w:val="Normal"/>
    <w:qFormat/>
    <w:rsid w:val="00F81C80"/>
    <w:pPr>
      <w:spacing w:after="120" w:line="360" w:lineRule="auto"/>
    </w:pPr>
    <w:rPr>
      <w:b/>
      <w:sz w:val="28"/>
    </w:rPr>
  </w:style>
  <w:style w:type="paragraph" w:customStyle="1" w:styleId="Authornames">
    <w:name w:val="Author names"/>
    <w:basedOn w:val="Normal"/>
    <w:next w:val="Normal"/>
    <w:qFormat/>
    <w:rsid w:val="00F81C80"/>
    <w:pPr>
      <w:spacing w:before="240" w:line="360" w:lineRule="auto"/>
    </w:pPr>
    <w:rPr>
      <w:sz w:val="28"/>
    </w:rPr>
  </w:style>
  <w:style w:type="paragraph" w:customStyle="1" w:styleId="Affiliation">
    <w:name w:val="Affiliation"/>
    <w:basedOn w:val="Normal"/>
    <w:qFormat/>
    <w:rsid w:val="00F81C80"/>
    <w:pPr>
      <w:spacing w:before="240" w:line="360" w:lineRule="auto"/>
    </w:pPr>
    <w:rPr>
      <w:i/>
    </w:rPr>
  </w:style>
  <w:style w:type="paragraph" w:customStyle="1" w:styleId="Receiveddates">
    <w:name w:val="Received dates"/>
    <w:basedOn w:val="Affiliation"/>
    <w:next w:val="Normal"/>
    <w:qFormat/>
    <w:rsid w:val="00F81C80"/>
  </w:style>
  <w:style w:type="paragraph" w:customStyle="1" w:styleId="Keywords">
    <w:name w:val="Keywords"/>
    <w:basedOn w:val="Normal"/>
    <w:next w:val="Paragraph"/>
    <w:qFormat/>
    <w:rsid w:val="00F81C80"/>
    <w:pPr>
      <w:spacing w:before="240" w:after="240" w:line="360" w:lineRule="auto"/>
      <w:ind w:left="720" w:right="567"/>
    </w:pPr>
    <w:rPr>
      <w:sz w:val="22"/>
    </w:rPr>
  </w:style>
  <w:style w:type="paragraph" w:customStyle="1" w:styleId="Correspondencedetails">
    <w:name w:val="Correspondence details"/>
    <w:basedOn w:val="Normal"/>
    <w:qFormat/>
    <w:rsid w:val="00F81C80"/>
    <w:pPr>
      <w:spacing w:before="240" w:line="360" w:lineRule="auto"/>
    </w:pPr>
  </w:style>
  <w:style w:type="paragraph" w:customStyle="1" w:styleId="Displayedquotation">
    <w:name w:val="Displayed quotation"/>
    <w:basedOn w:val="Normal"/>
    <w:qFormat/>
    <w:rsid w:val="00F81C80"/>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F81C80"/>
    <w:pPr>
      <w:widowControl/>
      <w:numPr>
        <w:numId w:val="14"/>
      </w:numPr>
      <w:spacing w:after="240"/>
      <w:contextualSpacing/>
    </w:pPr>
  </w:style>
  <w:style w:type="paragraph" w:customStyle="1" w:styleId="Displayedequation">
    <w:name w:val="Displayed equation"/>
    <w:basedOn w:val="Normal"/>
    <w:next w:val="Paragraph"/>
    <w:qFormat/>
    <w:rsid w:val="00F81C80"/>
    <w:pPr>
      <w:tabs>
        <w:tab w:val="center" w:pos="4253"/>
        <w:tab w:val="right" w:pos="8222"/>
      </w:tabs>
      <w:spacing w:before="240" w:after="240"/>
      <w:jc w:val="center"/>
    </w:pPr>
  </w:style>
  <w:style w:type="paragraph" w:customStyle="1" w:styleId="Acknowledgements">
    <w:name w:val="Acknowledgements"/>
    <w:basedOn w:val="Normal"/>
    <w:next w:val="Normal"/>
    <w:qFormat/>
    <w:rsid w:val="00F81C80"/>
    <w:pPr>
      <w:spacing w:before="120" w:line="360" w:lineRule="auto"/>
    </w:pPr>
    <w:rPr>
      <w:sz w:val="22"/>
    </w:rPr>
  </w:style>
  <w:style w:type="paragraph" w:customStyle="1" w:styleId="Tabletitle">
    <w:name w:val="Table title"/>
    <w:basedOn w:val="Normal"/>
    <w:next w:val="Normal"/>
    <w:qFormat/>
    <w:rsid w:val="00F81C80"/>
    <w:pPr>
      <w:spacing w:before="240" w:line="360" w:lineRule="auto"/>
    </w:pPr>
  </w:style>
  <w:style w:type="paragraph" w:customStyle="1" w:styleId="Figurecaption">
    <w:name w:val="Figure caption"/>
    <w:basedOn w:val="Normal"/>
    <w:next w:val="Normal"/>
    <w:qFormat/>
    <w:rsid w:val="00F81C80"/>
    <w:pPr>
      <w:spacing w:before="240" w:line="360" w:lineRule="auto"/>
    </w:pPr>
  </w:style>
  <w:style w:type="paragraph" w:customStyle="1" w:styleId="Footnotes">
    <w:name w:val="Footnotes"/>
    <w:basedOn w:val="Normal"/>
    <w:qFormat/>
    <w:rsid w:val="00F81C80"/>
    <w:pPr>
      <w:spacing w:before="120" w:line="360" w:lineRule="auto"/>
      <w:ind w:left="482" w:hanging="482"/>
      <w:contextualSpacing/>
    </w:pPr>
    <w:rPr>
      <w:sz w:val="22"/>
    </w:rPr>
  </w:style>
  <w:style w:type="paragraph" w:customStyle="1" w:styleId="Notesoncontributors">
    <w:name w:val="Notes on contributors"/>
    <w:basedOn w:val="Normal"/>
    <w:qFormat/>
    <w:rsid w:val="00F81C80"/>
    <w:pPr>
      <w:spacing w:before="240" w:line="360" w:lineRule="auto"/>
    </w:pPr>
    <w:rPr>
      <w:sz w:val="22"/>
    </w:rPr>
  </w:style>
  <w:style w:type="paragraph" w:customStyle="1" w:styleId="Normalparagraphstyle">
    <w:name w:val="Normal paragraph style"/>
    <w:basedOn w:val="Normal"/>
    <w:next w:val="Normal"/>
    <w:rsid w:val="00F81C80"/>
  </w:style>
  <w:style w:type="paragraph" w:customStyle="1" w:styleId="Paragraph">
    <w:name w:val="Paragraph"/>
    <w:basedOn w:val="Normal"/>
    <w:next w:val="Newparagraph"/>
    <w:qFormat/>
    <w:rsid w:val="00F81C80"/>
    <w:pPr>
      <w:widowControl w:val="0"/>
      <w:spacing w:before="240"/>
    </w:pPr>
  </w:style>
  <w:style w:type="paragraph" w:customStyle="1" w:styleId="Newparagraph">
    <w:name w:val="New paragraph"/>
    <w:basedOn w:val="Normal"/>
    <w:qFormat/>
    <w:rsid w:val="00F81C80"/>
    <w:pPr>
      <w:ind w:firstLine="720"/>
    </w:pPr>
  </w:style>
  <w:style w:type="paragraph" w:styleId="NormalIndent">
    <w:name w:val="Normal Indent"/>
    <w:basedOn w:val="Normal"/>
    <w:rsid w:val="00F81C80"/>
    <w:pPr>
      <w:ind w:left="720"/>
    </w:pPr>
  </w:style>
  <w:style w:type="paragraph" w:customStyle="1" w:styleId="References">
    <w:name w:val="References"/>
    <w:basedOn w:val="Normal"/>
    <w:qFormat/>
    <w:rsid w:val="00F81C80"/>
    <w:pPr>
      <w:spacing w:before="120" w:line="360" w:lineRule="auto"/>
      <w:ind w:left="720" w:hanging="720"/>
      <w:contextualSpacing/>
    </w:pPr>
  </w:style>
  <w:style w:type="paragraph" w:customStyle="1" w:styleId="Subjectcodes">
    <w:name w:val="Subject codes"/>
    <w:basedOn w:val="Keywords"/>
    <w:next w:val="Paragraph"/>
    <w:qFormat/>
    <w:rsid w:val="00F81C80"/>
  </w:style>
  <w:style w:type="paragraph" w:customStyle="1" w:styleId="Bulletedlist">
    <w:name w:val="Bulleted list"/>
    <w:basedOn w:val="Paragraph"/>
    <w:next w:val="Paragraph"/>
    <w:qFormat/>
    <w:rsid w:val="00F81C80"/>
    <w:pPr>
      <w:widowControl/>
      <w:numPr>
        <w:numId w:val="15"/>
      </w:numPr>
      <w:spacing w:after="240"/>
      <w:contextualSpacing/>
    </w:pPr>
  </w:style>
  <w:style w:type="character" w:customStyle="1" w:styleId="FootnoteTextChar">
    <w:name w:val="Footnote Text Char"/>
    <w:basedOn w:val="DefaultParagraphFont"/>
    <w:link w:val="FootnoteText"/>
    <w:rsid w:val="00F81C80"/>
    <w:rPr>
      <w:rFonts w:ascii="Times New Roman" w:eastAsia="Times New Roman" w:hAnsi="Times New Roman" w:cs="Times New Roman"/>
      <w:sz w:val="22"/>
      <w:szCs w:val="20"/>
      <w:lang w:val="en-GB" w:eastAsia="en-GB"/>
    </w:rPr>
  </w:style>
  <w:style w:type="paragraph" w:styleId="EndnoteText">
    <w:name w:val="endnote text"/>
    <w:basedOn w:val="Normal"/>
    <w:link w:val="EndnoteTextChar"/>
    <w:autoRedefine/>
    <w:rsid w:val="00F81C80"/>
    <w:pPr>
      <w:ind w:left="284" w:hanging="284"/>
    </w:pPr>
    <w:rPr>
      <w:sz w:val="22"/>
      <w:szCs w:val="20"/>
    </w:rPr>
  </w:style>
  <w:style w:type="character" w:customStyle="1" w:styleId="EndnoteTextChar">
    <w:name w:val="Endnote Text Char"/>
    <w:basedOn w:val="DefaultParagraphFont"/>
    <w:link w:val="EndnoteText"/>
    <w:rsid w:val="00F81C80"/>
    <w:rPr>
      <w:rFonts w:ascii="Times New Roman" w:eastAsia="Times New Roman" w:hAnsi="Times New Roman" w:cs="Times New Roman"/>
      <w:sz w:val="22"/>
      <w:szCs w:val="20"/>
      <w:lang w:val="en-GB" w:eastAsia="en-GB"/>
    </w:rPr>
  </w:style>
  <w:style w:type="character" w:styleId="EndnoteReference">
    <w:name w:val="endnote reference"/>
    <w:basedOn w:val="DefaultParagraphFont"/>
    <w:rsid w:val="00F81C80"/>
    <w:rPr>
      <w:vertAlign w:val="superscript"/>
    </w:rPr>
  </w:style>
  <w:style w:type="paragraph" w:styleId="Header">
    <w:name w:val="header"/>
    <w:basedOn w:val="Normal"/>
    <w:link w:val="HeaderChar"/>
    <w:rsid w:val="00F81C80"/>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F81C80"/>
    <w:rPr>
      <w:rFonts w:ascii="Times New Roman" w:eastAsia="Times New Roman" w:hAnsi="Times New Roman" w:cs="Times New Roman"/>
      <w:lang w:val="en-GB" w:eastAsia="en-GB"/>
    </w:rPr>
  </w:style>
  <w:style w:type="paragraph" w:styleId="Footer">
    <w:name w:val="footer"/>
    <w:basedOn w:val="Normal"/>
    <w:link w:val="FooterChar"/>
    <w:rsid w:val="00F81C80"/>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F81C80"/>
    <w:rPr>
      <w:rFonts w:ascii="Times New Roman" w:eastAsia="Times New Roman" w:hAnsi="Times New Roman" w:cs="Times New Roman"/>
      <w:lang w:val="en-GB" w:eastAsia="en-GB"/>
    </w:rPr>
  </w:style>
  <w:style w:type="paragraph" w:customStyle="1" w:styleId="Heading4Paragraph">
    <w:name w:val="Heading 4 + Paragraph"/>
    <w:basedOn w:val="Paragraph"/>
    <w:next w:val="Newparagraph"/>
    <w:qFormat/>
    <w:rsid w:val="00F81C80"/>
    <w:pPr>
      <w:widowControl/>
      <w:spacing w:before="360"/>
    </w:pPr>
  </w:style>
  <w:style w:type="table" w:styleId="TableGridLight">
    <w:name w:val="Grid Table Light"/>
    <w:basedOn w:val="TableNormal"/>
    <w:rsid w:val="003E124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314687" TargetMode="External"/><Relationship Id="rId18" Type="http://schemas.openxmlformats.org/officeDocument/2006/relationships/hyperlink" Target="https://explore-education-statistics.service.gov.uk/find-statistics/pupil-absence-in-schools-in-england/2024-25-autumn-and-spring-term" TargetMode="External"/><Relationship Id="rId26" Type="http://schemas.openxmlformats.org/officeDocument/2006/relationships/hyperlink" Target="https://doi.org/10.1002/berj.3297" TargetMode="External"/><Relationship Id="rId39" Type="http://schemas.openxmlformats.org/officeDocument/2006/relationships/hyperlink" Target="https://doi.org/10.1265/ehpm.25-00290" TargetMode="External"/><Relationship Id="rId21" Type="http://schemas.openxmlformats.org/officeDocument/2006/relationships/hyperlink" Target="https://doi.org/10.1002/berj.3992" TargetMode="External"/><Relationship Id="rId34" Type="http://schemas.openxmlformats.org/officeDocument/2006/relationships/hyperlink" Target="https://doi.org/10.14324/LRE.21.1.20" TargetMode="External"/><Relationship Id="rId42" Type="http://schemas.openxmlformats.org/officeDocument/2006/relationships/hyperlink" Target="https://doi.org/10.1111/jcpp.14082" TargetMode="External"/><Relationship Id="rId47" Type="http://schemas.openxmlformats.org/officeDocument/2006/relationships/hyperlink" Target="https://doi.org/10.1080/01425692.2025.2474040" TargetMode="External"/><Relationship Id="rId50" Type="http://schemas.openxmlformats.org/officeDocument/2006/relationships/hyperlink" Target="https://ffteducationdatalab.org.uk/2023/11/are-pupils-who-live-further-away-from-their-school-absent-more-often/" TargetMode="External"/><Relationship Id="rId55" Type="http://schemas.openxmlformats.org/officeDocument/2006/relationships/hyperlink" Target="https://epi.org.uk/publications-and-research/the-influence-of-headteachers-on-their-schools/" TargetMode="External"/><Relationship Id="rId63" Type="http://schemas.openxmlformats.org/officeDocument/2006/relationships/theme" Target="theme/theme1.xml"/><Relationship Id="rId7" Type="http://schemas.openxmlformats.org/officeDocument/2006/relationships/hyperlink" Target="https://doi.org/10.1080/09645292.2017.1366425" TargetMode="External"/><Relationship Id="rId2" Type="http://schemas.openxmlformats.org/officeDocument/2006/relationships/styles" Target="styles.xml"/><Relationship Id="rId16" Type="http://schemas.openxmlformats.org/officeDocument/2006/relationships/hyperlink" Target="https://explore-education-statistics.service.gov.uk/find-statistics/the-link-between-absence-and-attainment-at-ks2-and-ks4/2018-19" TargetMode="External"/><Relationship Id="rId29" Type="http://schemas.openxmlformats.org/officeDocument/2006/relationships/hyperlink" Target="https://opendocs.ids.ac.uk/articles/report/The_Contribution_of_Education_to_Economic_Growth/26453986/1" TargetMode="External"/><Relationship Id="rId11" Type="http://schemas.openxmlformats.org/officeDocument/2006/relationships/hyperlink" Target="https://doi.org/10.1177/0308518X18787820" TargetMode="External"/><Relationship Id="rId24" Type="http://schemas.openxmlformats.org/officeDocument/2006/relationships/hyperlink" Target="https://doi.org/10.1111/j.1467-8624.2004.00655.x" TargetMode="External"/><Relationship Id="rId32" Type="http://schemas.openxmlformats.org/officeDocument/2006/relationships/hyperlink" Target="https://doi.org/10.1016/j.psyneuen.2021.105371" TargetMode="External"/><Relationship Id="rId37" Type="http://schemas.openxmlformats.org/officeDocument/2006/relationships/hyperlink" Target="https://doi.org/10.1111/j.2041-210x.2012.00261.x" TargetMode="External"/><Relationship Id="rId40" Type="http://schemas.openxmlformats.org/officeDocument/2006/relationships/hyperlink" Target="https://doi.org/10.3109/07420528.2013.826238" TargetMode="External"/><Relationship Id="rId45" Type="http://schemas.openxmlformats.org/officeDocument/2006/relationships/hyperlink" Target="https://knowledge.uchicago.edu/record/7216" TargetMode="External"/><Relationship Id="rId53" Type="http://schemas.openxmlformats.org/officeDocument/2006/relationships/hyperlink" Target="https://doi.org/10.1080/00031305.2016.1154108" TargetMode="External"/><Relationship Id="rId58" Type="http://schemas.openxmlformats.org/officeDocument/2006/relationships/image" Target="media/image3.png"/><Relationship Id="rId5" Type="http://schemas.openxmlformats.org/officeDocument/2006/relationships/footnotes" Target="footnotes.xml"/><Relationship Id="rId61" Type="http://schemas.openxmlformats.org/officeDocument/2006/relationships/image" Target="media/image6.png"/><Relationship Id="rId19" Type="http://schemas.openxmlformats.org/officeDocument/2006/relationships/hyperlink" Target="https://www.gov.uk/government/publications/every-child-achieving-and-thriving/every-child-achieving-and-thriving-html-version" TargetMode="External"/><Relationship Id="rId14" Type="http://schemas.openxmlformats.org/officeDocument/2006/relationships/hyperlink" Target="https://committees.parliament.uk/committee/203/education-committee/news/156024/forgotten-white-workingclass-pupils-let-down-by-decades-of-neglect-mps-say/" TargetMode="External"/><Relationship Id="rId22" Type="http://schemas.openxmlformats.org/officeDocument/2006/relationships/hyperlink" Target="https://doi.org/10.1093/ooec/odad029" TargetMode="External"/><Relationship Id="rId27" Type="http://schemas.openxmlformats.org/officeDocument/2006/relationships/hyperlink" Target="https://doi.org/10.1177/2158244018825171" TargetMode="External"/><Relationship Id="rId30" Type="http://schemas.openxmlformats.org/officeDocument/2006/relationships/hyperlink" Target="https://doi.org/10.1186/s12889-025-22861-7" TargetMode="External"/><Relationship Id="rId35" Type="http://schemas.openxmlformats.org/officeDocument/2006/relationships/hyperlink" Target="https://www.nfer.ac.uk/publications/understanding-the-relationship-between-attendance-wellbeing-and-sense-of-belonging/" TargetMode="External"/><Relationship Id="rId43" Type="http://schemas.openxmlformats.org/officeDocument/2006/relationships/hyperlink" Target="https://www.gov.uk/government/publications/against-the-odds" TargetMode="External"/><Relationship Id="rId48" Type="http://schemas.openxmlformats.org/officeDocument/2006/relationships/hyperlink" Target="https://www.gov.uk/government/publications/the-report-of-the-commission-on-race-and-ethnic-disparities-supporting-research/ethnic-socio-economic-and-sex-inequalities-in-educational-achievement-at-age-16-by-professor-steve-strand" TargetMode="External"/><Relationship Id="rId56" Type="http://schemas.openxmlformats.org/officeDocument/2006/relationships/image" Target="media/image1.png"/><Relationship Id="rId8" Type="http://schemas.openxmlformats.org/officeDocument/2006/relationships/hyperlink" Target="https://doi.org/10.1111/j.1475-5661.2012.00511.x" TargetMode="External"/><Relationship Id="rId51" Type="http://schemas.openxmlformats.org/officeDocument/2006/relationships/hyperlink" Target="https://epi.org.uk/annual-report-2023/" TargetMode="External"/><Relationship Id="rId3" Type="http://schemas.openxmlformats.org/officeDocument/2006/relationships/settings" Target="settings.xml"/><Relationship Id="rId12" Type="http://schemas.openxmlformats.org/officeDocument/2006/relationships/hyperlink" Target="https://doi.org/10.1016/j.econedurev.2023.102405" TargetMode="External"/><Relationship Id="rId17" Type="http://schemas.openxmlformats.org/officeDocument/2006/relationships/hyperlink" Target="https://www.gov.uk/government/publications/link-between-attendance-and-attainment" TargetMode="External"/><Relationship Id="rId25" Type="http://schemas.openxmlformats.org/officeDocument/2006/relationships/hyperlink" Target="https://cep.lse.ac.uk/_new/publications/abstract.asp?index=5752" TargetMode="External"/><Relationship Id="rId33" Type="http://schemas.openxmlformats.org/officeDocument/2006/relationships/hyperlink" Target="https://www.nfer.ac.uk/publications/supporting-the-attainment-of-disadvantaged-pupils-articulating-success-and-good-practice/" TargetMode="External"/><Relationship Id="rId38" Type="http://schemas.openxmlformats.org/officeDocument/2006/relationships/hyperlink" Target="https://doi.org/10.1111/pcn.13714" TargetMode="External"/><Relationship Id="rId46" Type="http://schemas.openxmlformats.org/officeDocument/2006/relationships/hyperlink" Target="https://doi.org/10.3102/0013189X20949504" TargetMode="External"/><Relationship Id="rId59" Type="http://schemas.openxmlformats.org/officeDocument/2006/relationships/image" Target="media/image4.png"/><Relationship Id="rId20" Type="http://schemas.openxmlformats.org/officeDocument/2006/relationships/hyperlink" Target="https://doi.org/10.1016/j.jth.2023.101605" TargetMode="External"/><Relationship Id="rId41" Type="http://schemas.openxmlformats.org/officeDocument/2006/relationships/hyperlink" Target="https://doi.org/10.1007/s41105-017-0091-0" TargetMode="External"/><Relationship Id="rId54" Type="http://schemas.openxmlformats.org/officeDocument/2006/relationships/hyperlink" Target="https://doi.org/10.1016/j.sleep.2018.10.041"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102/01623737221092450" TargetMode="External"/><Relationship Id="rId23" Type="http://schemas.openxmlformats.org/officeDocument/2006/relationships/hyperlink" Target="https://doi.org/10.1186/1471-2458-13-1166" TargetMode="External"/><Relationship Id="rId28" Type="http://schemas.openxmlformats.org/officeDocument/2006/relationships/hyperlink" Target="https://doi.org/10.3390/educsci15010006" TargetMode="External"/><Relationship Id="rId36" Type="http://schemas.openxmlformats.org/officeDocument/2006/relationships/hyperlink" Target="https://doi.org/10.1098/rsif.2017.0213" TargetMode="External"/><Relationship Id="rId49" Type="http://schemas.openxmlformats.org/officeDocument/2006/relationships/hyperlink" Target="https://doi.org/10.1007/978-3-031-98300-9_17" TargetMode="External"/><Relationship Id="rId57" Type="http://schemas.openxmlformats.org/officeDocument/2006/relationships/image" Target="media/image2.png"/><Relationship Id="rId10" Type="http://schemas.openxmlformats.org/officeDocument/2006/relationships/hyperlink" Target="https://www.urban.org/sites/default/files/publication/99027/time_to_school_and_student_outcomes_in_dc_1.pdf" TargetMode="External"/><Relationship Id="rId31" Type="http://schemas.openxmlformats.org/officeDocument/2006/relationships/hyperlink" Target="https://doi.org/10.1371/journal.pmed.1003031" TargetMode="External"/><Relationship Id="rId44" Type="http://schemas.openxmlformats.org/officeDocument/2006/relationships/hyperlink" Target="https://www.gov.uk/government/publications/examining-the-london-advantage-in-attainment-evidence-from-lsype" TargetMode="External"/><Relationship Id="rId52" Type="http://schemas.openxmlformats.org/officeDocument/2006/relationships/hyperlink" Target="https://doi.org/10.1177/0739456X17725148" TargetMode="External"/><Relationship Id="rId6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doi.org/10.1080/0305764X.2024.2420611"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osf.io/x82j3/overview" TargetMode="External"/><Relationship Id="rId13" Type="http://schemas.openxmlformats.org/officeDocument/2006/relationships/hyperlink" Target="https://yourvoice.brighton-hove.gov.uk/en-GB/projects/school-admission-arrangements-public-consultation/1" TargetMode="External"/><Relationship Id="rId18" Type="http://schemas.openxmlformats.org/officeDocument/2006/relationships/hyperlink" Target="https://democracy.brighton-hove.gov.uk/documents/s205834/School%20Admission%20Arrangements%202026-27.pdf" TargetMode="External"/><Relationship Id="rId3" Type="http://schemas.openxmlformats.org/officeDocument/2006/relationships/hyperlink" Target="https://osf.io/x82j3/overview" TargetMode="External"/><Relationship Id="rId21" Type="http://schemas.openxmlformats.org/officeDocument/2006/relationships/hyperlink" Target="https://educationequity.kit.com/" TargetMode="External"/><Relationship Id="rId7" Type="http://schemas.openxmlformats.org/officeDocument/2006/relationships/hyperlink" Target="https://osf.io/x82j3/overview" TargetMode="External"/><Relationship Id="rId12" Type="http://schemas.openxmlformats.org/officeDocument/2006/relationships/hyperlink" Target="https://democracy.brighton-hove.gov.uk/documents/s205834/School%20Admission%20Arrangements%202026-27.pdf" TargetMode="External"/><Relationship Id="rId17" Type="http://schemas.openxmlformats.org/officeDocument/2006/relationships/hyperlink" Target="https://democracy.brighton-hove.gov.uk/documents/s204040/School%20Admission%20Arrangements%202026-27.pdf" TargetMode="External"/><Relationship Id="rId2" Type="http://schemas.openxmlformats.org/officeDocument/2006/relationships/hyperlink" Target="https://www.gov.uk/national-curriculum" TargetMode="External"/><Relationship Id="rId16" Type="http://schemas.openxmlformats.org/officeDocument/2006/relationships/hyperlink" Target="https://yourvoice.brighton-hove.gov.uk/en-GB/projects/school-admission-arrangements-public-consultation/1" TargetMode="External"/><Relationship Id="rId20" Type="http://schemas.openxmlformats.org/officeDocument/2006/relationships/hyperlink" Target="https://yourvoice.brighton-hove.gov.uk/en-GB/projects/school-admission-arrangements-public-consultation/1" TargetMode="External"/><Relationship Id="rId1" Type="http://schemas.openxmlformats.org/officeDocument/2006/relationships/hyperlink" Target="https://osf.io/x82j3/overview" TargetMode="External"/><Relationship Id="rId6" Type="http://schemas.openxmlformats.org/officeDocument/2006/relationships/hyperlink" Target="https://osf.io/x82j3/overview" TargetMode="External"/><Relationship Id="rId11" Type="http://schemas.openxmlformats.org/officeDocument/2006/relationships/hyperlink" Target="https://democracy.brighton-hove.gov.uk/documents/s204040/School%20Admission%20Arrangements%202026-27.pdf" TargetMode="External"/><Relationship Id="rId5" Type="http://schemas.openxmlformats.org/officeDocument/2006/relationships/hyperlink" Target="https://explore-education-statistics.service.gov.uk/find-statistics/key-stage-4-performance" TargetMode="External"/><Relationship Id="rId15" Type="http://schemas.openxmlformats.org/officeDocument/2006/relationships/hyperlink" Target="https://osf.io/x82j3/overview" TargetMode="External"/><Relationship Id="rId23" Type="http://schemas.openxmlformats.org/officeDocument/2006/relationships/hyperlink" Target="https://democracy.brighton-hove.gov.uk/documents/s204040/School%20Admission%20Arrangements%202026-27.pdf" TargetMode="External"/><Relationship Id="rId10" Type="http://schemas.openxmlformats.org/officeDocument/2006/relationships/hyperlink" Target="https://osf.io/x82j3/overview" TargetMode="External"/><Relationship Id="rId19" Type="http://schemas.openxmlformats.org/officeDocument/2006/relationships/hyperlink" Target="https://www.classdivide.co.uk/news/uk5uk5bxax0rvjz9q4tu4kgx2lbyhw" TargetMode="External"/><Relationship Id="rId4" Type="http://schemas.openxmlformats.org/officeDocument/2006/relationships/hyperlink" Target="https://osf.io/x82j3/overview" TargetMode="External"/><Relationship Id="rId9" Type="http://schemas.openxmlformats.org/officeDocument/2006/relationships/hyperlink" Target="https://osf.io/x82j3/overview" TargetMode="External"/><Relationship Id="rId14" Type="http://schemas.openxmlformats.org/officeDocument/2006/relationships/hyperlink" Target="https://www.brighton-hove.gov.uk/schools-and-learning/school-policies-reports-strategies-and-other-documents/better-outcomes-better-lives-brighton-hoves-strategy-tackling-educational-disadvantage" TargetMode="External"/><Relationship Id="rId22" Type="http://schemas.openxmlformats.org/officeDocument/2006/relationships/hyperlink" Target="https://reports.ofsted.gov.uk/provider/23/136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8</TotalTime>
  <Pages>65</Pages>
  <Words>15877</Words>
  <Characters>90503</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Pulling the Right Lever: School Attainment, Open Data Analytics and Local Education Policy in England</vt:lpstr>
    </vt:vector>
  </TitlesOfParts>
  <Company/>
  <LinksUpToDate>false</LinksUpToDate>
  <CharactersWithSpaces>106168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cp:lastModifiedBy>Adam Dennett</cp:lastModifiedBy>
  <cp:revision>4</cp:revision>
  <dcterms:created xsi:type="dcterms:W3CDTF">2026-09-02T12:34:00Z</dcterms:created>
  <dcterms:modified xsi:type="dcterms:W3CDTF">2026-09-02T14:16:00Z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2026-09-02</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