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6.png" ContentType="image/png"/>
  <Override PartName="/word/media/rId197.png" ContentType="image/png"/>
  <Override PartName="/word/media/rId201.png" ContentType="image/png"/>
  <Override PartName="/word/media/rId210.png" ContentType="image/png"/>
  <Override PartName="/word/media/rId214.png" ContentType="image/png"/>
  <Override PartName="/word/media/rId193.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Pulling the Right Lever: School Attainment, Open Data Analytics and Local Education Policy in England</w:t>
      </w:r>
    </w:p>
    <w:p>
      <w:pPr>
        <w:pStyle w:val="Author"/>
      </w:pPr>
      <w:r>
        <w:t xml:space="preserve">Adam Dennett</w:t>
      </w:r>
    </w:p>
    <w:p>
      <w:pPr>
        <w:pStyle w:val="Author"/>
      </w:pPr>
      <w:r>
        <w:t xml:space="preserve">Beatrice Taylor</w:t>
      </w:r>
    </w:p>
    <w:p>
      <w:pPr>
        <w:pStyle w:val="Author"/>
      </w:pPr>
      <w:r>
        <w:t xml:space="preserve">Dan Campbell-Meiklejohn</w:t>
      </w:r>
    </w:p>
    <w:p>
      <w:pPr>
        <w:pStyle w:val="Date"/>
      </w:pPr>
      <w:r>
        <w:t xml:space="preserve">2026-09-08</w:t>
      </w:r>
    </w:p>
    <w:p>
      <w:pPr>
        <w:pStyle w:val="AbstractTitle"/>
      </w:pPr>
      <w:r>
        <w:t xml:space="preserve">Abstract</w:t>
      </w:r>
    </w:p>
    <w:p>
      <w:pPr>
        <w:pStyle w:val="Abstract"/>
      </w:pPr>
      <w:r>
        <w:t xml:space="preserve">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in 2024-25 (and among the worst throughout the period),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pPr>
        <w:pStyle w:val="BodyText"/>
      </w:pPr>
      <w:r>
        <w:t xml:space="preserve">Focusing on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w:t>
      </w:r>
      <w:r>
        <w:t xml:space="preserve"> </w:t>
      </w:r>
      <w:r>
        <w:t xml:space="preserve">(Allen et al. 2013)</w:t>
      </w:r>
      <w:r>
        <w:t xml:space="preserve">,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w:t>
      </w:r>
      <w:r>
        <w:t xml:space="preserve"> </w:t>
      </w:r>
      <w:r>
        <w:t xml:space="preserve">‘driven by economic advantage’</w:t>
      </w:r>
      <w:r>
        <w:t xml:space="preserve"> </w:t>
      </w:r>
      <w:r>
        <w:t xml:space="preserve">and that redistributing pupils would narrow the attainment gap. The public response was overwhelmingly negative, yet parents and schools lacked the tools to challenge the proposals effectively and the core policy direction persisted, albeit slightly watered down.</w:t>
      </w:r>
    </w:p>
    <w:p>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 that,</w:t>
      </w:r>
      <w:r>
        <w:t xml:space="preserve"> </w:t>
      </w:r>
      <w:r>
        <w:rPr>
          <w:i/>
          <w:iCs/>
        </w:rPr>
        <w:t xml:space="preserve">after controlling for absence in particular</w:t>
      </w:r>
      <w:r>
        <w:t xml:space="preserve">, Brighton and Hove was already among the highest-performing LEAs nationally for contextualised GCSE attainment - ranking 15th of 151 for disadvantaged pupils and 4th for non-disadvantaged pupils. As we show later, that conditional ranking is itself a measure of how much the city’s severe absence problem is costing its disadvantaged pupils. If we set absence aside</w:t>
      </w:r>
      <w:r>
        <w:t xml:space="preserve"> </w:t>
      </w:r>
      <w:r>
        <w:t xml:space="preserve">the schools look exceptional, if we factor it in, the city is ordinary.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Some rapidly-produced analysis was put into the public domain by some of the authors of this paper</w:t>
      </w:r>
      <w:r>
        <w:rPr>
          <w:rStyle w:val="FootnoteReference"/>
        </w:rPr>
        <w:footnoteReference w:id="20"/>
      </w:r>
      <w:r>
        <w:t xml:space="preserve">, but as a response to, not a contribution to, policy formation.</w:t>
      </w:r>
    </w:p>
    <w:p>
      <w:pPr>
        <w:pStyle w:val="BodyText"/>
      </w:pPr>
      <w:r>
        <w:t xml:space="preserve">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w:t>
      </w:r>
      <w:r>
        <w:t xml:space="preserve"> </w:t>
      </w:r>
      <w:r>
        <w:t xml:space="preserve">Macleod et al. (2015)</w:t>
      </w:r>
      <w:r>
        <w:t xml:space="preserve"> </w:t>
      </w:r>
      <w:r>
        <w:t xml:space="preserve">over a decade ago. Our intention is to show that with freely available open data and a small set of well-chosen variables, it is possible to build a model explaining close to 80% of the variation in school-level Attainment 8, and then to use it to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 We report effects in GCSE-point units rather than standard deviations so that they have more direct meaning for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 (for wider reviews and evidence syntheses, see e.g.</w:t>
      </w:r>
      <w:r>
        <w:t xml:space="preserve"> </w:t>
      </w:r>
      <w:r>
        <w:t xml:space="preserve">Stopforth and Gayle (2025)</w:t>
      </w:r>
      <w:r>
        <w:t xml:space="preserve">;</w:t>
      </w:r>
      <w:r>
        <w:t xml:space="preserve"> </w:t>
      </w:r>
      <w:r>
        <w:t xml:space="preserve">Macleod et al. (2015)</w:t>
      </w:r>
      <w:r>
        <w:t xml:space="preserve">;</w:t>
      </w:r>
      <w:r>
        <w:t xml:space="preserve"> </w:t>
      </w:r>
      <w:r>
        <w:t xml:space="preserve">Tuckett et al. (2023)</w:t>
      </w:r>
      <w:r>
        <w:t xml:space="preserve">).</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Inequalities in GCSE outcomes are substantially mediated by prior attainment at National Curriculum Key Stage 2 (KS2 - the latter stages of primary school from ages 7 to 11</w:t>
      </w:r>
      <w:r>
        <w:rPr>
          <w:rStyle w:val="FootnoteReference"/>
        </w:rPr>
        <w:footnoteReference w:id="23"/>
      </w:r>
      <w:r>
        <w:t xml:space="preserve">), reflecting accumulated inequalities from before secondary school</w:t>
      </w:r>
      <w:r>
        <w:t xml:space="preserve"> </w:t>
      </w:r>
      <w:r>
        <w:t xml:space="preserve">(Stopforth and Gayle 2025)</w:t>
      </w:r>
      <w:r>
        <w:t xml:space="preserve">.</w:t>
      </w:r>
      <w:r>
        <w:t xml:space="preserve"> </w:t>
      </w:r>
      <w:r>
        <w:t xml:space="preserve">Gorard and Siddiqui (2019)</w:t>
      </w:r>
      <w:r>
        <w:t xml:space="preserve"> </w:t>
      </w:r>
      <w:r>
        <w:t xml:space="preserve">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w:t>
      </w:r>
      <w:r>
        <w:t xml:space="preserve"> </w:t>
      </w:r>
      <w:r>
        <w:t xml:space="preserve">‘almost no cost’</w:t>
      </w:r>
      <w:r>
        <w:t xml:space="preserve"> </w:t>
      </w:r>
      <w:r>
        <w:t xml:space="preserve">- a conjecture that overlooks real-world consequences for communities, particularly where local social geographies mean de-concentration requires children travelling long distances.</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It is also cited as one of the main factors in pushing down attainment for disadvantaged pupils by</w:t>
      </w:r>
      <w:r>
        <w:t xml:space="preserve"> </w:t>
      </w:r>
      <w:r>
        <w:t xml:space="preserve">Macleod et al. (2015)</w:t>
      </w:r>
      <w:r>
        <w:t xml:space="preserve">.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p>
      <w:pPr>
        <w:pStyle w:val="BodyText"/>
      </w:pPr>
      <w:r>
        <w:t xml:space="preserve">How far attendance is amenable to</w:t>
      </w:r>
      <w:r>
        <w:t xml:space="preserve"> </w:t>
      </w:r>
      <w:r>
        <w:rPr>
          <w:i/>
          <w:iCs/>
        </w:rPr>
        <w:t xml:space="preserve">school-level</w:t>
      </w:r>
      <w:r>
        <w:t xml:space="preserve"> </w:t>
      </w:r>
      <w:r>
        <w:t xml:space="preserve">action is an important question. Some of the variation reflects school practice - pastoral systems, attendance follow-up and ethos - but a substantial share is driven by circumstances beyond the school gate: family poverty, physical and mental ill-health, special educational needs, caring responsibilities, and the broader adversities that depress attainment through multiple channels</w:t>
      </w:r>
      <w:r>
        <w:t xml:space="preserve"> </w:t>
      </w:r>
      <w:r>
        <w:t xml:space="preserve">(Houtepen et al. 2020; Rakesh et al. 2025)</w:t>
      </w:r>
      <w:r>
        <w:t xml:space="preserve">. The steep, largely exogenous rise in absence since the pandemic underlines how much of the recent problem sits outside any individual school’s control. This distinction - between the intake-driven component of absence and the smaller portion a school can itself move - is central to how absence should be interpreted as a policy lever, and we make it explicit in our modelling in section 5.5. It also implies that authority-wide improvement is unlikely to come from school-led practice-sharing alone, and more probably requires strategic, council-led, cross-departmental action spanning health, children’s services and family support alongside schools.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(Burgess et al. 2023)</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(the apparent boost to attainment for disadvantaged pupils who live in the Capital)</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bookmarkEnd w:id="27"/>
    <w:bookmarkEnd w:id="28"/>
    <w:bookmarkStart w:id="37" w:name="data-and-methods"/>
    <w:p>
      <w:pPr>
        <w:pStyle w:val="Heading1"/>
      </w:pPr>
      <w:r>
        <w:t xml:space="preserve">3. Data and methods</w:t>
      </w:r>
    </w:p>
    <w:bookmarkStart w:id="31"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 2024-25, together with KS2 prior attainment, which is not published for that year because the relevant cohort’s primary assessments were cancelled during the pandemic - see section 3.2</w:t>
      </w:r>
      <w:r>
        <w:rPr>
          <w:rStyle w:val="FootnoteReference"/>
        </w:rPr>
        <w:footnoteReference w:id="30"/>
      </w:r>
      <w:r>
        <w:t xml:space="preserve">), the analysis sample used in the models is approximately 12,200 observations. All data are school-level aggregates; interpretations relate to this level of aggregation.</w:t>
      </w:r>
    </w:p>
    <w:bookmarkEnd w:id="31"/>
    <w:bookmarkStart w:id="36"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(for all, disadvantaged and non-disadvantaged pupils),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 We should be clear that the log transformation is</w:t>
      </w:r>
      <w:r>
        <w:t xml:space="preserve"> </w:t>
      </w:r>
      <w:r>
        <w:rPr>
          <w:i/>
          <w:iCs/>
        </w:rPr>
        <w:t xml:space="preserve">not</w:t>
      </w:r>
      <w:r>
        <w:t xml:space="preserve"> </w:t>
      </w:r>
      <w:r>
        <w:t xml:space="preserve">applied uniformly to every predictor: only the four skewed, strictly-positive count-and-rate variables - the disadvantage, absence and EAL percentages and teacher sickness days - enter in logged form, chosen on the basis of visual fit and the interpretability of elasticities. The remaining predictors, including mean KS2 prior attainment, the segregation index and the workforce proportions, enter linearly. This variable-by-variable choice, together with supporting diagnostics (component-plus-residual plots and a comparison of logged, linear and spline treatments), is documented in the supplementary material.</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 mean KS2 prior attainment (the cohort’s average KS2 scaled score, centred at the national standard of 100), selective admissions (dummy), Gorard Segregation Index (LA-level), teacher retention rate, leadership pay proportion, and log(teacher sickness days).</w:t>
      </w:r>
    </w:p>
    <w:p>
      <w:pPr>
        <w:pStyle w:val="BodyText"/>
      </w:pPr>
      <w:r>
        <w:t xml:space="preserve">The selective-admissions variable is the DfE’s own performance-tables admissions classification, and within our state-funded sample it distinguishes three groups: wholly</w:t>
      </w:r>
      <w:r>
        <w:t xml:space="preserve"> </w:t>
      </w:r>
      <w:r>
        <w:rPr>
          <w:i/>
          <w:iCs/>
        </w:rPr>
        <w:t xml:space="preserve">selective</w:t>
      </w:r>
      <w:r>
        <w:t xml:space="preserve"> </w:t>
      </w:r>
      <w:r>
        <w:t xml:space="preserve">state grammar schools that admit by an entrance test (166 schools, 4.8% of the sample); non-selective schools located in otherwise selective areas (234 schools, the reference category - we note for those not familiar with the English system that following reforms some decades ago, only some LEAs in England still have selective grammar schools); and all other non-selective schools (the remaining ~88%). The estimate we report is therefore the effect of</w:t>
      </w:r>
      <w:r>
        <w:t xml:space="preserve"> </w:t>
      </w:r>
      <w:r>
        <w:rPr>
          <w:i/>
          <w:iCs/>
        </w:rPr>
        <w:t xml:space="preserve">full</w:t>
      </w:r>
      <w:r>
        <w:t xml:space="preserve"> </w:t>
      </w:r>
      <w:r>
        <w:t xml:space="preserve">academic selection, benchmarked against non-selective schools whose intakes are shaped by the same local grammar systems. It does not capture partial selection, banding, aptitude-based selection or faith-based oversubscription criteria, all of which fall within the</w:t>
      </w:r>
      <w:r>
        <w:t xml:space="preserve"> </w:t>
      </w:r>
      <w:r>
        <w:t xml:space="preserve">‘other non-selective’</w:t>
      </w:r>
      <w:r>
        <w:t xml:space="preserve"> </w:t>
      </w:r>
      <w:r>
        <w:t xml:space="preserve">category and are consequently unmeasured here; faith schools in particular are not separately identified in the main model.</w:t>
      </w:r>
    </w:p>
    <w:p>
      <w:pPr>
        <w:pStyle w:val="BodyText"/>
      </w:pPr>
      <w:r>
        <w:t xml:space="preserve">There are two points relating to the prior-attainment variable that need highlighting. Firstly, we control for prior attainment using the cohort’s</w:t>
      </w:r>
      <w:r>
        <w:t xml:space="preserve"> </w:t>
      </w:r>
      <w:r>
        <w:rPr>
          <w:i/>
          <w:iCs/>
        </w:rPr>
        <w:t xml:space="preserve">mean KS2 scaled score</w:t>
      </w:r>
      <w:r>
        <w:t xml:space="preserve">, and for the final year of our panel no observed prior-attainment data exists at all. Because the KS2 tests and assessments of 2019-20 and 2020-21 were cancelled during the pandemic, the cohorts reaching the end of KS4 in 2024-25 and 2025-26 have no KS2 results of any kind; the DfE accordingly publishes neither prior-attainment measures nor Progress 8 for those years.</w:t>
      </w:r>
      <w:r>
        <w:rPr>
          <w:rStyle w:val="FootnoteReference"/>
        </w:rPr>
        <w:footnoteReference w:id="32"/>
      </w:r>
      <w:r>
        <w:t xml:space="preserve"> </w:t>
      </w:r>
      <w:r>
        <w:t xml:space="preserve">For 2024-25 we therefore carry forward each school’s most recently observed value (or, where that is unavailable, its mean across observed years), and the affected rows are flagged in the panel (see Supplementary material</w:t>
      </w:r>
      <w:r>
        <w:rPr>
          <w:rStyle w:val="FootnoteReference"/>
        </w:rPr>
        <w:footnoteReference w:id="34"/>
      </w:r>
      <w:r>
        <w:t xml:space="preserve"> </w:t>
      </w:r>
      <w:r>
        <w:t xml:space="preserve">for methods and diagnostic plots). Secondly, because we lack pupil-level data, prior attainment is corrected only at the school level; this is a coarser adjustment than a pupil-and-school-level correction would provide, and therefore we can’t rule out some confounding of the intake coefficients where a common cause exists. We return to this limitation later in the paper.</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5"/>
      </w:r>
      <w:r>
        <w:t xml:space="preserve">.</w:t>
      </w:r>
    </w:p>
    <w:bookmarkEnd w:id="36"/>
    <w:bookmarkEnd w:id="37"/>
    <w:bookmarkStart w:id="47" w:name="results"/>
    <w:p>
      <w:pPr>
        <w:pStyle w:val="Heading1"/>
      </w:pPr>
      <w:r>
        <w:t xml:space="preserve">4. Results</w:t>
      </w:r>
    </w:p>
    <w:bookmarkStart w:id="38"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w:t>
      </w:r>
      <w:r>
        <w:t xml:space="preserve"> </w:t>
      </w:r>
      <w:r>
        <w:t xml:space="preserve">Nakagawa and Schielzeth (2013)</w:t>
      </w:r>
      <w:r>
        <w:t xml:space="preserve"> </w:t>
      </w:r>
      <w:r>
        <w:t xml:space="preserve">and</w:t>
      </w:r>
      <w:r>
        <w:t xml:space="preserve"> </w:t>
      </w:r>
      <w:r>
        <w:t xml:space="preserve">Nakagawa et al. (2017)</w:t>
      </w:r>
      <w:r>
        <w:t xml:space="preserve"> </w:t>
      </w:r>
      <w:r>
        <w:t xml:space="preserve">to calculate indicative</w:t>
      </w:r>
      <w:r>
        <w:t xml:space="preserve"> </w:t>
      </w:r>
      <m:oMath>
        <m:sSup>
          <m:e>
            <m:r>
              <m:t>R</m:t>
            </m:r>
          </m:e>
          <m:sup>
            <m:r>
              <m:t>2</m:t>
            </m:r>
          </m:sup>
        </m:sSup>
      </m:oMath>
      <w:r>
        <w:t xml:space="preserve"> </w:t>
      </w:r>
      <w:r>
        <w:t xml:space="preserve">values proxying the proportion of Attainment 8 variance explained by each model. For all pupils, the conditional</w:t>
      </w:r>
      <w:r>
        <w:t xml:space="preserve"> </w:t>
      </w:r>
      <m:oMath>
        <m:sSup>
          <m:e>
            <m:r>
              <m:t>R</m:t>
            </m:r>
          </m:e>
          <m:sup>
            <m:r>
              <m:t>2</m:t>
            </m:r>
          </m:sup>
        </m:sSup>
      </m:oMath>
      <w:r>
        <w:t xml:space="preserve"> </w:t>
      </w:r>
      <w:r>
        <w:t xml:space="preserve">(fixed plus random effects) is 0.78, with marginal</w:t>
      </w:r>
      <w:r>
        <w:t xml:space="preserve"> </w:t>
      </w:r>
      <m:oMath>
        <m:sSup>
          <m:e>
            <m:r>
              <m:t>R</m:t>
            </m:r>
          </m:e>
          <m:sup>
            <m:r>
              <m:t>2</m:t>
            </m:r>
          </m:sup>
        </m:sSup>
      </m:oMath>
      <w:r>
        <w:t xml:space="preserve"> </w:t>
      </w:r>
      <w:r>
        <w:t xml:space="preserve">(fixed effects alone) of 0.65. For disadvantaged pupils the conditional</w:t>
      </w:r>
      <w:r>
        <w:t xml:space="preserve"> </w:t>
      </w:r>
      <m:oMath>
        <m:sSup>
          <m:e>
            <m:r>
              <m:t>R</m:t>
            </m:r>
          </m:e>
          <m:sup>
            <m:r>
              <m:t>2</m:t>
            </m:r>
          </m:sup>
        </m:sSup>
      </m:oMath>
      <w:r>
        <w:t xml:space="preserve"> </w:t>
      </w:r>
      <w:r>
        <w:t xml:space="preserve">is 0.73; for non-disadvantaged pupils, 0.8. School-level attainment is remarkably predictable from these structural factors, which makes them very useful for exploring the effectiveness of local policy levers.</w:t>
      </w:r>
    </w:p>
    <w:bookmarkEnd w:id="38"/>
    <w:bookmarkStart w:id="40" w:name="stepwise-decomposition"/>
    <w:p>
      <w:pPr>
        <w:pStyle w:val="Heading2"/>
      </w:pPr>
      <w:r>
        <w:t xml:space="preserve">4.2 Stepwise decomposition</w:t>
      </w:r>
    </w:p>
    <w:p>
      <w:pPr>
        <w:pStyle w:val="FirstParagraph"/>
      </w:pPr>
      <w:r>
        <w:rPr>
          <w:i/>
          <w:iCs/>
        </w:rPr>
        <w:t xml:space="preserve">[Table 1: Stepwise progression to the full multilevel model for overall Attainment 8. — about here]</w:t>
      </w:r>
    </w:p>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shares explanatory power attributed to deprivation, reducing the coefficient of %FSM, and adds further explanation, together they now account for over 60% of the variation in Attainment 8 scores. Adding prior attainment in Model 3 reduces both FSM and absence coefficients further. By Model 3, with just three variables, close to 70% of attainment variation is explained.</w:t>
      </w:r>
    </w:p>
    <w:p>
      <w:pPr>
        <w:pStyle w:val="BodyText"/>
      </w:pPr>
      <w:r>
        <w:t xml:space="preserve">Ranking these three predictors in terms of their importance is not quite as simple as examining the t-values in Model 3 (% absence -60.5, mean KS2 58.2, % FSM -21.0). T-values get you close as they standardise each coefficient in the presence of the others - an indication of each variable’s</w:t>
      </w:r>
      <w:r>
        <w:t xml:space="preserve"> </w:t>
      </w:r>
      <w:r>
        <w:rPr>
          <w:i/>
          <w:iCs/>
        </w:rPr>
        <w:t xml:space="preserve">unique</w:t>
      </w:r>
      <w:r>
        <w:t xml:space="preserve"> </w:t>
      </w:r>
      <w:r>
        <w:t xml:space="preserve">contribution. But the issue is, these three variables are strongly correlated with one another (% FSM with mean KS2 at -0.69, % absence with mean KS2 at -0.59), so a great deal of the variance they explain is</w:t>
      </w:r>
      <w:r>
        <w:t xml:space="preserve"> </w:t>
      </w:r>
      <w:r>
        <w:rPr>
          <w:i/>
          <w:iCs/>
        </w:rPr>
        <w:t xml:space="preserve">shared</w:t>
      </w:r>
      <w:r>
        <w:t xml:space="preserve"> </w:t>
      </w:r>
      <w:r>
        <w:t xml:space="preserve">between them rather than belonging to any one. A variable that shares heavily with the others will have an apparently small t-value even where it accounts for a large share of attainment on its own. As such we can’t rely on t-values on their own to decide which factor matters most.</w:t>
      </w:r>
    </w:p>
    <w:p>
      <w:pPr>
        <w:pStyle w:val="BodyText"/>
      </w:pPr>
      <w:r>
        <w:t xml:space="preserve">Taking each variable on their own, mean KS2 explains 59% of the variation in Attainment 8, absence 50% and % FSM 39%. However, we can apportion the shared variance more formally, by averaging each variable’s contribution across every possible order in which the three could enter the model. This is know as the Shapley value</w:t>
      </w:r>
      <w:r>
        <w:t xml:space="preserve"> </w:t>
      </w:r>
      <w:r>
        <w:t xml:space="preserve">(Shapley 1953)</w:t>
      </w:r>
      <w:r>
        <w:t xml:space="preserve"> </w:t>
      </w:r>
      <w:r>
        <w:t xml:space="preserve">or the LMG decomposition after</w:t>
      </w:r>
      <w:r>
        <w:t xml:space="preserve"> </w:t>
      </w:r>
      <w:r>
        <w:t xml:space="preserve">Lindeman et al. (1980)</w:t>
      </w:r>
      <w:r>
        <w:t xml:space="preserve">; see</w:t>
      </w:r>
      <w:r>
        <w:t xml:space="preserve"> </w:t>
      </w:r>
      <w:r>
        <w:t xml:space="preserve">Grömping (2007)</w:t>
      </w:r>
      <w:r>
        <w:t xml:space="preserve">). This gives mean KS2 prior attainment 42% of the explained variance, absence 36% and % FSM 23% (for all Pupils).</w:t>
      </w:r>
    </w:p>
    <w:p>
      <w:pPr>
        <w:pStyle w:val="BodyText"/>
      </w:pPr>
      <w:r>
        <w:t xml:space="preserve">Prior attainment, then, is the largest single source of variation in school-level attainment, with absence close behind - this is consistent with the standardised coefficients we report in section 4.3. The point that matters for the Brighton and Hove policy discussion is that concentrations of disadvantage are least the least important of the three whether judged by unique contribution, by explanatory power alone, or by apportioned share. We will return to this in section 4.3.</w:t>
      </w:r>
    </w:p>
    <w:p>
      <w:pPr>
        <w:pStyle w:val="BodyText"/>
      </w:pPr>
      <w:r>
        <w:t xml:space="preserve">Before we get to Model 4, it is worth explaining why prior attainment comes into the model as</w:t>
      </w:r>
      <w:r>
        <w:t xml:space="preserve"> </w:t>
      </w:r>
      <w:r>
        <w:rPr>
          <w:i/>
          <w:iCs/>
        </w:rPr>
        <w:t xml:space="preserve">mean</w:t>
      </w:r>
      <w:r>
        <w:t xml:space="preserve"> </w:t>
      </w:r>
      <w:r>
        <w:t xml:space="preserve">KS2 score rather than as the share of pupils arriving with low prior attainment, which is the measure more often reported (and used in an earlier iteration of this work). The low-attainment share describes only the bottom of a school’s intake distribution: it records how many pupils arrived already behind, but says nothing about how many arrived ahead. Two schools with identical proportions of low prior attainers can have very different intakes across the rest of the attainment spectrum. Therefore a model controlling only for the low-attainment share systematically under-adjusts for schools who have an advantage through more pupils arriving in year 7 at the top of the prior attainment distribution. Selective schools are the clearest case of this: their share of low prior attainers is close to zero and cannot fall further, so just looking at low prior attainment means we can’t disentangle how selective their intake actually is. Mean KS2, by contrast, reflects both tails of the distribution. It produces a substantially better fit (a reduction in AIC of over 500 for the all-pupil model), and once it is included the low-attainment variable adds nothing further (</w:t>
      </w:r>
      <w:r>
        <w:rPr>
          <w:i/>
          <w:iCs/>
        </w:rPr>
        <w:t xml:space="preserve">t</w:t>
      </w:r>
      <w:r>
        <w:t xml:space="preserve"> </w:t>
      </w:r>
      <w:r>
        <w:t xml:space="preserve">= -0.45).</w:t>
      </w:r>
    </w:p>
    <w:p>
      <w:pPr>
        <w:pStyle w:val="BodyText"/>
      </w:pPr>
      <w:r>
        <w:t xml:space="preserve">The choice has consequences for the other intake-related coefficients. A low prior attainment control leaves part of the intake difference between high- and low-FSM schools unmeasured, and the disadvantage variable absorbs what is left over. The result is under the low-attainment share, the coefficient on concentrations of disadvantage is around a quarter larger than it should be. The absence coefficient, by contrast, is barely affected either way - under 3% in either pupil group. What this means for modelling KS4 outcomes is that we can’t just ask how many pupils arrived behind, as how many arrived ahead matters just as much. A model just incorporating the lower tail quietly credits schools for intake advantages they did not create. A detailed comparison of the two measures, and of both together, is given in the supplementary material.</w:t>
      </w:r>
    </w:p>
    <w:p>
      <w:pPr>
        <w:pStyle w:val="BodyText"/>
      </w:pPr>
      <w:r>
        <w:t xml:space="preserve">We should add a note of caution relating to interpretations following this improvement. Prior attainment at Key Stage 2 is not independent of disadvantage: a large chunk of prior attainment actually reflects the inequalities a child has already experienced before secondary school ever begins</w:t>
      </w:r>
      <w:r>
        <w:t xml:space="preserve"> </w:t>
      </w:r>
      <w:r>
        <w:t xml:space="preserve">(Stopforth and Gayle 2025; Gorard and Siddiqui 2019)</w:t>
      </w:r>
      <w:r>
        <w:t xml:space="preserve">. A variable that captures the whole intake distribution therefore absorbs correspondingly more of the poverty signal than one that captures just the low attainment tail - which is precisely why the disadvantage coefficient is smaller under mean KS2 than low KS2 attainment.</w:t>
      </w:r>
    </w:p>
    <w:p>
      <w:pPr>
        <w:pStyle w:val="BodyText"/>
      </w:pPr>
      <w:r>
        <w:t xml:space="preserve">Where we still have a significant FSM coefficient after controlling for prior attainment, it should not be interpreted as an estimate of how much poverty matters to attainment. Instead it is what remains once schools receiving similar cohorts are set alongside one another - the total contribution of disadvantage to attainment is substantially larger than that residual coefficient implies. What our models do identify is the marginal association with the</w:t>
      </w:r>
      <w:r>
        <w:t xml:space="preserve"> </w:t>
      </w:r>
      <w:r>
        <w:rPr>
          <w:i/>
          <w:iCs/>
        </w:rPr>
        <w:t xml:space="preserve">concentration</w:t>
      </w:r>
      <w:r>
        <w:t xml:space="preserve"> </w:t>
      </w:r>
      <w:r>
        <w:t xml:space="preserve">of disadvantage at school level, holding intake constant - a much narrower quantity. However it is also the quantity the 2023 (FSM priority) and 2024 (increased mixing) Brighton and Hove policy propositions actually turned on.</w:t>
      </w:r>
    </w:p>
    <w:p>
      <w:pPr>
        <w:pStyle w:val="BodyText"/>
      </w:pPr>
      <w:r>
        <w:t xml:space="preserve">Prior attainment carries an additional structural meaning due to Ofqual’s</w:t>
      </w:r>
      <w:r>
        <w:t xml:space="preserve"> </w:t>
      </w:r>
      <w:r>
        <w:t xml:space="preserve">‘comparable outcomes’</w:t>
      </w:r>
      <w:r>
        <w:t xml:space="preserve"> </w:t>
      </w:r>
      <w:r>
        <w:t xml:space="preserve">approach, which calibrates national GCSE grade boundaries against the incoming cohort’s KS2 profile. Because this calibration is a national, year-to-year adjustment, any mechanical scaling is absorbed by our year random effect. The fixed effect for mean KS2 therefore safely isolates the genuine within-year, between-school association between inherited intake and attainment.</w:t>
      </w:r>
    </w:p>
    <w:p>
      <w:pPr>
        <w:pStyle w:val="BodyText"/>
      </w:pPr>
      <w:r>
        <w:t xml:space="preserve">Returning to the stepwise decomposition, Model 4 adds additional fixed effects including EAL (English as an Additional Language) proportions, selective admissions, workforce variables and the Gorard Segregation Index. Model 5 adds random effects for year, Ofsted rating, region and LEA nested within region, lifting the</w:t>
      </w:r>
      <w:r>
        <w:t xml:space="preserve"> </w:t>
      </w:r>
      <m:oMath>
        <m:sSup>
          <m:e>
            <m:r>
              <m:t>R</m:t>
            </m:r>
          </m:e>
          <m:sup>
            <m:r>
              <m:t>2</m:t>
            </m:r>
          </m:sup>
        </m:sSup>
      </m:oMath>
      <w:r>
        <w:t xml:space="preserve"> </w:t>
      </w:r>
      <w:r>
        <w:t xml:space="preserve">from 0.65 (marginal) to 0.78 (conditional), indicating that 13% of attainment variance is tied to these grouping factors - capturing unmeasured factors such as school culture, leadership quality, local authority support services, and community characteristics. The marginal</w:t>
      </w:r>
      <w:r>
        <w:t xml:space="preserve"> </w:t>
      </w:r>
      <m:oMath>
        <m:sSup>
          <m:e>
            <m:r>
              <m:t>R</m:t>
            </m:r>
          </m:e>
          <m:sup>
            <m:r>
              <m:t>2</m:t>
            </m:r>
          </m:sup>
        </m:sSup>
      </m:oMath>
      <w:r>
        <w:t xml:space="preserve"> </w:t>
      </w:r>
      <w:r>
        <w:t xml:space="preserve">captures the model’s total explained variance, which includes the substantial variance shared between correlated structural predictors due to shared underlying causes (e.g. poverty). As</w:t>
      </w:r>
      <w:r>
        <w:t xml:space="preserve"> </w:t>
      </w:r>
      <w:hyperlink w:anchor="tbl-stepwise">
        <w:r>
          <w:rPr>
            <w:rStyle w:val="Hyperlink"/>
          </w:rPr>
          <w:t xml:space="preserve">Table 1</w:t>
        </w:r>
      </w:hyperlink>
      <w:r>
        <w:t xml:space="preserve"> </w:t>
      </w:r>
      <w:r>
        <w:t xml:space="preserve">demonstrates, when new variables enter the model, this shared variance is absorbed into the overall predictive power of the model rather than being credited to any single predictor. Consequently, the individual coefficients shrink, leaving them to represent strictly unique, partial effects to compare.</w:t>
      </w:r>
    </w:p>
    <w:p>
      <w:pPr>
        <w:pStyle w:val="BodyText"/>
      </w:pPr>
      <w:r>
        <w:t xml:space="preserve">Ofsted rating has only four ordered categories, fewer than would ordinarily be modelled as a random effect. We include it as a grouping factor for partial pooling and consistency with the other contextual groupings, but we have verified that treating it instead as a categorical fixed effect leaves every other coefficient unchanged to three or four significant figures and does not move Brighton and Hove’s rank (supplementary material</w:t>
      </w:r>
      <w:r>
        <w:rPr>
          <w:rStyle w:val="FootnoteReference"/>
        </w:rPr>
        <w:footnoteReference w:id="39"/>
      </w:r>
      <w:r>
        <w:t xml:space="preserve">). The fixed-effect form is also informative in its own right: relative to an</w:t>
      </w:r>
      <w:r>
        <w:t xml:space="preserve"> </w:t>
      </w:r>
      <w:r>
        <w:t xml:space="preserve">‘Outstanding’</w:t>
      </w:r>
      <w:r>
        <w:t xml:space="preserve"> </w:t>
      </w:r>
      <w:r>
        <w:t xml:space="preserve">school, and holding intake constant, a</w:t>
      </w:r>
      <w:r>
        <w:t xml:space="preserve"> </w:t>
      </w:r>
      <w:r>
        <w:t xml:space="preserve">‘Good’</w:t>
      </w:r>
      <w:r>
        <w:t xml:space="preserve"> </w:t>
      </w:r>
      <w:r>
        <w:t xml:space="preserve">rating is associated with roughly 1.9 fewer Attainment 8 points,</w:t>
      </w:r>
      <w:r>
        <w:t xml:space="preserve"> </w:t>
      </w:r>
      <w:r>
        <w:t xml:space="preserve">‘Requires Improvement’</w:t>
      </w:r>
      <w:r>
        <w:t xml:space="preserve"> </w:t>
      </w:r>
      <w:r>
        <w:t xml:space="preserve">with 4.0 fewer, and</w:t>
      </w:r>
      <w:r>
        <w:t xml:space="preserve"> </w:t>
      </w:r>
      <w:r>
        <w:t xml:space="preserve">‘Inadequate’</w:t>
      </w:r>
      <w:r>
        <w:t xml:space="preserve"> </w:t>
      </w:r>
      <w:r>
        <w:t xml:space="preserve">with 4.5 fewer - a scale that flattens markedly at the bottom, so that the gap between the two lowest ratings is small. We treat Ofsted as a contextual control rather than a causal factor throughout, since inspection judgements are formed with sight of a school’s results and are therefore partly an expression of attainment rather than an independent driver of it; consistent with this, omitting Ofsted entirely</w:t>
      </w:r>
      <w:r>
        <w:t xml:space="preserve"> </w:t>
      </w:r>
      <w:r>
        <w:rPr>
          <w:i/>
          <w:iCs/>
        </w:rPr>
        <w:t xml:space="preserve">increases</w:t>
      </w:r>
      <w:r>
        <w:t xml:space="preserve"> </w:t>
      </w:r>
      <w:r>
        <w:t xml:space="preserve">the estimated absence effect by 12–15%, so its inclusion makes our headline absence figure, if anything, conservative.</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accounted for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 We make the practical magnitude concrete in section 5.3 (</w:t>
      </w:r>
      <w:hyperlink w:anchor="fig-accelerating-returns">
        <w:r>
          <w:rPr>
            <w:rStyle w:val="Hyperlink"/>
          </w:rPr>
          <w:t xml:space="preserve">Figure 4</w:t>
        </w:r>
      </w:hyperlink>
      <w:r>
        <w:t xml:space="preserve">), which translates the coefficients into the expected Attainment 8 gain from a one-percentage-point change at each point along the absence and disadvantage distributions.</w:t>
      </w:r>
    </w:p>
    <w:bookmarkEnd w:id="40"/>
    <w:bookmarkStart w:id="46" w:name="relative-variable-importance"/>
    <w:p>
      <w:pPr>
        <w:pStyle w:val="Heading2"/>
      </w:pPr>
      <w:r>
        <w:t xml:space="preserve">4.3 Relative variable importance</w:t>
      </w:r>
    </w:p>
    <w:p>
      <w:pPr>
        <w:pStyle w:val="FirstParagraph"/>
      </w:pPr>
      <w:r>
        <w:rPr>
          <w:i/>
          <w:iCs/>
        </w:rPr>
        <w:t xml:space="preserve">[Figure 1: Relative importance of each predictor of school-level Attainment 8, by pupil group. The left panel gives the standardised coefficient from the multilevel model, which carries the direction of each association but only its unique contribution. The right panel gives the Shapley share of explained variance, which apportions the variance predictors share but has no sign. Predictors are ordered by Shapley share for all pupils. The two measures answer different questions - one about unique contribution, the other about total contribution with the shared variance divided between predictors - but they agree on the leading pair in every pupil group: mean KS2 prior attainment leads for all pupils and for non-disadvantaged pupils, and overall absence leads for disadvantaged pupils. Disadvantage concentration ranks third on both panels for all pupils and for non-disadvantaged pupils, and fifth for disadvantaged pupils. — about here]</w:t>
      </w:r>
    </w:p>
    <w:p>
      <w:pPr>
        <w:pStyle w:val="BodyText"/>
      </w:pPr>
      <w:hyperlink w:anchor="fig-standardised-coefficients">
        <w:r>
          <w:rPr>
            <w:rStyle w:val="Hyperlink"/>
          </w:rPr>
          <w:t xml:space="preserve">Figure 1</w:t>
        </w:r>
      </w:hyperlink>
      <w:r>
        <w:t xml:space="preserve"> </w:t>
      </w:r>
      <w:r>
        <w:t xml:space="preserve">(left panel) compares the standardised coefficients</w:t>
      </w:r>
      <w:r>
        <w:rPr>
          <w:rStyle w:val="FootnoteReference"/>
        </w:rPr>
        <w:footnoteReference w:id="41"/>
      </w:r>
      <w:r>
        <w:t xml:space="preserve"> </w:t>
      </w:r>
      <w:r>
        <w:t xml:space="preserve">across all three pupil groups (all pupils, disadvantaged pupils and non-disadvantaged pupils - full model outputs available in the supplementary materials</w:t>
      </w:r>
      <w:r>
        <w:rPr>
          <w:rStyle w:val="FootnoteReference"/>
        </w:rPr>
        <w:footnoteReference w:id="42"/>
      </w:r>
      <w:r>
        <w:t xml:space="preserve">) alongside the apportioned share of the variance in the model (the Shapley</w:t>
      </w:r>
      <w:r>
        <w:t xml:space="preserve"> </w:t>
      </w:r>
      <m:oMath>
        <m:sSup>
          <m:e>
            <m:r>
              <m:t>R</m:t>
            </m:r>
          </m:e>
          <m:sup>
            <m:r>
              <m:t>2</m:t>
            </m:r>
          </m:sup>
        </m:sSup>
      </m:oMath>
      <w:r>
        <w:t xml:space="preserve"> </w:t>
      </w:r>
      <w:r>
        <w:t xml:space="preserve">after</w:t>
      </w:r>
      <w:r>
        <w:t xml:space="preserve"> </w:t>
      </w:r>
      <w:r>
        <w:t xml:space="preserve">Shapley (1953)</w:t>
      </w:r>
      <w:r>
        <w:t xml:space="preserve">, also known as the LMG decomposition after</w:t>
      </w:r>
      <w:r>
        <w:t xml:space="preserve"> </w:t>
      </w:r>
      <w:r>
        <w:t xml:space="preserve">Lindeman et al. (1980)</w:t>
      </w:r>
      <w:r>
        <w:t xml:space="preserve"> </w:t>
      </w:r>
      <w:r>
        <w:t xml:space="preserve">and set out for regression by</w:t>
      </w:r>
      <w:r>
        <w:t xml:space="preserve"> </w:t>
      </w:r>
      <w:r>
        <w:t xml:space="preserve">Grömping (2007)</w:t>
      </w:r>
      <w:r>
        <w:t xml:space="preserve">) each variable claims (right panel). Two predictors stand out, but their ranked importance depends on the pupil group. Mean KS2 prior attainment has the largest standardised coefficient and Shapley</w:t>
      </w:r>
      <w:r>
        <w:t xml:space="preserve"> </w:t>
      </w:r>
      <m:oMath>
        <m:sSup>
          <m:e>
            <m:r>
              <m:t>R</m:t>
            </m:r>
          </m:e>
          <m:sup>
            <m:r>
              <m:t>2</m:t>
            </m:r>
          </m:sup>
        </m:sSup>
      </m:oMath>
      <w:r>
        <w:t xml:space="preserve"> </w:t>
      </w:r>
      <w:r>
        <w:t xml:space="preserve">for all pupils and non-disadvantaged pupils; for disadvantaged pupils, absence is larger. Prior attainment has a</w:t>
      </w:r>
      <w:r>
        <w:t xml:space="preserve"> </w:t>
      </w:r>
      <w:r>
        <w:rPr>
          <w:i/>
          <w:iCs/>
        </w:rPr>
        <w:t xml:space="preserve">positive</w:t>
      </w:r>
      <w:r>
        <w:t xml:space="preserve"> </w:t>
      </w:r>
      <w:r>
        <w:t xml:space="preserve">association - cohorts arriving from primary school with higher average KS2 scores go on to higher Attainment 8 - and it is the closest thing in the model to a direct measure of the intake a school receives.</w:t>
      </w:r>
    </w:p>
    <w:p>
      <w:pPr>
        <w:pStyle w:val="BodyText"/>
      </w:pPr>
      <w:r>
        <w:t xml:space="preserve">Addressing the challenges of prior attainment and absence require very different policy responses from LEAs and schools. However, what is clear is absence is markedly more important for disadvantaged pupils; for this group, absence has the largest standardised coefficient of any predictor, ahead of mean KS2 prior attainment, whereas for non-disadvantaged pupils prior attainment is clearly dominant and its standardised coefficient is over 70% larger than that of absence.</w:t>
      </w:r>
    </w:p>
    <w:p>
      <w:pPr>
        <w:pStyle w:val="BodyText"/>
      </w:pPr>
      <w:hyperlink w:anchor="fig-standardised-coefficients">
        <w:r>
          <w:rPr>
            <w:rStyle w:val="Hyperlink"/>
          </w:rPr>
          <w:t xml:space="preserve">Figure 1</w:t>
        </w:r>
      </w:hyperlink>
      <w:r>
        <w:t xml:space="preserve"> </w:t>
      </w:r>
      <w:r>
        <w:t xml:space="preserve">makes the relative importance of the predictors explicit, and the ordering is the main empirical take-home message of the paper. Policies that could be implemented to mitigate the worst impacts of low prior attainment or to directly address low levels of attendance are likely to have the most impact on attainment. Policies focusing on concentrations of disadvantage (%FSM) - the focus in Brighton and Hove - are on this evidence likely to have much less impact. But not only would such policies be anchored on one of the weaker of the levers available, the effect itself runs in the opposite direction to the one such policies assume.</w:t>
      </w:r>
    </w:p>
    <w:p>
      <w:pPr>
        <w:pStyle w:val="BodyText"/>
      </w:pPr>
      <w:r>
        <w:t xml:space="preserve">This is likely to be the most contentious finding in our analysis - contentious in Brighton and Hove as it runs counter to statements made by the council during the 2024 consultation that</w:t>
      </w:r>
      <w:r>
        <w:t xml:space="preserve"> </w:t>
      </w:r>
      <w:r>
        <w:rPr>
          <w:i/>
          <w:iCs/>
        </w:rPr>
        <w:t xml:space="preserve">“children from disadvantaged homes are less likely to do well at school and that can be made worse when more disadvantaged children all go to school together</w:t>
      </w:r>
      <w:r>
        <w:rPr>
          <w:rStyle w:val="FootnoteReference"/>
        </w:rPr>
        <w:footnoteReference w:id="43"/>
      </w:r>
      <w:r>
        <w:rPr>
          <w:i/>
          <w:iCs/>
        </w:rPr>
        <w:t xml:space="preserve">”</w:t>
      </w:r>
      <w:r>
        <w:t xml:space="preserve"> </w:t>
      </w:r>
      <w:r>
        <w:t xml:space="preserve">- although the findings echo the analysis of</w:t>
      </w:r>
      <w:r>
        <w:t xml:space="preserve"> </w:t>
      </w:r>
      <w:r>
        <w:t xml:space="preserve">Macleod et al. (2015)</w:t>
      </w:r>
      <w:r>
        <w:t xml:space="preserve"> </w:t>
      </w:r>
      <w:r>
        <w:t xml:space="preserve">a decade ago.</w:t>
      </w:r>
    </w:p>
    <w:p>
      <w:pPr>
        <w:pStyle w:val="BodyText"/>
      </w:pPr>
      <w:hyperlink w:anchor="fig-standardised-coefficients">
        <w:r>
          <w:rPr>
            <w:rStyle w:val="Hyperlink"/>
          </w:rPr>
          <w:t xml:space="preserve">Figure 1</w:t>
        </w:r>
      </w:hyperlink>
      <w:r>
        <w:t xml:space="preserve"> </w:t>
      </w:r>
      <w:r>
        <w:t xml:space="preserve">shows that for non-disadvantaged pupils, higher FSM proportions are associated with lower attainment. But for disadvantaged pupils, the coefficient is</w:t>
      </w:r>
      <w:r>
        <w:t xml:space="preserve"> </w:t>
      </w:r>
      <w:r>
        <w:rPr>
          <w:i/>
          <w:iCs/>
        </w:rPr>
        <w:t xml:space="preserve">positive</w:t>
      </w:r>
      <w:r>
        <w:t xml:space="preserve">. After controlling for absence and mean KS2 prior attainment, disadvantaged pupils perform slightly</w:t>
      </w:r>
      <w:r>
        <w:t xml:space="preserve"> </w:t>
      </w:r>
      <w:r>
        <w:rPr>
          <w:i/>
          <w:iCs/>
        </w:rPr>
        <w:t xml:space="preserve">better</w:t>
      </w:r>
      <w:r>
        <w:t xml:space="preserve"> </w:t>
      </w:r>
      <w:r>
        <w:t xml:space="preserve">in schools with higher concentrations of other disadvantaged pupils. This finding is robust across individual year models and alternative specifications of disadvantaged attainment and disadvantage measures.</w:t>
      </w:r>
      <w:r>
        <w:rPr>
          <w:rStyle w:val="FootnoteReference"/>
        </w:rPr>
        <w:footnoteReference w:id="45"/>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We should be careful about the interpretation of this positive coefficient. One reading is that equivalent disadvantaged pupils do genuinely better in higher-concentration schools (</w:t>
      </w:r>
      <w:r>
        <w:t xml:space="preserve">‘differing effects’</w:t>
      </w:r>
      <w:r>
        <w:t xml:space="preserve">). But an alternative is that the FSM binary cannot distinguish the depth or duration of disadvantage, so the disadvantaged pupils in a 50%-FSM school may differ systematically from those in a 20%-FSM school in ways our aggregate measures do not capture (</w:t>
      </w:r>
      <w:r>
        <w:t xml:space="preserve">‘differing pupils’</w:t>
      </w:r>
      <w:r>
        <w:t xml:space="preserve">). With school-level data this is impossible to unpick definitively. However, the consistency of the result across multiple operationalisations of both disadvantage and disadvantaged attainment makes a pure measurement artefact less likely, and the stronger positive association we observe on the vocational/technical component of Attainment 8 (supplementary material) is at least suggestive of a genuine specialisation mechanism rather than pure composition. But the composition interpretation cannot be excluded, and distinguishing the two would require pupil-level data with disadvantage histories. Importantly, our policy argument does not depend on which interpretation is correct as under either, there is no evidence that concentrating disadvantaged pupils</w:t>
      </w:r>
      <w:r>
        <w:t xml:space="preserve"> </w:t>
      </w:r>
      <w:r>
        <w:rPr>
          <w:i/>
          <w:iCs/>
        </w:rPr>
        <w:t xml:space="preserve">harms</w:t>
      </w:r>
      <w:r>
        <w:t xml:space="preserve"> </w:t>
      </w:r>
      <w:r>
        <w:t xml:space="preserve">their attainment, and therefore no support for the premise that de-concentration would</w:t>
      </w:r>
      <w:r>
        <w:t xml:space="preserve"> </w:t>
      </w:r>
      <w:r>
        <w:rPr>
          <w:i/>
          <w:iCs/>
        </w:rPr>
        <w:t xml:space="preserve">improve</w:t>
      </w:r>
      <w:r>
        <w:t xml:space="preserve"> </w:t>
      </w:r>
      <w:r>
        <w:t xml:space="preserve">it.</w:t>
      </w:r>
    </w:p>
    <w:p>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w:t>
      </w:r>
      <w:r>
        <w:t xml:space="preserve"> </w:t>
      </w:r>
      <w:r>
        <w:t xml:space="preserve">‘no cost’</w:t>
      </w:r>
      <w:r>
        <w:t xml:space="preserve"> </w:t>
      </w:r>
      <w:r>
        <w:t xml:space="preserve">conjecture and, in the Brighton and Hove context, suggest that further mixing of an already comparatively well-integrated set of schools could be counter-productive for disadvantaged attainment.</w:t>
      </w:r>
    </w:p>
    <w:p>
      <w:pPr>
        <w:pStyle w:val="BodyText"/>
      </w:pPr>
      <w:r>
        <w:t xml:space="preserve">Absence is the biggest modifiable predictor across all groups and is more important still for disadvantaged pupils, for whom it accounts for roughly a third of the combined standardised effect of every predictor in the model.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w:t>
      </w:r>
      <w:r>
        <w:t xml:space="preserve"> </w:t>
      </w:r>
      <w:r>
        <w:t xml:space="preserve">(Thomson 2023)</w:t>
      </w:r>
      <w:r>
        <w:t xml:space="preserve">, they could be actively counter-productive.</w:t>
      </w:r>
    </w:p>
    <w:bookmarkEnd w:id="46"/>
    <w:bookmarkEnd w:id="47"/>
    <w:bookmarkStart w:id="60" w:name="brighton-and-hove-case-study"/>
    <w:p>
      <w:pPr>
        <w:pStyle w:val="Heading1"/>
      </w:pPr>
      <w:r>
        <w:t xml:space="preserve">5. Brighton and Hove case study</w:t>
      </w:r>
    </w:p>
    <w:bookmarkStart w:id="54"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In October 2024, the council launched proposals to amend the secondary school admissions process. The cabinet papers</w:t>
      </w:r>
      <w:r>
        <w:rPr>
          <w:rStyle w:val="FootnoteReference"/>
        </w:rPr>
        <w:footnoteReference w:id="48"/>
      </w:r>
      <w:r>
        <w:t xml:space="preserve"> </w:t>
      </w:r>
      <w:r>
        <w:t xml:space="preserve">set out three stated objectives: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w:t>
      </w:r>
      <w:r>
        <w:t xml:space="preserve"> </w:t>
      </w:r>
      <w:r>
        <w:rPr>
          <w:i/>
          <w:iCs/>
        </w:rPr>
        <w:t xml:space="preserve">‘better equality of outcomes - results not driven by economic advantage’</w:t>
      </w:r>
      <w:r>
        <w:t xml:space="preserve">. Alongside ran a School Organisation Strategy commitment to</w:t>
      </w:r>
      <w:r>
        <w:t xml:space="preserve"> </w:t>
      </w:r>
      <w:r>
        <w:rPr>
          <w:i/>
          <w:iCs/>
        </w:rPr>
        <w:t xml:space="preserve">‘schools which are sustainable and able to thrive’</w:t>
      </w:r>
      <w:r>
        <w:t xml:space="preserve"> </w:t>
      </w:r>
      <w:r>
        <w:t xml:space="preserve">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w:t>
      </w:r>
      <w:r>
        <w:t xml:space="preserve"> </w:t>
      </w:r>
      <w:r>
        <w:t xml:space="preserve">Gorard and Siddiqui (2019)</w:t>
      </w:r>
      <w:r>
        <w:t xml:space="preserve"> </w:t>
      </w:r>
      <w:r>
        <w:t xml:space="preserve">in which more mixed intakes produce better outcomes for disadvantaged pupils, plus a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but a characterisation empirically challenged in this context by</w:t>
      </w:r>
      <w:r>
        <w:t xml:space="preserve"> </w:t>
      </w:r>
      <w:r>
        <w:t xml:space="preserve">Tan and Dennett (2025)</w:t>
      </w:r>
      <w:r>
        <w:t xml:space="preserve"> </w:t>
      </w:r>
      <w:r>
        <w:t xml:space="preserve">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pPr>
        <w:pStyle w:val="BodyText"/>
      </w:pPr>
      <w:r>
        <w:t xml:space="preserve">The public response was overwhelmingly negative, with the council’s pre-consultation feedback summary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51"/>
      </w:r>
      <w:r>
        <w:t xml:space="preserve"> </w:t>
      </w:r>
      <w:r>
        <w:t xml:space="preserve">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52"/>
      </w:r>
      <w:r>
        <w:t xml:space="preserve"> </w:t>
      </w:r>
      <w:r>
        <w:t xml:space="preserve">- which included sections on attendance, leadership, governance and targeted support - was not referenced in the 2024 consultation materials.</w:t>
      </w:r>
    </w:p>
    <w:p>
      <w:pPr>
        <w:pStyle w:val="BodyText"/>
      </w:pPr>
      <w:r>
        <w:t xml:space="preserve">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p>
      <w:pPr>
        <w:pStyle w:val="BodyText"/>
      </w:pPr>
      <w:r>
        <w:rPr>
          <w:i/>
          <w:iCs/>
        </w:rPr>
        <w:t xml:space="preserve">[Figure 2: Brighton and Hove secondary schools with 2025/26 catchment boundaries. — about here]</w:t>
      </w:r>
    </w:p>
    <w:bookmarkEnd w:id="54"/>
    <w:bookmarkStart w:id="55" w:name="local-authority-effects"/>
    <w:p>
      <w:pPr>
        <w:pStyle w:val="Heading2"/>
      </w:pPr>
      <w:r>
        <w:t xml:space="preserve">5.2 Local authority effects</w:t>
      </w:r>
    </w:p>
    <w:p>
      <w:pPr>
        <w:pStyle w:val="FirstParagraph"/>
      </w:pPr>
      <w:r>
        <w:rPr>
          <w:i/>
          <w:iCs/>
        </w:rPr>
        <w:t xml:space="preserve">[Figure 3: LA random intercepts for disadvantaged-pupil attainment (imputed full panel model). Top and bottom 10 LAs labelled; Brighton and Hove highlighted. — about here]</w:t>
      </w:r>
    </w:p>
    <w:p>
      <w:pPr>
        <w:pStyle w:val="BodyText"/>
      </w:pPr>
      <w:hyperlink w:anchor="fig-caterpillar">
        <w:r>
          <w:rPr>
            <w:rStyle w:val="Hyperlink"/>
          </w:rPr>
          <w:t xml:space="preserve">Figure 3</w:t>
        </w:r>
      </w:hyperlink>
      <w:r>
        <w:t xml:space="preserve"> </w:t>
      </w:r>
      <w:r>
        <w:t xml:space="preserve">shows the local-authority random intercepts for disadvantaged-pupil attainment. Conditional on the structural factors in the model - including school absence - Brighton and Hove ranks 15th of 151 local authorities (top 10%), a positive random intercept equivalent to roughly +1.6 Attainment 8 points above what those factors would predict. On the same conditional basis the city ranks 4th for non-disadvantaged pupils and 5th for all pupils. This was unknown at the time of the 2024 consultation and entirely absent from a public narrative framed around the raw attainment gap alone.</w:t>
      </w:r>
    </w:p>
    <w:p>
      <w:pPr>
        <w:pStyle w:val="BodyText"/>
      </w:pPr>
      <w:r>
        <w:t xml:space="preserve">That conditional ranking, however, depends the variables we include or exclude from our model. Controlling for absence estimates the city’s performance</w:t>
      </w:r>
      <w:r>
        <w:t xml:space="preserve"> </w:t>
      </w:r>
      <w:r>
        <w:rPr>
          <w:i/>
          <w:iCs/>
        </w:rPr>
        <w:t xml:space="preserve">given</w:t>
      </w:r>
      <w:r>
        <w:t xml:space="preserve"> </w:t>
      </w:r>
      <w:r>
        <w:t xml:space="preserve">the attendance its pupils actually record - and Brighton and Hove has among the worst attendance of any authority in England.</w:t>
      </w:r>
      <w:r>
        <w:t xml:space="preserve"> </w:t>
      </w:r>
      <w:hyperlink w:anchor="tbl-la-absence">
        <w:r>
          <w:rPr>
            <w:rStyle w:val="Hyperlink"/>
          </w:rPr>
          <w:t xml:space="preserve">Table 2</w:t>
        </w:r>
      </w:hyperlink>
      <w:r>
        <w:t xml:space="preserve"> </w:t>
      </w:r>
      <w:r>
        <w:t xml:space="preserve">reports the disadvantaged-attainment effect with and without that control. Without any absence term, the city falls from 15th to 69th of 151 and its effect is no longer statistically distinguishable from the national average. The city’s apparent excellence for disadvantaged pupils is, in this precise sense, conditional on putting the absence problems for these children to one side.</w:t>
      </w:r>
    </w:p>
    <w:p>
      <w:pPr>
        <w:pStyle w:val="BodyText"/>
      </w:pPr>
      <w:r>
        <w:rPr>
          <w:i/>
          <w:iCs/>
        </w:rPr>
        <w:t xml:space="preserve">[Table 2: Brighton and Hove’s local-authority effect for disadvantaged-pupil attainment, with and without a control for school absence. The intake-predicted specification controls only for the part of absence that intake predicts, leaving the city’s excess absence in the residual. — about here]</w:t>
      </w:r>
    </w:p>
    <w:p>
      <w:pPr>
        <w:pStyle w:val="BodyText"/>
      </w:pPr>
      <w:r>
        <w:t xml:space="preserve">This is not an artefact peculiar to Brighton and Hove: controlling for absence reshuffles the whole distribution of local-authority effects, and 8 authorities that appear significantly above average once absence is controlled are indistinguishable from average without it. Absence does a great deal of work in any model of attainment, and where an authority sits on it materially changes how its schools appear to perform. But the shift is unusually consequential for Brighton and Hove precisely because its attendance is so extreme.</w:t>
      </w:r>
    </w:p>
    <w:p>
      <w:pPr>
        <w:pStyle w:val="BodyText"/>
      </w:pPr>
      <w:r>
        <w:t xml:space="preserve">The distance between these two numbers is the important finding, rather than either number alone. Once we account for the absence its pupils experience, Brighton and Hove’s schools sit within the strongest 10% of local education authorities in England for disadvantaged attainment; if we don’t account for this, they are unremarkable. The gap between the two - about 1.4 Attainment 8 points per disadvantaged pupil - is a direct measure of what the city’s attendance problem costs its most disadvantaged children. It is not a reason to discount the schools’ underlying effectiveness; it is a reason to treat attendance as the single most valuable lever available to the city, a point we develop in section 5.5 and quantify through the accelerating-returns analysis below. (For all pupils the city’s advantage is more robust to this choice, remaining significantly positive without an absence control at 69th; it is specifically the disadvantaged-pupil result that rests on it.)</w:t>
      </w:r>
    </w:p>
    <w:p>
      <w:pPr>
        <w:pStyle w:val="BodyText"/>
      </w:pPr>
      <w:r>
        <w:t xml:space="preserve">Two features of the city’s absence confirm that this is a local problem rather than an inevitability of its intake. First, Brighton and Hove’s disadvantage is unexceptional: its mean school-level free-school-meal rate (25.2%) is slightly</w:t>
      </w:r>
      <w:r>
        <w:t xml:space="preserve"> </w:t>
      </w:r>
      <w:r>
        <w:rPr>
          <w:i/>
          <w:iCs/>
        </w:rPr>
        <w:t xml:space="preserve">below</w:t>
      </w:r>
      <w:r>
        <w:t xml:space="preserve"> </w:t>
      </w:r>
      <w:r>
        <w:t xml:space="preserve">the national average (27.1%). When we model expected absence from intake alone (section 5.5), the city’s schools should record about 8.8% absence; they actually record 10.8%. Almost two percentage points of absence sit above what the intake predicts. Second, the problem has not been improving. Between 2021–22 and 2024–25, absence fell in 94% of English local authorities - the national mean dropping by 0.88 percentage points as attendance recovered from the pandemic - while Brighton and Hove’s barely moved (-0.03 points), leaving it 143th of 152 authorities for improvement. The city did not become an outlier because its absence rose; it became an outlier because, almost alone, its absence did not fall.</w:t>
      </w:r>
    </w:p>
    <w:bookmarkEnd w:id="55"/>
    <w:bookmarkStart w:id="56"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p>
      <w:pPr>
        <w:pStyle w:val="BodyText"/>
      </w:pPr>
      <w:r>
        <w:rPr>
          <w:i/>
          <w:iCs/>
        </w:rPr>
        <w:t xml:space="preserve">[Figure 4: Accelerating returns: each percentage-point reduction buys a progressively larger ATT8 gain (reading right to left). Absence delivers substantially larger gains than FSM at every level. Brighton and Hove schools marked on each curve. — about here]</w:t>
      </w:r>
    </w:p>
    <w:p>
      <w:pPr>
        <w:pStyle w:val="BodyText"/>
      </w:pPr>
      <w:r>
        <w:t xml:space="preserve">Four features are immediately visible. First, the absence curve sits above the FSM curve at every starting level, indicating how much more effective changes in absence are than changes in disadvantage, for improving attainment. Second, the gap</w:t>
      </w:r>
      <w:r>
        <w:t xml:space="preserve"> </w:t>
      </w:r>
      <w:r>
        <w:rPr>
          <w:i/>
          <w:iCs/>
        </w:rPr>
        <w:t xml:space="preserve">widens</w:t>
      </w:r>
      <w:r>
        <w:t xml:space="preserve"> </w:t>
      </w:r>
      <w:r>
        <w:t xml:space="preserve">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3.4 times as important as FSM for predicting attainment.</w:t>
      </w:r>
    </w:p>
    <w:p>
      <w:pPr>
        <w:pStyle w:val="BodyText"/>
      </w:pPr>
      <w:r>
        <w:t xml:space="preserve">Bringing schools above the national average for absence down to it would produce predicted gains averaging +2.8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56"/>
    <w:bookmarkStart w:id="57" w:name="contextualised-school-performance"/>
    <w:p>
      <w:pPr>
        <w:pStyle w:val="Heading2"/>
      </w:pPr>
      <w:r>
        <w:t xml:space="preserve">5.4 Contextualised school performance</w:t>
      </w:r>
    </w:p>
    <w:p>
      <w:pPr>
        <w:pStyle w:val="FirstParagraph"/>
      </w:pPr>
      <w:r>
        <w:rPr>
          <w:i/>
          <w:iCs/>
        </w:rPr>
        <w:t xml:space="preserve">[Figure 5: Observed versus predicted Attainment 8 for Brighton and Hove schools (highlighted) against all schools nationally, 2024–25. — about here]</w:t>
      </w:r>
    </w:p>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57"/>
    <w:bookmarkStart w:id="59"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Our headline model treats school-level absence as a single factor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r>
        <w:t xml:space="preserve">Two parallel models</w:t>
      </w:r>
      <w:r>
        <w:rPr>
          <w:rStyle w:val="FootnoteReference"/>
        </w:rPr>
        <w:footnoteReference w:id="58"/>
      </w:r>
      <w:r>
        <w:t xml:space="preserve"> </w:t>
      </w:r>
      <w:r>
        <w:t xml:space="preserve">separate these elements from each other and in doing so we adjust for what a school inherits, not for what it does. Firstly, we model school-level absence on the variables we treat as exogenous (FSM, EAL, mean KS2 prior attainment, segregation, plus place and year random effects), producing for every school-year an</w:t>
      </w:r>
      <w:r>
        <w:t xml:space="preserve"> </w:t>
      </w:r>
      <w:r>
        <w:rPr>
          <w:i/>
          <w:iCs/>
        </w:rPr>
        <w:t xml:space="preserve">expected absence</w:t>
      </w:r>
      <w:r>
        <w:t xml:space="preserve"> </w:t>
      </w:r>
      <w:r>
        <w:t xml:space="preserve">(intake-predicted - around 55% of the variation) and a</w:t>
      </w:r>
      <w:r>
        <w:t xml:space="preserve"> </w:t>
      </w:r>
      <w:r>
        <w:rPr>
          <w:i/>
          <w:iCs/>
        </w:rPr>
        <w:t xml:space="preserve">residual/excess absence</w:t>
      </w:r>
      <w:r>
        <w:t xml:space="preserve"> </w:t>
      </w:r>
      <w:r>
        <w:t xml:space="preserve">— the part beyond what its intake would predict, which is the school’s own contribution to its attendance (around 45% of the variation). Secondly, we fit the attainment model on the same intake variables but with</w:t>
      </w:r>
      <w:r>
        <w:t xml:space="preserve"> </w:t>
      </w:r>
      <w:r>
        <w:rPr>
          <w:i/>
          <w:iCs/>
        </w:rPr>
        <w:t xml:space="preserve">no</w:t>
      </w:r>
      <w:r>
        <w:t xml:space="preserve"> </w:t>
      </w:r>
      <w:r>
        <w:t xml:space="preserve">absence control and no workforce predictors, since attendance management and workforce decisions are things a school does rather than things it receives. The school-level residual from this second model is a more honest value-added measure: it is the school’s total contribution to attainment, with attendance management counted inside that contribution rather than stripped away as a control.</w:t>
      </w:r>
    </w:p>
    <w:p>
      <w:pPr>
        <w:pStyle w:val="BodyText"/>
      </w:pPr>
      <w:r>
        <w:t xml:space="preserve">It is worth being explicit about what each of these two models is for, because the first answers a question that the second does not. If all we want to know is how much of the variation in school absence is inherited rather than generated – the national picture – then the first model answers it on its own. Intake and place explain 55% of it; the remaining 45% they do not. No attainment model is needed to reach that figure, and readers interested only in the national question can stop there. The second model exists for a narrower and more local purpose: it supplies a second axis, so that a school’s attendance record can be read</w:t>
      </w:r>
      <w:r>
        <w:t xml:space="preserve"> </w:t>
      </w:r>
      <w:r>
        <w:rPr>
          <w:i/>
          <w:iCs/>
        </w:rPr>
        <w:t xml:space="preserve">alongside</w:t>
      </w:r>
      <w:r>
        <w:t xml:space="preserve"> </w:t>
      </w:r>
      <w:r>
        <w:t xml:space="preserve">its overall effectiveness rather than in isolation. That pairing is a diagnostic tool for local decision-makers, and we use it only in the Brighton and Hove case study that follows.</w:t>
      </w:r>
    </w:p>
    <w:p>
      <w:pPr>
        <w:pStyle w:val="BodyText"/>
      </w:pPr>
      <w:r>
        <w:t xml:space="preserve">There are two issues with this that we should make clear. The first is that because neither model controls for observed absence, any absence that is genuinely outside a school’s control but not captured by intake or place – SEND-related absence, for instance – will be charged to that school’s value added. Since 45% of absence variation is unexplained by the first model, the scope for this is not trivial, and a school could be given a misleadingly poor value-added reading as a result. The second issue is that the coefficients from the second model cannot be read as effects. We know from the earlier models how important absence is, so leaving it out does not remove its influence: that influence is redistributed across the variables that remain, and because disadvantage is correlated with absence, the disadvantage term absorbs much of it. We therefore take only the residuals from this model. Every disadvantage estimate reported elsewhere in this paper comes from the headline specification, which controls absence directly.</w:t>
      </w:r>
    </w:p>
    <w:p>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deal with on attendance is inherited rather than generated.</w:t>
      </w:r>
    </w:p>
    <w:p>
      <w:pPr>
        <w:pStyle w:val="BodyText"/>
      </w:pPr>
      <w:r>
        <w:rPr>
          <w:i/>
          <w:iCs/>
        </w:rP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 — about here]</w:t>
      </w:r>
    </w:p>
    <w:p>
      <w:pPr>
        <w:pStyle w:val="BodyText"/>
      </w:pPr>
      <w:r>
        <w:t xml:space="preserve">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w:t>
      </w:r>
    </w:p>
    <w:p>
      <w:pPr>
        <w:pStyle w:val="BodyText"/>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value-added alongside residual absence means we can achieve a more honest framing than the single number that conventional benchmarking produces. This would help align local policy conversations with what the data can support them.</w:t>
      </w:r>
    </w:p>
    <w:bookmarkEnd w:id="59"/>
    <w:bookmarkEnd w:id="60"/>
    <w:bookmarkStart w:id="79" w:name="discussion"/>
    <w:p>
      <w:pPr>
        <w:pStyle w:val="Heading1"/>
      </w:pPr>
      <w:r>
        <w:t xml:space="preserve">6. Discussion</w:t>
      </w:r>
    </w:p>
    <w:bookmarkStart w:id="62"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61"/>
      </w:r>
      <w:r>
        <w:t xml:space="preserve">, 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w:t>
      </w:r>
      <w:r>
        <w:t xml:space="preserve"> </w:t>
      </w:r>
      <w:r>
        <w:t xml:space="preserve">Macleod et al. (2015)</w:t>
      </w:r>
      <w:r>
        <w:t xml:space="preserve">’s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 When it comes to attainment,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unintended aversive outcomes.</w:t>
      </w:r>
    </w:p>
    <w:p>
      <w:pPr>
        <w:pStyle w:val="BodyText"/>
      </w:pPr>
      <w:r>
        <w:t xml:space="preserve">It is worth setting this in the longer context of what school-effectiveness research has consistently found, because our result is not a novel or contrarian one. Ever since</w:t>
      </w:r>
      <w:r>
        <w:t xml:space="preserve"> </w:t>
      </w:r>
      <w:r>
        <w:t xml:space="preserve">Coleman et al. (1966)</w:t>
      </w:r>
      <w:r>
        <w:t xml:space="preserve">, the share of variation in pupil outcomes attributable to differences</w:t>
      </w:r>
      <w:r>
        <w:t xml:space="preserve"> </w:t>
      </w:r>
      <w:r>
        <w:rPr>
          <w:i/>
          <w:iCs/>
        </w:rPr>
        <w:t xml:space="preserve">between</w:t>
      </w:r>
      <w:r>
        <w:t xml:space="preserve"> </w:t>
      </w:r>
      <w:r>
        <w:t xml:space="preserve">schools - as opposed to differences in the pupils they admit and the circumstances those pupils bring - has been estimated at something in the order of 8 to 15 per cent. The landmark English study by</w:t>
      </w:r>
      <w:r>
        <w:t xml:space="preserve"> </w:t>
      </w:r>
      <w:r>
        <w:t xml:space="preserve">Smith and Tomlinson (1989)</w:t>
      </w:r>
      <w:r>
        <w:t xml:space="preserve"> </w:t>
      </w:r>
      <w:r>
        <w:t xml:space="preserve">settled on around a tenth, and</w:t>
      </w:r>
      <w:r>
        <w:t xml:space="preserve"> </w:t>
      </w:r>
      <w:r>
        <w:t xml:space="preserve">Teddlie and Reynolds (2000)</w:t>
      </w:r>
      <w:r>
        <w:t xml:space="preserve"> </w:t>
      </w:r>
      <w:r>
        <w:t xml:space="preserve">confirm that broad range across countries and phases. Our own between-school decomposition using recent data in England, reported in the supplementary material, arrives at something similar. This matters for how much any redistribution policy based on school performance measures can be expected to achieve: if differences in pupil outcomes between schools are little to do with what those schools do but are instead driven by wider societal impacts on the students they are admitting, then a policy that redistributes pupils between schools operates on a comparatively small share of the variance in the first place - it is working on the smaller term while leaving the harder, larger problem untouched. It will be an ineffective plaster stuck on the wider problem of social inequalities.</w:t>
      </w:r>
    </w:p>
    <w:p>
      <w:pPr>
        <w:pStyle w:val="BodyText"/>
      </w:pPr>
      <w:r>
        <w:t xml:space="preserve">Furthermore, the chosen lever also carries risks that the proposals did not engage with. Redistribution to schools outside of a pupil’s local area generates longer journeys to school, and the wider literature is clear that long commutes are associated with reduced sleep and its psychosocial</w:t>
      </w:r>
      <w:r>
        <w:t xml:space="preserve"> </w:t>
      </w:r>
      <w:r>
        <w:t xml:space="preserve">(Fredriksen et al. 2004; Yeo et al. 2019)</w:t>
      </w:r>
      <w:r>
        <w:t xml:space="preserve">, physical</w:t>
      </w:r>
      <w:r>
        <w:t xml:space="preserve"> </w:t>
      </w:r>
      <w:r>
        <w:t xml:space="preserve">(Voulgaris et al. 2019; Pradhan and Sinha 2017; Pereira et al. 2014; Faulkner et al. 2013)</w:t>
      </w:r>
      <w:r>
        <w:t xml:space="preserve"> </w:t>
      </w:r>
      <w:r>
        <w:t xml:space="preserve">and mental health</w:t>
      </w:r>
      <w:r>
        <w:t xml:space="preserve"> </w:t>
      </w:r>
      <w:r>
        <w:t xml:space="preserve">(Nakajima et al. 2024; Chairassamee et al. 2024; Guan et al. 2025)</w:t>
      </w:r>
      <w:r>
        <w:t xml:space="preserve"> </w:t>
      </w:r>
      <w:r>
        <w:t xml:space="preserve">consequences, including stress</w:t>
      </w:r>
      <w:r>
        <w:t xml:space="preserve"> </w:t>
      </w:r>
      <w:r>
        <w:t xml:space="preserve">(Karan et al. 2021)</w:t>
      </w:r>
      <w:r>
        <w:t xml:space="preserve">, lower wellbeing</w:t>
      </w:r>
      <w:r>
        <w:t xml:space="preserve"> </w:t>
      </w:r>
      <w:r>
        <w:t xml:space="preserve">(Ding et al. 2023)</w:t>
      </w:r>
      <w:r>
        <w:t xml:space="preserve">, and higher absence across multiple national settings</w:t>
      </w:r>
      <w:r>
        <w:t xml:space="preserve"> </w:t>
      </w:r>
      <w:r>
        <w:t xml:space="preserve">(Otsuka et al. 2025; Cordes et al. 2022; Blagg et al. 2018)</w:t>
      </w:r>
      <w:r>
        <w:t xml:space="preserve">, including England</w:t>
      </w:r>
      <w:r>
        <w:t xml:space="preserve"> </w:t>
      </w:r>
      <w:r>
        <w:t xml:space="preserve">(Thomson 2023)</w:t>
      </w:r>
      <w:r>
        <w:t xml:space="preserve">.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w:t>
      </w:r>
      <w:r>
        <w:t xml:space="preserve"> </w:t>
      </w:r>
      <w:r>
        <w:t xml:space="preserve">(Faulkner et al. 2013)</w:t>
      </w:r>
      <w:r>
        <w:t xml:space="preserve">. A Chicago case study</w:t>
      </w:r>
      <w:r>
        <w:t xml:space="preserve"> </w:t>
      </w:r>
      <w:r>
        <w:t xml:space="preserve">(Shah 2023)</w:t>
      </w:r>
      <w:r>
        <w:t xml:space="preserve"> </w:t>
      </w:r>
      <w:r>
        <w:t xml:space="preserve">argues that the burden of long commutes falls disproportionately on pupils already experiencing other forms of marginalisation, and long-distance transit predicts early high school transfer</w:t>
      </w:r>
      <w:r>
        <w:t xml:space="preserve"> </w:t>
      </w:r>
      <w:r>
        <w:t xml:space="preserve">(Stein et al. 2021)</w:t>
      </w:r>
      <w:r>
        <w:t xml:space="preserve">, itself a risk factor for poor attainment. These are not peripheral concerns; they, along with another other potential benefits, are part of the cost-benefit calculus any redistribution policy needs to engage with, but were largely missing from the 2024 deliberation in Brighton and Hove. The claim that social mixing can be achieved at</w:t>
      </w:r>
      <w:r>
        <w:t xml:space="preserve"> </w:t>
      </w:r>
      <w:r>
        <w:t xml:space="preserve">‘almost no cost’</w:t>
      </w:r>
      <w:r>
        <w:t xml:space="preserve"> </w:t>
      </w:r>
      <w:r>
        <w:t xml:space="preserve">(Gorard and Siddiqui 2019)</w:t>
      </w:r>
      <w:r>
        <w:t xml:space="preserve"> </w:t>
      </w:r>
      <w:r>
        <w:t xml:space="preserve">sits awkwardly with this second-order literature.</w:t>
      </w:r>
    </w:p>
    <w:p>
      <w:pPr>
        <w:pStyle w:val="BodyText"/>
      </w:pPr>
      <w:r>
        <w:t xml:space="preserve">It is worth making the mechanism explicit, because it clarifies how an admissions reform actually reaches attainment. There are two pathways. The first is the intended one: changing where pupils go alters the</w:t>
      </w:r>
      <w:r>
        <w:t xml:space="preserve"> </w:t>
      </w:r>
      <w:r>
        <w:rPr>
          <w:i/>
          <w:iCs/>
        </w:rPr>
        <w:t xml:space="preserve">FSM composition</w:t>
      </w:r>
      <w:r>
        <w:t xml:space="preserve"> </w:t>
      </w:r>
      <w:r>
        <w:t xml:space="preserve">of individual schools, which our modelling shows has, at most, a small effect on attainment - and for disadvantaged pupils, an effect that if anything runs the wrong way. The second is unintended: moving pupils further from home increases</w:t>
      </w:r>
      <w:r>
        <w:t xml:space="preserve"> </w:t>
      </w:r>
      <w:r>
        <w:rPr>
          <w:i/>
          <w:iCs/>
        </w:rPr>
        <w:t xml:space="preserve">travel</w:t>
      </w:r>
      <w:r>
        <w:t xml:space="preserve">, which the evidence above links to</w:t>
      </w:r>
      <w:r>
        <w:t xml:space="preserve"> </w:t>
      </w:r>
      <w:r>
        <w:rPr>
          <w:i/>
          <w:iCs/>
        </w:rPr>
        <w:t xml:space="preserve">higher absence.</w:t>
      </w:r>
      <w:r>
        <w:t xml:space="preserve"> </w:t>
      </w:r>
      <w:r>
        <w:t xml:space="preserve">Recent research also clearly links attendance with the sense of well-being, life satisfaction and belonging in students</w:t>
      </w:r>
      <w:r>
        <w:t xml:space="preserve"> </w:t>
      </w:r>
      <w:r>
        <w:t xml:space="preserve">(Moore et al. 2026)</w:t>
      </w:r>
      <w:r>
        <w:t xml:space="preserve">. While it may not necessarily follow that this will be diminished in students attending schools far from their home communities and established friendship groups, it is reasonable to hypothesise this as a further risk factor to consider, particularly where absence is by a wide margin the strongest predictor of attainment we identify. In other words, the data suggests that the admissions lever operates on attainment mainly through the second, unintended channel, and in the direction opposite to the policy’s aim. This is why we describe it as pulling the wrong lever: not merely a weak instrument, but one whose most probable net effect on disadvantaged attainment is negative. We should be clear that this is a statement about</w:t>
      </w:r>
      <w:r>
        <w:t xml:space="preserve"> </w:t>
      </w:r>
      <w:r>
        <w:rPr>
          <w:i/>
          <w:iCs/>
        </w:rPr>
        <w:t xml:space="preserve">expected</w:t>
      </w:r>
      <w:r>
        <w:t xml:space="preserve"> </w:t>
      </w:r>
      <w:r>
        <w:t xml:space="preserve">effects derived from national associations, not an evaluation of the 2023 free-school-meal-priority policy or the 2026 arrangements, which post-date our outcome data and whose effects the council’s own commissioned follow-up work has yet to report.</w:t>
      </w:r>
    </w:p>
    <w:bookmarkEnd w:id="62"/>
    <w:bookmarkStart w:id="67"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 attendance 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r>
        <w:rPr>
          <w:rStyle w:val="FootnoteReference"/>
        </w:rPr>
        <w:footnoteReference w:id="63"/>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 England in 2024-25 - and, unlike almost every other authority, one that has barely improved since the pandemic - 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might produce.</w:t>
      </w:r>
    </w:p>
    <w:p>
      <w:pPr>
        <w:pStyle w:val="BodyText"/>
      </w:pPr>
      <w:r>
        <w:t xml:space="preserve">We should reiterate that Brighton and Hove’s absence rates are not a necessary consequence of its intake. One response to an earlier presentation of this argument, advanced locally by the campaign group Class Divide</w:t>
      </w:r>
      <w:r>
        <w:rPr>
          <w:rStyle w:val="FootnoteReference"/>
        </w:rPr>
        <w:footnoteReference w:id="64"/>
      </w:r>
      <w:r>
        <w:t xml:space="preserve">, offered a memorable analogy: absence is the mould, poverty is the damp. On this view, treating absence directly is futile, because the underlying poverty will simply keep bringing it back. The analogy captures something real. At pupil level the association between disadvantage and absence is strong and well evidenced</w:t>
      </w:r>
      <w:r>
        <w:t xml:space="preserve"> </w:t>
      </w:r>
      <w:r>
        <w:t xml:space="preserve">(DfE 2025b)</w:t>
      </w:r>
      <w:r>
        <w:t xml:space="preserve">, and our own decomposition (section 5.5) finds that a substantial part of school-level absence is inherited from intake rather than generated by the school. Any serious attendance strategy must therefore engage with the material circumstances of families, not merely with attendance procedures.</w:t>
      </w:r>
    </w:p>
    <w:p>
      <w:pPr>
        <w:pStyle w:val="BodyText"/>
      </w:pPr>
      <w:r>
        <w:t xml:space="preserve">It is important, however, to consider that effect of absence on attainment in our model is the effect above and beyond being eligible free school meals, the best measure we have of poverty in our school intakes. Some variability of absence and poverty in the intake are shared. Absence may be a symptom of poverty, but it is also a likely mechanism of poverty’s effects on attainment. As such, absence is also a target for intervention. Any serious attendance strategy must engage with the material circumstances of families, not merely with attendance procedures. However, beyond addressing the hard problem of economic disadvantage that can underpin many factors in the attainment model, increasing attendance of students may go the furthest to address the disadvantage attainment gap.</w:t>
      </w:r>
    </w:p>
    <w:p>
      <w:pPr>
        <w:pStyle w:val="BodyText"/>
      </w:pPr>
      <w:r>
        <w:t xml:space="preserve">But as clever as the analogy is in general terms, it does not explain the specific situation in Brighton and Hove. Across English local education authorities, differences in poverty account for remarkably little of the difference in absence: regressing LEA mean absence on LEA mean FSM eligibility across the 152 authorities in our latest year produces an</w:t>
      </w:r>
      <w:r>
        <w:t xml:space="preserve"> </w:t>
      </w:r>
      <m:oMath>
        <m:sSup>
          <m:e>
            <m:r>
              <m:t>R</m:t>
            </m:r>
          </m:e>
          <m:sup>
            <m:r>
              <m:t>2</m:t>
            </m:r>
          </m:sup>
        </m:sSup>
      </m:oMath>
      <w:r>
        <w:t xml:space="preserve"> </w:t>
      </w:r>
      <w:r>
        <w:t xml:space="preserve">of just 0.05. Brighton and Hove’s own position makes the point clearly. Its FSM rate (28.8%) is slightly</w:t>
      </w:r>
      <w:r>
        <w:t xml:space="preserve"> </w:t>
      </w:r>
      <w:r>
        <w:rPr>
          <w:i/>
          <w:iCs/>
        </w:rPr>
        <w:t xml:space="preserve">below</w:t>
      </w:r>
      <w:r>
        <w:t xml:space="preserve"> </w:t>
      </w:r>
      <w:r>
        <w:t xml:space="preserve">the average across authorities (29.6%), so on a poverty-only account its absence should be a little below average too - around 8.2%. It is 10.8%, an excess of 2.6 percentage points over what its disadvantage profile predicts, and the largest such excess of any authority in England. Among the 20 authorities whose FSM rates are within two percentage points of Brighton and Hove’s, the city has the</w:t>
      </w:r>
      <w:r>
        <w:t xml:space="preserve"> </w:t>
      </w:r>
      <w:r>
        <w:rPr>
          <w:i/>
          <w:iCs/>
        </w:rPr>
        <w:t xml:space="preserve">highest</w:t>
      </w:r>
      <w:r>
        <w:t xml:space="preserve"> </w:t>
      </w:r>
      <w:r>
        <w:t xml:space="preserve">absence of all, some 2.3 percentage points above their average. And where absence fell in 94% of local authorities between 2021–22 and 2024–25, the city’s did not move. At the risk of stretching the metaphor too far, there is damp in many places but the mould is markedly worse here, and it is not getting better as it is elsewhere.</w:t>
      </w:r>
    </w:p>
    <w:p>
      <w:pPr>
        <w:pStyle w:val="BodyText"/>
      </w:pPr>
      <w:r>
        <w:t xml:space="preserve">The reasonable conclusion is not that poverty is irrelevant to absence, but that it cannot be the full explanation for Brighton and Hove’s position. Treating the city’s absence problem as an inevitable consequence of its social composition is empirically unsupported and risks diverting attention and resources away from what should be the laser focus of the LEA. A substantial part of the city’s absence sits above what its intake predicts, which is precisely the part that local action can reach. The problem therefore reflects local factors - attendance culture, enforcement practices, transport friction or community dynamics - rather than being an unavoidable outcome of disadvantage. If the city is not already running a substantial cross-departmental attendance programme alongside its school-level work, the case for one is strong to introduce one. There is a budget question too: the £606,000 already spent annually on supported bus routes and passes</w:t>
      </w:r>
      <w:r>
        <w:rPr>
          <w:rStyle w:val="FootnoteReference"/>
        </w:rPr>
        <w:footnoteReference w:id="66"/>
      </w:r>
      <w:r>
        <w:t xml:space="preserve">,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bookmarkEnd w:id="67"/>
    <w:bookmarkStart w:id="72"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 clear illustration of the point: the local school for one of the city’s most disadvantaged catchments is, on this view, doing materially better for its disadvantaged pupils than the schools to which a number of those pupils’ families have been opting to travel.</w:t>
      </w:r>
    </w:p>
    <w:p>
      <w:pPr>
        <w:pStyle w:val="BodyText"/>
      </w:pPr>
      <w:r>
        <w:rPr>
          <w:i/>
          <w:iCs/>
        </w:rPr>
        <w:t xml:space="preserve">[Table 3: Value-added rankings for Brighton and Hove schools (panel model residuals by year, in Attainment 8 points). — about here]</w:t>
      </w:r>
    </w:p>
    <w:p>
      <w:pPr>
        <w:pStyle w:val="BodyText"/>
      </w:pPr>
      <w:r>
        <w:t xml:space="preserve">During the 2024 consultation, the public debate shifted from how the council’s proposals would improve disadvantaged attainment to how they would facilitate parental choice. An activist group (Equity in Education</w:t>
      </w:r>
      <w:r>
        <w:rPr>
          <w:rStyle w:val="FootnoteReference"/>
        </w:rPr>
        <w:footnoteReference w:id="68"/>
      </w:r>
      <w:r>
        <w:t xml:space="preserve"> </w:t>
      </w:r>
      <w:r>
        <w:t xml:space="preserve">- supported by Class Divide) emerged from within the BACA catchment advocating for alternatives to that school. While each parent has their reasons for wanting a different choice, at the time, BACA had a</w:t>
      </w:r>
      <w:r>
        <w:t xml:space="preserve"> </w:t>
      </w:r>
      <w:r>
        <w:t xml:space="preserve">‘requires improvement’</w:t>
      </w:r>
      <w:r>
        <w:t xml:space="preserve"> </w:t>
      </w:r>
      <w:r>
        <w:t xml:space="preserve">Ofsted rating and some of the city’s lowest raw attainment scores. A considerable number of BACA-catchment parents subsequently opted for Patcham School -</w:t>
      </w:r>
      <w:r>
        <w:t xml:space="preserve"> </w:t>
      </w:r>
      <w:r>
        <w:t xml:space="preserve">‘Good’</w:t>
      </w:r>
      <w:r>
        <w:t xml:space="preserve"> </w:t>
      </w:r>
      <w:r>
        <w:t xml:space="preserve">rated, mid-table on raw attainment, in a more prosperous neighbouring catchment.</w:t>
      </w:r>
    </w:p>
    <w:p>
      <w:pPr>
        <w:pStyle w:val="BodyText"/>
      </w:pPr>
      <w:r>
        <w:t xml:space="preserve">However, the contextualised picture differs sharply. BACA sits in one of the most deprived parts of the city, experiences absence well above the high city average, has around 50% FSM and 30% low prior attainment; Yet, BACA out-performs every other school in the city for disadvantaged pupils, including those popularly viewed as the</w:t>
      </w:r>
      <w:r>
        <w:t xml:space="preserve"> </w:t>
      </w:r>
      <w:r>
        <w:t xml:space="preserve">‘best’</w:t>
      </w:r>
      <w:r>
        <w:t xml:space="preserve">. Once these cohort differences are accounted for, the league tables in</w:t>
      </w:r>
      <w:r>
        <w:t xml:space="preserve"> </w:t>
      </w:r>
      <w:hyperlink w:anchor="tbl-league">
        <w:r>
          <w:rPr>
            <w:rStyle w:val="Hyperlink"/>
          </w:rPr>
          <w:t xml:space="preserve">Table 3</w:t>
        </w:r>
      </w:hyperlink>
      <w:r>
        <w:t xml:space="preserve"> </w:t>
      </w:r>
      <w:r>
        <w:t xml:space="preserve">(derived from</w:t>
      </w:r>
      <w:r>
        <w:t xml:space="preserve"> </w:t>
      </w:r>
      <w:hyperlink w:anchor="fig-obs-vs-pred">
        <w:r>
          <w:rPr>
            <w:rStyle w:val="Hyperlink"/>
          </w:rPr>
          <w:t xml:space="preserve">Figure 5</w:t>
        </w:r>
      </w:hyperlink>
      <w:r>
        <w:t xml:space="preserve">) show that in 2024-25 a disadvantaged pupil at BACA left, on average, with GCSE results around 5.7 points higher than a comparable pupil at a similar school elsewhere in England, with a four-year average around 3.1 points higher - substantially above the fraction of a point that might be expected from altering schools’ disadvantage mix. Its April 2025 Ofsted upgrade to</w:t>
      </w:r>
      <w:r>
        <w:t xml:space="preserve"> </w:t>
      </w:r>
      <w:r>
        <w:t xml:space="preserve">‘Good’</w:t>
      </w:r>
      <w:r>
        <w:t xml:space="preserve"> </w:t>
      </w:r>
      <w:r>
        <w:t xml:space="preserve">in all five areas</w:t>
      </w:r>
      <w:r>
        <w:rPr>
          <w:rStyle w:val="FootnoteReference"/>
        </w:rPr>
        <w:footnoteReference w:id="70"/>
      </w:r>
      <w:r>
        <w:t xml:space="preserve"> </w:t>
      </w:r>
      <w:r>
        <w:t xml:space="preserve">is unsurprising in the context of this analysis, but would have been surprising to anyone looking only at prior raw attainment and Ofsted ratings.</w:t>
      </w:r>
    </w:p>
    <w:bookmarkEnd w:id="72"/>
    <w:bookmarkStart w:id="74" w:name="viability-versus-attainment"/>
    <w:p>
      <w:pPr>
        <w:pStyle w:val="Heading2"/>
      </w:pPr>
      <w:r>
        <w:t xml:space="preserve">6.4 Viability versus attainment</w:t>
      </w:r>
    </w:p>
    <w:p>
      <w:pPr>
        <w:pStyle w:val="FirstParagraph"/>
      </w:pPr>
      <w:r>
        <w:t xml:space="preserve">The Brighton and Hove City Council cabinet papers of 5th December 2024</w:t>
      </w:r>
      <w:r>
        <w:rPr>
          <w:rStyle w:val="FootnoteReference"/>
        </w:rPr>
        <w:footnoteReference w:id="73"/>
      </w:r>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74"/>
    <w:bookmarkStart w:id="75" w:name="X66de271a6aca02794f420f50f4d8a324e8e27cc"/>
    <w:p>
      <w:pPr>
        <w:pStyle w:val="Heading2"/>
      </w:pPr>
      <w:r>
        <w:t xml:space="preserve">6.5 Conditional performance and the cost of absence</w:t>
      </w:r>
    </w:p>
    <w:p>
      <w:pPr>
        <w:pStyle w:val="FirstParagraph"/>
      </w:pPr>
      <w:r>
        <w:t xml:space="preserve">The LEA random effect for Brighton and Hove is positive and, in the main model, statistically significant across all three attainment groups. As section 5.2 set out, however, this result is conditional on how the model treats absence, and the city’s attendance is so extreme that the conditioning does most of the work. Controlling for absence, the city’s schools rank 15th of 151 for how far disadvantaged attainment exceeds what intake predicts; without that control they rank 69th and are statistically ordinary. We take neither number as the whole truth. Together they say something more useful than either alone: Brighton and Hove’s schools appear to be genuinely effective for the pupils who attend them, and the city’s attendance problem is large enough to erase that advantage in the aggregate.</w:t>
      </w:r>
    </w:p>
    <w:p>
      <w:pPr>
        <w:pStyle w:val="BodyText"/>
      </w:pPr>
      <w:r>
        <w:t xml:space="preserve">The distance between the two rankings has a concrete interpretation. It is roughly 1.4 Attainment 8 points per disadvantaged pupil - the difference between what the city’s disadvantaged children achieve and what they might achieve if their schools’ underlying effectiveness were not being drained by absence. Read this way, the city’s attendance is not a caveat to a good-news story; it is the story.</w:t>
      </w:r>
    </w:p>
    <w:p>
      <w:pPr>
        <w:pStyle w:val="BodyText"/>
      </w:pPr>
      <w:r>
        <w:t xml:space="preserve">This reframes what the 2024 consultation got right and what it got wrong. The council was not wrong that Brighton and Hove has a problem: unconditionally (without absence in particular), its disadvantaged pupils do no better than the national average, and the raw attainment gap that motivated the consultation is real. What the consultation got wrong was the diagnosis. Presented with an attainment gap, it reached for the social composition of schools at considerable cost - one of the weakest levers our modelling identifies, and for disadvantaged pupils a lever that may point the wrong way (section 4.3, section 5.3). Meanwhile the factor that actually separates the city’s conditional standing from its unconditional standing, attendance, was absent from the consultation entirely. The more accurate account is not that a high-performing city was mistaken for a failing one, but that a city with one specific, severe, addressable problem was prescribed a treatment for a different problem it did not have.</w:t>
      </w:r>
    </w:p>
    <w:p>
      <w:pPr>
        <w:pStyle w:val="BodyText"/>
      </w:pPr>
      <w:r>
        <w:t xml:space="preserve">The honest answer is that we do not yet know what produces differences in school attainment beyond our model. The random effect, by definition, captures variance that the fixed-effect predictors do not explain. Good performance could reflect high levels of parental engagement and aspiration and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Without pupil and class-level longitudinal analysis, any hypothesis would be impossible to test. Identifying the sources of conditional over-performance is an important research question in its own right, and one that could require additional qualitative investigation or access to pupil-level data that goes beyond what is publicly available. But what is clear is that policy interventions which risk disrupting a system without understanding what makes it function well carry substantial downside risks.</w:t>
      </w:r>
    </w:p>
    <w:bookmarkEnd w:id="75"/>
    <w:bookmarkStart w:id="77"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Academisation and sustained real-terms reductions in local authority central-services funding is in part responsible for this gap, having substantially eroded the analytical capacity that once sat within LEAs. Council’s frequently remain the admissions authority for systems that funding cuts and academisation mean they have limited capacity to analyse as a whole. As such a recommendation simply to</w:t>
      </w:r>
      <w:r>
        <w:t xml:space="preserve"> </w:t>
      </w:r>
      <w:r>
        <w:t xml:space="preserve">‘invest locally’</w:t>
      </w:r>
      <w:r>
        <w:t xml:space="preserve"> </w:t>
      </w:r>
      <w:r>
        <w:t xml:space="preserve">sits uneasily with the fiscal reality most authorities face. Multi-academy trusts have absorbed some of this function, but only for their own constituent schools; no actor now has both the remit and the capacity for the</w:t>
      </w:r>
      <w:r>
        <w:t xml:space="preserve"> </w:t>
      </w:r>
      <w:r>
        <w:rPr>
          <w:i/>
          <w:iCs/>
        </w:rPr>
        <w:t xml:space="preserve">locality-wide</w:t>
      </w:r>
      <w:r>
        <w:t xml:space="preserve"> </w:t>
      </w:r>
      <w:r>
        <w:t xml:space="preserve">analysis that spans maintained schools, academies across different trusts, and church schools within a single place. Brighton and Hove illustrates the gap to some extent – although where it still has direct control of 6 out of 10 community secondary schools and academisation has not (yet) had the same impact as it has elsewhere, to a lesser degree than many.</w:t>
      </w:r>
    </w:p>
    <w:p>
      <w:pPr>
        <w:pStyle w:val="BodyText"/>
      </w:pPr>
      <w:r>
        <w:t xml:space="preserve">But LEAs can also do much more to help themselves where capacity and funding constraints are real. While we have pieced together a national analysis here from DfE data and applied it to a local context, Local Authorities could put more local data accessibly into the public domain. Freedom of Information Requests should not be the default route for those in the wider community - potentially with valuable time and expertise - to access important local information. Data such as aggregate pupil projections for schools and neighbourhoods, time series preference data, distances travelled to school, offers by school and home neighbourhood deprivation band, Free School Meal eligibility by neighbourhood, appeals and their outcomes – these are all held by LEAs but rarely published as a matter of course. Hiding data away either completely or in inaccessible PDFs tucked away in committee meeting appendices, rather than publishing openly in machine-readable formats is counter-productive. In an effort to demonstrate how our collective intelligence could be enhanced through better data analytics we have developed an interactive Policy Simulator tool,</w:t>
      </w:r>
      <w:r>
        <w:rPr>
          <w:rStyle w:val="FootnoteReference"/>
        </w:rPr>
        <w:footnoteReference w:id="76"/>
      </w:r>
      <w:r>
        <w:t xml:space="preserve"> </w:t>
      </w:r>
      <w:r>
        <w:t xml:space="preserve">underpinned by the data and models in this paper. The tool allows users to explore any school in England, compare against contextual expectations, and model the indicative impact of changes to key variables. This is only a starting point and more bespoke intelligence systems could be built for local situations.</w:t>
      </w:r>
    </w:p>
    <w:bookmarkEnd w:id="77"/>
    <w:bookmarkStart w:id="78"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pPr>
        <w:pStyle w:val="BodyText"/>
      </w:pPr>
      <w:r>
        <w:t xml:space="preserve">We should also say something about statistical inference, given the nature of our data. Our panel is not a random sample drawn from some larger frame; it is a population, comprising every state-funded mainstream, non-selective secondary school in England. As such we do not interpret standard errors as quantifying uncertainty about generalising from a sample to a population. We interpret them as quantifying the stochastic, cohort-to-cohort variation that produces any given school’s result in any given year: each cohort is one realisation of a process that would have turned out somewhat differently with a different set of children, and school-level scores are correspondingly unstable from year to year - as is observable from the variation across the four-year value added scores in</w:t>
      </w:r>
      <w:r>
        <w:t xml:space="preserve"> </w:t>
      </w:r>
      <w:hyperlink w:anchor="tbl-league">
        <w:r>
          <w:rPr>
            <w:rStyle w:val="Hyperlink"/>
          </w:rPr>
          <w:t xml:space="preserve">Table 3</w:t>
        </w:r>
      </w:hyperlink>
      <w:r>
        <w:t xml:space="preserve">. The multilevel structure of our model is an additional insurance, since the partial pooling inherent in these models shrinks the noisiest, most variable year-on-year estimates - typically those from the smallest schools - toward the relevant group mean. Conscious of long-standing cautions about the over-interpretation of p-values</w:t>
      </w:r>
      <w:r>
        <w:t xml:space="preserve"> </w:t>
      </w:r>
      <w:r>
        <w:t xml:space="preserve">(Wasserstein and Lazar 2016)</w:t>
      </w:r>
      <w:r>
        <w:t xml:space="preserve">, we treat significance in our model as descriptive rather than decisive. Readers will note that there is nothing in this paper turns on a p-value threshold being crossed. In addition, some may try to point out that coefficients are not effect-sizes, which is true, and why we have taken care to convert effects that are most relevant into more widely understandable Attainment 8 points. Our observations are reproduced across four separate years, and they would stand unchanged if every test statistic were removed.</w:t>
      </w:r>
    </w:p>
    <w:bookmarkEnd w:id="78"/>
    <w:bookmarkEnd w:id="79"/>
    <w:bookmarkStart w:id="80"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surfaces three observations 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w:t>
      </w:r>
      <w:r>
        <w:t xml:space="preserve"> </w:t>
      </w:r>
      <w:r>
        <w:t xml:space="preserve">(Macleod et al. 2015)</w:t>
      </w:r>
      <w:r>
        <w:t xml:space="preserve">.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 attendance. The city had the second-worst absence rate in England in 2024-25 - and its absence has failed to fall while it fell almost everywhere else in England - and the modelling suggests that moving the city’s worst-affected schools toward the national absence average would yield gains for disadvantaged pupils that comfortably exceed anything achievable through admissions reform. The absence 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 Addressing the city’s absence problem therefore needs both school-level effort and cross-council-department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80"/>
    <w:bookmarkStart w:id="81"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81"/>
    <w:bookmarkStart w:id="82" w:name="disclosure-statement"/>
    <w:p>
      <w:pPr>
        <w:pStyle w:val="Heading1"/>
      </w:pPr>
      <w:r>
        <w:t xml:space="preserve">Disclosure Statement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82"/>
    <w:bookmarkStart w:id="191" w:name="references"/>
    <w:p>
      <w:pPr>
        <w:pStyle w:val="Heading1"/>
      </w:pPr>
      <w:r>
        <w:t xml:space="preserve">References</w:t>
      </w:r>
    </w:p>
    <w:bookmarkStart w:id="190" w:name="refs"/>
    <w:bookmarkStart w:id="84"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83">
        <w:r>
          <w:rPr>
            <w:rStyle w:val="Hyperlink"/>
          </w:rPr>
          <w:t xml:space="preserve">https://doi.org/10.1080/09645292.2017.1366425</w:t>
        </w:r>
      </w:hyperlink>
      <w:r>
        <w:t xml:space="preserve">.</w:t>
      </w:r>
    </w:p>
    <w:bookmarkEnd w:id="84"/>
    <w:bookmarkStart w:id="86"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85">
        <w:r>
          <w:rPr>
            <w:rStyle w:val="Hyperlink"/>
          </w:rPr>
          <w:t xml:space="preserve">https://doi.org/10.1111/j.1475-5661.2012.00511.x</w:t>
        </w:r>
      </w:hyperlink>
      <w:r>
        <w:t xml:space="preserve">.</w:t>
      </w:r>
    </w:p>
    <w:bookmarkEnd w:id="86"/>
    <w:bookmarkStart w:id="88"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87">
        <w:r>
          <w:rPr>
            <w:rStyle w:val="Hyperlink"/>
          </w:rPr>
          <w:t xml:space="preserve">https://doi.org/10.1080/0305764X.2024.2420611</w:t>
        </w:r>
      </w:hyperlink>
      <w:r>
        <w:t xml:space="preserve">.</w:t>
      </w:r>
    </w:p>
    <w:bookmarkEnd w:id="88"/>
    <w:bookmarkStart w:id="90" w:name="ref-Blagg2018"/>
    <w:p>
      <w:pPr>
        <w:pStyle w:val="Bibliography"/>
      </w:pPr>
      <w:r>
        <w:t xml:space="preserve">Blagg, Kristin, Victoria Rosenboom, and Matthew M. Chingos. 2018.</w:t>
      </w:r>
      <w:r>
        <w:t xml:space="preserve"> </w:t>
      </w:r>
      <w:r>
        <w:rPr>
          <w:i/>
          <w:iCs/>
        </w:rPr>
        <w:t xml:space="preserve">The</w:t>
      </w:r>
      <w:r>
        <w:rPr>
          <w:i/>
          <w:iCs/>
        </w:rPr>
        <w:t xml:space="preserve"> </w:t>
      </w:r>
      <w:r>
        <w:rPr>
          <w:i/>
          <w:iCs/>
        </w:rPr>
        <w:t xml:space="preserve">Extra</w:t>
      </w:r>
      <w:r>
        <w:rPr>
          <w:i/>
          <w:iCs/>
        </w:rPr>
        <w:t xml:space="preserve"> </w:t>
      </w:r>
      <w:r>
        <w:rPr>
          <w:i/>
          <w:iCs/>
        </w:rPr>
        <w:t xml:space="preserve">Mile</w:t>
      </w:r>
      <w:r>
        <w:rPr>
          <w:i/>
          <w:iCs/>
        </w:rPr>
        <w:t xml:space="preserve">:</w:t>
      </w:r>
      <w:r>
        <w:rPr>
          <w:i/>
          <w:iCs/>
        </w:rPr>
        <w:t xml:space="preserve"> </w:t>
      </w:r>
      <w:r>
        <w:rPr>
          <w:i/>
          <w:iCs/>
        </w:rPr>
        <w:t xml:space="preserve">Time</w:t>
      </w:r>
      <w:r>
        <w:rPr>
          <w:i/>
          <w:iCs/>
        </w:rPr>
        <w:t xml:space="preserve"> </w:t>
      </w:r>
      <w:r>
        <w:rPr>
          <w:i/>
          <w:iCs/>
        </w:rPr>
        <w:t xml:space="preserve">to</w:t>
      </w:r>
      <w:r>
        <w:rPr>
          <w:i/>
          <w:iCs/>
        </w:rPr>
        <w:t xml:space="preserve"> </w:t>
      </w:r>
      <w:r>
        <w:rPr>
          <w:i/>
          <w:iCs/>
        </w:rPr>
        <w:t xml:space="preserve">School</w:t>
      </w:r>
      <w:r>
        <w:rPr>
          <w:i/>
          <w:iCs/>
        </w:rPr>
        <w:t xml:space="preserve"> </w:t>
      </w:r>
      <w:r>
        <w:rPr>
          <w:i/>
          <w:iCs/>
        </w:rPr>
        <w:t xml:space="preserve">and</w:t>
      </w:r>
      <w:r>
        <w:rPr>
          <w:i/>
          <w:iCs/>
        </w:rPr>
        <w:t xml:space="preserve"> </w:t>
      </w:r>
      <w:r>
        <w:rPr>
          <w:i/>
          <w:iCs/>
        </w:rPr>
        <w:t xml:space="preserve">Student</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Washington</w:t>
      </w:r>
      <w:r>
        <w:rPr>
          <w:i/>
          <w:iCs/>
        </w:rPr>
        <w:t xml:space="preserve">,</w:t>
      </w:r>
      <w:r>
        <w:rPr>
          <w:i/>
          <w:iCs/>
        </w:rPr>
        <w:t xml:space="preserve"> </w:t>
      </w:r>
      <w:r>
        <w:rPr>
          <w:i/>
          <w:iCs/>
        </w:rPr>
        <w:t xml:space="preserve">DC</w:t>
      </w:r>
      <w:r>
        <w:t xml:space="preserve">. Urban Institute.</w:t>
      </w:r>
      <w:r>
        <w:t xml:space="preserve"> </w:t>
      </w:r>
      <w:hyperlink r:id="rId89">
        <w:r>
          <w:rPr>
            <w:rStyle w:val="Hyperlink"/>
          </w:rPr>
          <w:t xml:space="preserve">https://www.urban.org/sites/default/files/publication/99027/time_to_school_and_student_outcomes_in_dc_1.pdf</w:t>
        </w:r>
      </w:hyperlink>
      <w:r>
        <w:t xml:space="preserve">.</w:t>
      </w:r>
    </w:p>
    <w:bookmarkEnd w:id="90"/>
    <w:bookmarkStart w:id="92"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91">
        <w:r>
          <w:rPr>
            <w:rStyle w:val="Hyperlink"/>
          </w:rPr>
          <w:t xml:space="preserve">https://doi.org/10.1177/0308518X18787820</w:t>
        </w:r>
      </w:hyperlink>
      <w:r>
        <w:t xml:space="preserve">.</w:t>
      </w:r>
    </w:p>
    <w:bookmarkEnd w:id="92"/>
    <w:bookmarkStart w:id="94"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93">
        <w:r>
          <w:rPr>
            <w:rStyle w:val="Hyperlink"/>
          </w:rPr>
          <w:t xml:space="preserve">https://doi.org/10.1016/j.econedurev.2023.102405</w:t>
        </w:r>
      </w:hyperlink>
      <w:r>
        <w:t xml:space="preserve">.</w:t>
      </w:r>
    </w:p>
    <w:bookmarkEnd w:id="94"/>
    <w:bookmarkStart w:id="96" w:name="ref-Chairassamee2024"/>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95">
        <w:r>
          <w:rPr>
            <w:rStyle w:val="Hyperlink"/>
          </w:rPr>
          <w:t xml:space="preserve">https://doi.org/10.1371/journal.pone.0314687</w:t>
        </w:r>
      </w:hyperlink>
      <w:r>
        <w:t xml:space="preserve">.</w:t>
      </w:r>
    </w:p>
    <w:bookmarkEnd w:id="96"/>
    <w:bookmarkStart w:id="97" w:name="ref-Coleman1966"/>
    <w:p>
      <w:pPr>
        <w:pStyle w:val="Bibliography"/>
      </w:pPr>
      <w:r>
        <w:t xml:space="preserve">Coleman, James S., Ernest Q. Campbell, Carol J. Hobson, et al. 1966.</w:t>
      </w:r>
      <w:r>
        <w:t xml:space="preserve"> </w:t>
      </w:r>
      <w:r>
        <w:rPr>
          <w:i/>
          <w:iCs/>
        </w:rPr>
        <w:t xml:space="preserve">Equality of</w:t>
      </w:r>
      <w:r>
        <w:rPr>
          <w:i/>
          <w:iCs/>
        </w:rPr>
        <w:t xml:space="preserve"> </w:t>
      </w:r>
      <w:r>
        <w:rPr>
          <w:i/>
          <w:iCs/>
        </w:rPr>
        <w:t xml:space="preserve">Educational</w:t>
      </w:r>
      <w:r>
        <w:rPr>
          <w:i/>
          <w:iCs/>
        </w:rPr>
        <w:t xml:space="preserve"> </w:t>
      </w:r>
      <w:r>
        <w:rPr>
          <w:i/>
          <w:iCs/>
        </w:rPr>
        <w:t xml:space="preserve">Opportunity</w:t>
      </w:r>
      <w:r>
        <w:t xml:space="preserve">. U.S. Department of Health, Education,; Welfare, Office of Education.</w:t>
      </w:r>
    </w:p>
    <w:bookmarkEnd w:id="97"/>
    <w:bookmarkStart w:id="99"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98">
        <w:r>
          <w:rPr>
            <w:rStyle w:val="Hyperlink"/>
          </w:rPr>
          <w:t xml:space="preserve">https://committees.parliament.uk/committee/203/education-committee/news/156024/forgotten-white-workingclass-pupils-let-down-by-decades-of-neglect-mps-say/</w:t>
        </w:r>
      </w:hyperlink>
      <w:r>
        <w:t xml:space="preserve">.</w:t>
      </w:r>
    </w:p>
    <w:bookmarkEnd w:id="99"/>
    <w:bookmarkStart w:id="101" w:name="ref-Cordes2022"/>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100">
        <w:r>
          <w:rPr>
            <w:rStyle w:val="Hyperlink"/>
          </w:rPr>
          <w:t xml:space="preserve">https://doi.org/10.3102/01623737221092450</w:t>
        </w:r>
      </w:hyperlink>
      <w:r>
        <w:t xml:space="preserve">.</w:t>
      </w:r>
    </w:p>
    <w:bookmarkEnd w:id="101"/>
    <w:bookmarkStart w:id="103"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02">
        <w:r>
          <w:rPr>
            <w:rStyle w:val="Hyperlink"/>
          </w:rPr>
          <w:t xml:space="preserve">https://explore-education-statistics.service.gov.uk/find-statistics/the-link-between-absence-and-attainment-at-ks2-and-ks4/2018-19</w:t>
        </w:r>
      </w:hyperlink>
      <w:r>
        <w:t xml:space="preserve">.</w:t>
      </w:r>
    </w:p>
    <w:bookmarkEnd w:id="103"/>
    <w:bookmarkStart w:id="105"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04">
        <w:r>
          <w:rPr>
            <w:rStyle w:val="Hyperlink"/>
          </w:rPr>
          <w:t xml:space="preserve">https://www.gov.uk/government/publications/link-between-attendance-and-attainment</w:t>
        </w:r>
      </w:hyperlink>
      <w:r>
        <w:t xml:space="preserve">.</w:t>
      </w:r>
    </w:p>
    <w:bookmarkEnd w:id="105"/>
    <w:bookmarkStart w:id="107"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06">
        <w:r>
          <w:rPr>
            <w:rStyle w:val="Hyperlink"/>
          </w:rPr>
          <w:t xml:space="preserve">https://explore-education-statistics.service.gov.uk/find-statistics/pupil-absence-in-schools-in-england/2024-25-autumn-and-spring-term</w:t>
        </w:r>
      </w:hyperlink>
      <w:r>
        <w:t xml:space="preserve">.</w:t>
      </w:r>
    </w:p>
    <w:bookmarkEnd w:id="107"/>
    <w:bookmarkStart w:id="109"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08">
        <w:r>
          <w:rPr>
            <w:rStyle w:val="Hyperlink"/>
          </w:rPr>
          <w:t xml:space="preserve">https://www.gov.uk/government/publications/every-child-achieving-and-thriving/every-child-achieving-and-thriving-html-version</w:t>
        </w:r>
      </w:hyperlink>
      <w:r>
        <w:t xml:space="preserve">.</w:t>
      </w:r>
    </w:p>
    <w:bookmarkEnd w:id="109"/>
    <w:bookmarkStart w:id="111" w:name="ref-Ding2023"/>
    <w:p>
      <w:pPr>
        <w:pStyle w:val="Bibliography"/>
      </w:pPr>
      <w:r>
        <w:t xml:space="preserve">Ding, Peng, Yan Li, Suwei Feng, and Dorina Pojani. 2023.</w:t>
      </w:r>
      <w:r>
        <w:t xml:space="preserve"> </w:t>
      </w:r>
      <w:r>
        <w:t xml:space="preserve">“Do Long School Commutes Undermine Teenagers’ Wellbeing?</w:t>
      </w:r>
      <w:r>
        <w:t xml:space="preserve"> </w:t>
      </w:r>
      <w:r>
        <w:t xml:space="preserve">Evidence</w:t>
      </w:r>
      <w:r>
        <w:t xml:space="preserve"> </w:t>
      </w:r>
      <w:r>
        <w:t xml:space="preserve">from a Nation-Wide Survey in</w:t>
      </w:r>
      <w:r>
        <w:t xml:space="preserve"> </w:t>
      </w:r>
      <w:r>
        <w:t xml:space="preserve">China</w:t>
      </w:r>
      <w:r>
        <w:t xml:space="preserve">.”</w:t>
      </w:r>
      <w:r>
        <w:t xml:space="preserve"> </w:t>
      </w:r>
      <w:r>
        <w:rPr>
          <w:i/>
          <w:iCs/>
        </w:rPr>
        <w:t xml:space="preserve">Journal of Transport &amp; Health</w:t>
      </w:r>
      <w:r>
        <w:t xml:space="preserve"> </w:t>
      </w:r>
      <w:r>
        <w:t xml:space="preserve">30: 101605.</w:t>
      </w:r>
      <w:r>
        <w:t xml:space="preserve"> </w:t>
      </w:r>
      <w:hyperlink r:id="rId110">
        <w:r>
          <w:rPr>
            <w:rStyle w:val="Hyperlink"/>
          </w:rPr>
          <w:t xml:space="preserve">https://doi.org/10.1016/j.jth.2023.101605</w:t>
        </w:r>
      </w:hyperlink>
      <w:r>
        <w:t xml:space="preserve">.</w:t>
      </w:r>
    </w:p>
    <w:bookmarkEnd w:id="111"/>
    <w:bookmarkStart w:id="113"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12">
        <w:r>
          <w:rPr>
            <w:rStyle w:val="Hyperlink"/>
          </w:rPr>
          <w:t xml:space="preserve">https://doi.org/10.1002/berj.3992</w:t>
        </w:r>
      </w:hyperlink>
      <w:r>
        <w:t xml:space="preserve">.</w:t>
      </w:r>
    </w:p>
    <w:bookmarkEnd w:id="113"/>
    <w:bookmarkStart w:id="115"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14">
        <w:r>
          <w:rPr>
            <w:rStyle w:val="Hyperlink"/>
          </w:rPr>
          <w:t xml:space="preserve">https://doi.org/10.1093/ooec/odad029</w:t>
        </w:r>
      </w:hyperlink>
      <w:r>
        <w:t xml:space="preserve">.</w:t>
      </w:r>
    </w:p>
    <w:bookmarkEnd w:id="115"/>
    <w:bookmarkStart w:id="117" w:name="ref-Faulkner2013"/>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16">
        <w:r>
          <w:rPr>
            <w:rStyle w:val="Hyperlink"/>
          </w:rPr>
          <w:t xml:space="preserve">https://doi.org/10.1186/1471-2458-13-1166</w:t>
        </w:r>
      </w:hyperlink>
      <w:r>
        <w:t xml:space="preserve">.</w:t>
      </w:r>
    </w:p>
    <w:bookmarkEnd w:id="117"/>
    <w:bookmarkStart w:id="119" w:name="ref-Fredriksen2004"/>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18">
        <w:r>
          <w:rPr>
            <w:rStyle w:val="Hyperlink"/>
          </w:rPr>
          <w:t xml:space="preserve">https://doi.org/10.1111/j.1467-8624.2004.00655.x</w:t>
        </w:r>
      </w:hyperlink>
      <w:r>
        <w:t xml:space="preserve">.</w:t>
      </w:r>
    </w:p>
    <w:bookmarkEnd w:id="119"/>
    <w:bookmarkStart w:id="121"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20">
        <w:r>
          <w:rPr>
            <w:rStyle w:val="Hyperlink"/>
          </w:rPr>
          <w:t xml:space="preserve">https://cep.lse.ac.uk/_new/publications/abstract.asp?index=5752</w:t>
        </w:r>
      </w:hyperlink>
      <w:r>
        <w:t xml:space="preserve">.</w:t>
      </w:r>
    </w:p>
    <w:bookmarkEnd w:id="121"/>
    <w:bookmarkStart w:id="123"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22">
        <w:r>
          <w:rPr>
            <w:rStyle w:val="Hyperlink"/>
          </w:rPr>
          <w:t xml:space="preserve">https://doi.org/10.1002/berj.3297</w:t>
        </w:r>
      </w:hyperlink>
      <w:r>
        <w:t xml:space="preserve">.</w:t>
      </w:r>
    </w:p>
    <w:bookmarkEnd w:id="123"/>
    <w:bookmarkStart w:id="125"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24">
        <w:r>
          <w:rPr>
            <w:rStyle w:val="Hyperlink"/>
          </w:rPr>
          <w:t xml:space="preserve">https://doi.org/10.1177/2158244018825171</w:t>
        </w:r>
      </w:hyperlink>
      <w:r>
        <w:t xml:space="preserve">.</w:t>
      </w:r>
    </w:p>
    <w:bookmarkEnd w:id="125"/>
    <w:bookmarkStart w:id="127"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26">
        <w:r>
          <w:rPr>
            <w:rStyle w:val="Hyperlink"/>
          </w:rPr>
          <w:t xml:space="preserve">https://doi.org/10.3390/educsci15010006</w:t>
        </w:r>
      </w:hyperlink>
      <w:r>
        <w:t xml:space="preserve">.</w:t>
      </w:r>
    </w:p>
    <w:bookmarkEnd w:id="127"/>
    <w:bookmarkStart w:id="129"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28">
        <w:r>
          <w:rPr>
            <w:rStyle w:val="Hyperlink"/>
          </w:rPr>
          <w:t xml:space="preserve">https://opendocs.ids.ac.uk/articles/report/The_Contribution_of_Education_to_Economic_Growth/26453986/1</w:t>
        </w:r>
      </w:hyperlink>
      <w:r>
        <w:t xml:space="preserve">.</w:t>
      </w:r>
    </w:p>
    <w:bookmarkEnd w:id="129"/>
    <w:bookmarkStart w:id="131" w:name="ref-Gromping2007"/>
    <w:p>
      <w:pPr>
        <w:pStyle w:val="Bibliography"/>
      </w:pPr>
      <w:r>
        <w:t xml:space="preserve">Grömping, Ulrike. 2007.</w:t>
      </w:r>
      <w:r>
        <w:t xml:space="preserve"> </w:t>
      </w:r>
      <w:r>
        <w:t xml:space="preserve">“Relative Importance for Linear Regression in</w:t>
      </w:r>
      <w:r>
        <w:t xml:space="preserve"> </w:t>
      </w:r>
      <w:r>
        <w:t xml:space="preserve">R</w:t>
      </w:r>
      <w:r>
        <w:t xml:space="preserve">: The Package</w:t>
      </w:r>
      <w:r>
        <w:t xml:space="preserve"> </w:t>
      </w:r>
      <w:r>
        <w:t xml:space="preserve">relaimpo</w:t>
      </w:r>
      <w:r>
        <w:t xml:space="preserve">.”</w:t>
      </w:r>
      <w:r>
        <w:t xml:space="preserve"> </w:t>
      </w:r>
      <w:r>
        <w:rPr>
          <w:i/>
          <w:iCs/>
        </w:rPr>
        <w:t xml:space="preserve">Journal of Statistical Software</w:t>
      </w:r>
      <w:r>
        <w:t xml:space="preserve"> </w:t>
      </w:r>
      <w:r>
        <w:t xml:space="preserve">17 (1): 1–27.</w:t>
      </w:r>
      <w:r>
        <w:t xml:space="preserve"> </w:t>
      </w:r>
      <w:hyperlink r:id="rId130">
        <w:r>
          <w:rPr>
            <w:rStyle w:val="Hyperlink"/>
          </w:rPr>
          <w:t xml:space="preserve">https://doi.org/10.18637/jss.v017.i01</w:t>
        </w:r>
      </w:hyperlink>
      <w:r>
        <w:t xml:space="preserve">.</w:t>
      </w:r>
    </w:p>
    <w:bookmarkEnd w:id="131"/>
    <w:bookmarkStart w:id="133" w:name="ref-Guan2025"/>
    <w:p>
      <w:pPr>
        <w:pStyle w:val="Bibliography"/>
      </w:pPr>
      <w:r>
        <w:t xml:space="preserve">Guan, Hongwei, Jingjing Xue, Yaqi Zhang, Fang Chang, and Wei Liu. 2025.</w:t>
      </w:r>
      <w:r>
        <w:t xml:space="preserve"> </w:t>
      </w:r>
      <w:r>
        <w:t xml:space="preserve">“Examining the Relationship Between Commuting Time, Academic Achievement, and Mental Health in Rural</w:t>
      </w:r>
      <w:r>
        <w:t xml:space="preserve"> </w:t>
      </w:r>
      <w:r>
        <w:t xml:space="preserve">China</w:t>
      </w:r>
      <w:r>
        <w:t xml:space="preserve">: A Cross-Sectional Analysis.”</w:t>
      </w:r>
      <w:r>
        <w:t xml:space="preserve"> </w:t>
      </w:r>
      <w:r>
        <w:rPr>
          <w:i/>
          <w:iCs/>
        </w:rPr>
        <w:t xml:space="preserve">BMC Public Health</w:t>
      </w:r>
      <w:r>
        <w:t xml:space="preserve"> </w:t>
      </w:r>
      <w:r>
        <w:t xml:space="preserve">25 (1): 1616.</w:t>
      </w:r>
      <w:r>
        <w:t xml:space="preserve"> </w:t>
      </w:r>
      <w:hyperlink r:id="rId132">
        <w:r>
          <w:rPr>
            <w:rStyle w:val="Hyperlink"/>
          </w:rPr>
          <w:t xml:space="preserve">https://doi.org/10.1186/s12889-025-22861-7</w:t>
        </w:r>
      </w:hyperlink>
      <w:r>
        <w:t xml:space="preserve">.</w:t>
      </w:r>
    </w:p>
    <w:bookmarkEnd w:id="133"/>
    <w:bookmarkStart w:id="135" w:name="ref-houtepen_associations_2020"/>
    <w:p>
      <w:pPr>
        <w:pStyle w:val="Bibliography"/>
      </w:pPr>
      <w:r>
        <w:t xml:space="preserve">Houtepen, Lotte C., Jon Heron, Matthew J. Suderman, Abigail Fraser, Catherine R. Chittleborough, and Laura D. Howe. 2020.</w:t>
      </w:r>
      <w:r>
        <w:t xml:space="preserve"> </w:t>
      </w:r>
      <w:r>
        <w:t xml:space="preserve">“Associations of Adverse Childhood Experiences with Educational Attainment and Adolescent Health and the Role of Family and Socioeconomic Factors:</w:t>
      </w:r>
      <w:r>
        <w:t xml:space="preserve"> </w:t>
      </w:r>
      <w:r>
        <w:t xml:space="preserve">A</w:t>
      </w:r>
      <w:r>
        <w:t xml:space="preserve"> </w:t>
      </w:r>
      <w:r>
        <w:t xml:space="preserve">Prospective Cohort Study in the</w:t>
      </w:r>
      <w:r>
        <w:t xml:space="preserve"> </w:t>
      </w:r>
      <w:r>
        <w:t xml:space="preserve">UK</w:t>
      </w:r>
      <w:r>
        <w:t xml:space="preserve">.”</w:t>
      </w:r>
      <w:r>
        <w:t xml:space="preserve"> </w:t>
      </w:r>
      <w:r>
        <w:rPr>
          <w:i/>
          <w:iCs/>
        </w:rPr>
        <w:t xml:space="preserve">PLOS Medicine</w:t>
      </w:r>
      <w:r>
        <w:t xml:space="preserve"> </w:t>
      </w:r>
      <w:r>
        <w:t xml:space="preserve">17 (3): e1003031.</w:t>
      </w:r>
      <w:r>
        <w:t xml:space="preserve"> </w:t>
      </w:r>
      <w:hyperlink r:id="rId134">
        <w:r>
          <w:rPr>
            <w:rStyle w:val="Hyperlink"/>
          </w:rPr>
          <w:t xml:space="preserve">https://doi.org/10.1371/journal.pmed.1003031</w:t>
        </w:r>
      </w:hyperlink>
      <w:r>
        <w:t xml:space="preserve">.</w:t>
      </w:r>
    </w:p>
    <w:bookmarkEnd w:id="135"/>
    <w:bookmarkStart w:id="137" w:name="ref-Karan2021"/>
    <w:p>
      <w:pPr>
        <w:pStyle w:val="Bibliography"/>
      </w:pPr>
      <w:r>
        <w:t xml:space="preserve">Karan, Maira, Danny Rahal, David M. Almeida, et al. 2021.</w:t>
      </w:r>
      <w:r>
        <w:t xml:space="preserve"> </w:t>
      </w:r>
      <w:r>
        <w:t xml:space="preserve">“School Commute Time, Chronotype, and Altered</w:t>
      </w:r>
      <w:r>
        <w:t xml:space="preserve"> </w:t>
      </w:r>
      <w:r>
        <w:t xml:space="preserve">HPA</w:t>
      </w:r>
      <w:r>
        <w:t xml:space="preserve"> </w:t>
      </w:r>
      <w:r>
        <w:t xml:space="preserve">Axis Functioning During Adolescence.”</w:t>
      </w:r>
      <w:r>
        <w:t xml:space="preserve"> </w:t>
      </w:r>
      <w:r>
        <w:rPr>
          <w:i/>
          <w:iCs/>
        </w:rPr>
        <w:t xml:space="preserve">Psychoneuroendocrinology</w:t>
      </w:r>
      <w:r>
        <w:t xml:space="preserve"> </w:t>
      </w:r>
      <w:r>
        <w:t xml:space="preserve">133: 105371.</w:t>
      </w:r>
      <w:r>
        <w:t xml:space="preserve"> </w:t>
      </w:r>
      <w:hyperlink r:id="rId136">
        <w:r>
          <w:rPr>
            <w:rStyle w:val="Hyperlink"/>
          </w:rPr>
          <w:t xml:space="preserve">https://doi.org/10.1016/j.psyneuen.2021.105371</w:t>
        </w:r>
      </w:hyperlink>
      <w:r>
        <w:t xml:space="preserve">.</w:t>
      </w:r>
    </w:p>
    <w:bookmarkEnd w:id="137"/>
    <w:bookmarkStart w:id="138" w:name="ref-Lindeman1980"/>
    <w:p>
      <w:pPr>
        <w:pStyle w:val="Bibliography"/>
      </w:pPr>
      <w:r>
        <w:t xml:space="preserve">Lindeman, Richard H., Peter F. Merenda, and Ruth Z. Gold. 1980.</w:t>
      </w:r>
      <w:r>
        <w:t xml:space="preserve"> </w:t>
      </w:r>
      <w:r>
        <w:rPr>
          <w:i/>
          <w:iCs/>
        </w:rPr>
        <w:t xml:space="preserve">Introduction to Bivariate and Multivariate Analysis</w:t>
      </w:r>
      <w:r>
        <w:t xml:space="preserve">. Scott, Foresman.</w:t>
      </w:r>
    </w:p>
    <w:bookmarkEnd w:id="138"/>
    <w:bookmarkStart w:id="140"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39">
        <w:r>
          <w:rPr>
            <w:rStyle w:val="Hyperlink"/>
          </w:rPr>
          <w:t xml:space="preserve">https://www.nfer.ac.uk/publications/supporting-the-attainment-of-disadvantaged-pupils-articulating-success-and-good-practice/</w:t>
        </w:r>
      </w:hyperlink>
      <w:r>
        <w:t xml:space="preserve">.</w:t>
      </w:r>
    </w:p>
    <w:bookmarkEnd w:id="140"/>
    <w:bookmarkStart w:id="142"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41">
        <w:r>
          <w:rPr>
            <w:rStyle w:val="Hyperlink"/>
          </w:rPr>
          <w:t xml:space="preserve">https://doi.org/10.14324/LRE.21.1.20</w:t>
        </w:r>
      </w:hyperlink>
      <w:r>
        <w:t xml:space="preserve">.</w:t>
      </w:r>
    </w:p>
    <w:bookmarkEnd w:id="142"/>
    <w:bookmarkStart w:id="144" w:name="ref-Moore2026"/>
    <w:p>
      <w:pPr>
        <w:pStyle w:val="Bibliography"/>
      </w:pPr>
      <w:r>
        <w:t xml:space="preserve">Moore, Emma, Juan Manuel Del Pozo Segura, and Jenna Julius. 2026.</w:t>
      </w:r>
      <w:r>
        <w:t xml:space="preserve"> </w:t>
      </w:r>
      <w:r>
        <w:rPr>
          <w:i/>
          <w:iCs/>
        </w:rPr>
        <w:t xml:space="preserve">Understanding the Relationship Between Attendance, Wellbeing and Sense of Belonging</w:t>
      </w:r>
      <w:r>
        <w:t xml:space="preserve">. National Foundation for Educational Research.</w:t>
      </w:r>
      <w:r>
        <w:t xml:space="preserve"> </w:t>
      </w:r>
      <w:hyperlink r:id="rId143">
        <w:r>
          <w:rPr>
            <w:rStyle w:val="Hyperlink"/>
          </w:rPr>
          <w:t xml:space="preserve">https://www.nfer.ac.uk/publications/understanding-the-relationship-between-attendance-wellbeing-and-sense-of-belonging/</w:t>
        </w:r>
      </w:hyperlink>
      <w:r>
        <w:t xml:space="preserve">.</w:t>
      </w:r>
    </w:p>
    <w:bookmarkEnd w:id="144"/>
    <w:bookmarkStart w:id="146" w:name="ref-nakagawa_coefficient_2017"/>
    <w:p>
      <w:pPr>
        <w:pStyle w:val="Bibliography"/>
      </w:pPr>
      <w:r>
        <w:t xml:space="preserve">Nakagawa, Shinichi, Paul C. D. Johnson, and Holger Schielzeth. 2017.</w:t>
      </w:r>
      <w:r>
        <w:t xml:space="preserve"> </w:t>
      </w:r>
      <w:r>
        <w:t xml:space="preserve">“The Coefficient of Determination</w:t>
      </w:r>
      <w:r>
        <w:t xml:space="preserve"> </w:t>
      </w:r>
      <w:r>
        <w:t xml:space="preserve">R2</w:t>
      </w:r>
      <w:r>
        <w:t xml:space="preserve"> </w:t>
      </w:r>
      <w:r>
        <w:t xml:space="preserve">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45">
        <w:r>
          <w:rPr>
            <w:rStyle w:val="Hyperlink"/>
          </w:rPr>
          <w:t xml:space="preserve">https://doi.org/10.1098/rsif.2017.0213</w:t>
        </w:r>
      </w:hyperlink>
      <w:r>
        <w:t xml:space="preserve">.</w:t>
      </w:r>
    </w:p>
    <w:bookmarkEnd w:id="146"/>
    <w:bookmarkStart w:id="148" w:name="ref-nakagawa_general_2013"/>
    <w:p>
      <w:pPr>
        <w:pStyle w:val="Bibliography"/>
      </w:pPr>
      <w:r>
        <w:t xml:space="preserve">Nakagawa, Shinichi, and Holger Schielzeth. 2013.</w:t>
      </w:r>
      <w:r>
        <w:t xml:space="preserve"> </w:t>
      </w:r>
      <w:r>
        <w:t xml:space="preserve">“A General and Simple Method for Obtaining</w:t>
      </w:r>
      <w:r>
        <w:t xml:space="preserve"> </w:t>
      </w:r>
      <w:r>
        <w:t xml:space="preserve">R2</w:t>
      </w:r>
      <w:r>
        <w:t xml:space="preserve"> </w:t>
      </w:r>
      <w:r>
        <w:t xml:space="preserve">from Generalized Linear Mixed-Effects Models.”</w:t>
      </w:r>
      <w:r>
        <w:t xml:space="preserve"> </w:t>
      </w:r>
      <w:r>
        <w:rPr>
          <w:i/>
          <w:iCs/>
        </w:rPr>
        <w:t xml:space="preserve">Methods in Ecology and Evolution</w:t>
      </w:r>
      <w:r>
        <w:t xml:space="preserve"> </w:t>
      </w:r>
      <w:r>
        <w:t xml:space="preserve">4 (2): 133–42.</w:t>
      </w:r>
      <w:r>
        <w:t xml:space="preserve"> </w:t>
      </w:r>
      <w:hyperlink r:id="rId147">
        <w:r>
          <w:rPr>
            <w:rStyle w:val="Hyperlink"/>
          </w:rPr>
          <w:t xml:space="preserve">https://doi.org/10.1111/j.2041-210x.2012.00261.x</w:t>
        </w:r>
      </w:hyperlink>
      <w:r>
        <w:t xml:space="preserve">.</w:t>
      </w:r>
    </w:p>
    <w:bookmarkEnd w:id="148"/>
    <w:bookmarkStart w:id="150" w:name="ref-Nakajima2024"/>
    <w:p>
      <w:pPr>
        <w:pStyle w:val="Bibliography"/>
      </w:pPr>
      <w:r>
        <w:t xml:space="preserve">Nakajima, Sakurako, Yuichiro Otsuka, Osamu Itani, Yoshifumi Kaneko, Masato Suzuki, and Yoshitaka Kaneita. 2024.</w:t>
      </w:r>
      <w:r>
        <w:t xml:space="preserve"> </w:t>
      </w:r>
      <w:r>
        <w:t xml:space="preserve">“Association Between Commuting and Mental Health Among</w:t>
      </w:r>
      <w:r>
        <w:t xml:space="preserve"> </w:t>
      </w:r>
      <w:r>
        <w:t xml:space="preserve">Japanese</w:t>
      </w:r>
      <w:r>
        <w:t xml:space="preserve"> </w:t>
      </w:r>
      <w:r>
        <w:t xml:space="preserve">Adolescents.”</w:t>
      </w:r>
      <w:r>
        <w:t xml:space="preserve"> </w:t>
      </w:r>
      <w:r>
        <w:rPr>
          <w:i/>
          <w:iCs/>
        </w:rPr>
        <w:t xml:space="preserve">Psychiatry and Clinical Neurosciences</w:t>
      </w:r>
      <w:r>
        <w:t xml:space="preserve"> </w:t>
      </w:r>
      <w:r>
        <w:t xml:space="preserve">78 (10): 588–94.</w:t>
      </w:r>
      <w:r>
        <w:t xml:space="preserve"> </w:t>
      </w:r>
      <w:hyperlink r:id="rId149">
        <w:r>
          <w:rPr>
            <w:rStyle w:val="Hyperlink"/>
          </w:rPr>
          <w:t xml:space="preserve">https://doi.org/10.1111/pcn.13714</w:t>
        </w:r>
      </w:hyperlink>
      <w:r>
        <w:t xml:space="preserve">.</w:t>
      </w:r>
    </w:p>
    <w:bookmarkEnd w:id="150"/>
    <w:bookmarkStart w:id="152" w:name="ref-Otsuka2025"/>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w:t>
      </w:r>
      <w:r>
        <w:t xml:space="preserve"> </w:t>
      </w:r>
      <w:r>
        <w:t xml:space="preserve">Japanese</w:t>
      </w:r>
      <w:r>
        <w:t xml:space="preserve"> </w:t>
      </w:r>
      <w:r>
        <w:t xml:space="preserve">Adolescents.”</w:t>
      </w:r>
      <w:r>
        <w:t xml:space="preserve"> </w:t>
      </w:r>
      <w:r>
        <w:rPr>
          <w:i/>
          <w:iCs/>
        </w:rPr>
        <w:t xml:space="preserve">Environmental Health and Preventive Medicine</w:t>
      </w:r>
      <w:r>
        <w:t xml:space="preserve"> </w:t>
      </w:r>
      <w:r>
        <w:t xml:space="preserve">30: 89–89.</w:t>
      </w:r>
      <w:r>
        <w:t xml:space="preserve"> </w:t>
      </w:r>
      <w:hyperlink r:id="rId151">
        <w:r>
          <w:rPr>
            <w:rStyle w:val="Hyperlink"/>
          </w:rPr>
          <w:t xml:space="preserve">https://doi.org/10.1265/ehpm.25-00290</w:t>
        </w:r>
      </w:hyperlink>
      <w:r>
        <w:t xml:space="preserve">.</w:t>
      </w:r>
    </w:p>
    <w:bookmarkEnd w:id="152"/>
    <w:bookmarkStart w:id="154" w:name="ref-Pereira2014"/>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53">
        <w:r>
          <w:rPr>
            <w:rStyle w:val="Hyperlink"/>
          </w:rPr>
          <w:t xml:space="preserve">https://doi.org/10.3109/07420528.2013.826238</w:t>
        </w:r>
      </w:hyperlink>
      <w:r>
        <w:t xml:space="preserve">.</w:t>
      </w:r>
    </w:p>
    <w:bookmarkEnd w:id="154"/>
    <w:bookmarkStart w:id="156" w:name="ref-Pradhan2017"/>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55">
        <w:r>
          <w:rPr>
            <w:rStyle w:val="Hyperlink"/>
          </w:rPr>
          <w:t xml:space="preserve">https://doi.org/10.1007/s41105-017-0091-0</w:t>
        </w:r>
      </w:hyperlink>
      <w:r>
        <w:t xml:space="preserve">.</w:t>
      </w:r>
    </w:p>
    <w:bookmarkEnd w:id="156"/>
    <w:bookmarkStart w:id="158" w:name="ref-Rakesh2025"/>
    <w:p>
      <w:pPr>
        <w:pStyle w:val="Bibliography"/>
      </w:pPr>
      <w:r>
        <w:t xml:space="preserve">Rakesh, Divyangana, Paris Anne Lee, Amruta Gaikwad, and Katie A. McLaughlin. 2025.</w:t>
      </w:r>
      <w:r>
        <w:t xml:space="preserve"> </w:t>
      </w:r>
      <w:r>
        <w:t xml:space="preserve">“Annual</w:t>
      </w:r>
      <w:r>
        <w:t xml:space="preserve"> </w:t>
      </w:r>
      <w:r>
        <w:t xml:space="preserve">Research</w:t>
      </w:r>
      <w:r>
        <w:t xml:space="preserve"> </w:t>
      </w:r>
      <w:r>
        <w:t xml:space="preserve">Review</w:t>
      </w:r>
      <w:r>
        <w:t xml:space="preserve">:</w:t>
      </w:r>
      <w:r>
        <w:t xml:space="preserve"> </w:t>
      </w:r>
      <w:r>
        <w:t xml:space="preserve">Associations</w:t>
      </w:r>
      <w:r>
        <w:t xml:space="preserve"> </w:t>
      </w:r>
      <w:r>
        <w:t xml:space="preserve">of Socioeconomic Status with Cognitive Function, Language Ability, and Academic Achievement in Youth: A Systematic Review of Mechanisms and Protective Factors.”</w:t>
      </w:r>
      <w:r>
        <w:t xml:space="preserve"> </w:t>
      </w:r>
      <w:r>
        <w:rPr>
          <w:i/>
          <w:iCs/>
        </w:rPr>
        <w:t xml:space="preserve">Journal of Child Psychology and Psychiatry</w:t>
      </w:r>
      <w:r>
        <w:t xml:space="preserve"> </w:t>
      </w:r>
      <w:r>
        <w:t xml:space="preserve">66 (4): 417–39.</w:t>
      </w:r>
      <w:r>
        <w:t xml:space="preserve"> </w:t>
      </w:r>
      <w:hyperlink r:id="rId157">
        <w:r>
          <w:rPr>
            <w:rStyle w:val="Hyperlink"/>
          </w:rPr>
          <w:t xml:space="preserve">https://doi.org/10.1111/jcpp.14082</w:t>
        </w:r>
      </w:hyperlink>
      <w:r>
        <w:t xml:space="preserve">.</w:t>
      </w:r>
    </w:p>
    <w:bookmarkEnd w:id="158"/>
    <w:bookmarkStart w:id="160"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59">
        <w:r>
          <w:rPr>
            <w:rStyle w:val="Hyperlink"/>
          </w:rPr>
          <w:t xml:space="preserve">https://www.gov.uk/government/publications/against-the-odds</w:t>
        </w:r>
      </w:hyperlink>
      <w:r>
        <w:t xml:space="preserve">.</w:t>
      </w:r>
    </w:p>
    <w:bookmarkEnd w:id="160"/>
    <w:bookmarkStart w:id="162"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61">
        <w:r>
          <w:rPr>
            <w:rStyle w:val="Hyperlink"/>
          </w:rPr>
          <w:t xml:space="preserve">https://www.gov.uk/government/publications/examining-the-london-advantage-in-attainment-evidence-from-lsype</w:t>
        </w:r>
      </w:hyperlink>
      <w:r>
        <w:t xml:space="preserve">.</w:t>
      </w:r>
    </w:p>
    <w:bookmarkEnd w:id="162"/>
    <w:bookmarkStart w:id="164" w:name="ref-Shah2023"/>
    <w:p>
      <w:pPr>
        <w:pStyle w:val="Bibliography"/>
      </w:pPr>
      <w:r>
        <w:t xml:space="preserve">Shah, Kajal B. 2023.</w:t>
      </w:r>
      <w:r>
        <w:t xml:space="preserve"> </w:t>
      </w:r>
      <w:r>
        <w:t xml:space="preserve">“Traversing the</w:t>
      </w:r>
      <w:r>
        <w:t xml:space="preserve"> </w:t>
      </w:r>
      <w:r>
        <w:t xml:space="preserve">City</w:t>
      </w:r>
      <w:r>
        <w:t xml:space="preserve">:</w:t>
      </w:r>
      <w:r>
        <w:t xml:space="preserve"> </w:t>
      </w:r>
      <w:r>
        <w:t xml:space="preserve">Examining</w:t>
      </w:r>
      <w:r>
        <w:t xml:space="preserve"> </w:t>
      </w:r>
      <w:r>
        <w:t xml:space="preserve">the</w:t>
      </w:r>
      <w:r>
        <w:t xml:space="preserve"> </w:t>
      </w:r>
      <w:r>
        <w:t xml:space="preserve">Impacts</w:t>
      </w:r>
      <w:r>
        <w:t xml:space="preserve"> </w:t>
      </w:r>
      <w:r>
        <w:t xml:space="preserve">of</w:t>
      </w:r>
      <w:r>
        <w:t xml:space="preserve"> </w:t>
      </w:r>
      <w:r>
        <w:t xml:space="preserve">Extended</w:t>
      </w:r>
      <w:r>
        <w:t xml:space="preserve"> </w:t>
      </w:r>
      <w:r>
        <w:t xml:space="preserve">Commute</w:t>
      </w:r>
      <w:r>
        <w:t xml:space="preserve"> </w:t>
      </w:r>
      <w:r>
        <w:t xml:space="preserve">on</w:t>
      </w:r>
      <w:r>
        <w:t xml:space="preserve"> </w:t>
      </w:r>
      <w:r>
        <w:t xml:space="preserve">Student</w:t>
      </w:r>
      <w:r>
        <w:t xml:space="preserve"> </w:t>
      </w:r>
      <w:r>
        <w:t xml:space="preserve">Wellbeing</w:t>
      </w:r>
      <w:r>
        <w:t xml:space="preserve"> </w:t>
      </w:r>
      <w:r>
        <w:t xml:space="preserve">&amp;</w:t>
      </w:r>
      <w:r>
        <w:t xml:space="preserve"> </w:t>
      </w:r>
      <w:r>
        <w:t xml:space="preserve">High</w:t>
      </w:r>
      <w:r>
        <w:t xml:space="preserve"> </w:t>
      </w:r>
      <w:r>
        <w:t xml:space="preserve">School</w:t>
      </w:r>
      <w:r>
        <w:t xml:space="preserve"> </w:t>
      </w:r>
      <w:r>
        <w:t xml:space="preserve">Experience</w:t>
      </w:r>
      <w:r>
        <w:t xml:space="preserve"> </w:t>
      </w:r>
      <w:r>
        <w:t xml:space="preserve">in</w:t>
      </w:r>
      <w:r>
        <w:t xml:space="preserve"> </w:t>
      </w:r>
      <w:r>
        <w:t xml:space="preserve">Chicago</w:t>
      </w:r>
      <w:r>
        <w:t xml:space="preserve">.”</w:t>
      </w:r>
      <w:r>
        <w:t xml:space="preserve"> </w:t>
      </w:r>
      <w:r>
        <w:t xml:space="preserve">Master’s thesis, University of Chicago.</w:t>
      </w:r>
      <w:r>
        <w:t xml:space="preserve"> </w:t>
      </w:r>
      <w:hyperlink r:id="rId163">
        <w:r>
          <w:rPr>
            <w:rStyle w:val="Hyperlink"/>
          </w:rPr>
          <w:t xml:space="preserve">https://knowledge.uchicago.edu/record/7216</w:t>
        </w:r>
      </w:hyperlink>
      <w:r>
        <w:t xml:space="preserve">.</w:t>
      </w:r>
    </w:p>
    <w:bookmarkEnd w:id="164"/>
    <w:bookmarkStart w:id="166" w:name="ref-Shapley1953"/>
    <w:p>
      <w:pPr>
        <w:pStyle w:val="Bibliography"/>
      </w:pPr>
      <w:r>
        <w:t xml:space="preserve">Shapley, Lloyd S. 1953.</w:t>
      </w:r>
      <w:r>
        <w:t xml:space="preserve"> </w:t>
      </w:r>
      <w:r>
        <w:t xml:space="preserve">“A Value for n-Person Games.”</w:t>
      </w:r>
      <w:r>
        <w:t xml:space="preserve"> </w:t>
      </w:r>
      <w:r>
        <w:t xml:space="preserve">In</w:t>
      </w:r>
      <w:r>
        <w:t xml:space="preserve"> </w:t>
      </w:r>
      <w:r>
        <w:rPr>
          <w:i/>
          <w:iCs/>
        </w:rPr>
        <w:t xml:space="preserve">Contributions to the Theory of Games, Volume</w:t>
      </w:r>
      <w:r>
        <w:rPr>
          <w:i/>
          <w:iCs/>
        </w:rPr>
        <w:t xml:space="preserve"> </w:t>
      </w:r>
      <w:r>
        <w:rPr>
          <w:i/>
          <w:iCs/>
        </w:rPr>
        <w:t xml:space="preserve">II</w:t>
      </w:r>
      <w:r>
        <w:t xml:space="preserve">, edited by Harold W. Kuhn and Albert W. Tucker, vol. 28, 28. Annals of Mathematics Studies. Princeton University Press.</w:t>
      </w:r>
      <w:r>
        <w:t xml:space="preserve"> </w:t>
      </w:r>
      <w:hyperlink r:id="rId165">
        <w:r>
          <w:rPr>
            <w:rStyle w:val="Hyperlink"/>
          </w:rPr>
          <w:t xml:space="preserve">https://doi.org/10.1515/9781400881970-018</w:t>
        </w:r>
      </w:hyperlink>
      <w:r>
        <w:t xml:space="preserve">.</w:t>
      </w:r>
    </w:p>
    <w:bookmarkEnd w:id="166"/>
    <w:bookmarkStart w:id="167" w:name="ref-SmithTomlinson1989"/>
    <w:p>
      <w:pPr>
        <w:pStyle w:val="Bibliography"/>
      </w:pPr>
      <w:r>
        <w:t xml:space="preserve">Smith, David J., and Sally Tomlinson. 1989.</w:t>
      </w:r>
      <w:r>
        <w:t xml:space="preserve"> </w:t>
      </w:r>
      <w:r>
        <w:rPr>
          <w:i/>
          <w:iCs/>
        </w:rPr>
        <w:t xml:space="preserve">The</w:t>
      </w:r>
      <w:r>
        <w:rPr>
          <w:i/>
          <w:iCs/>
        </w:rPr>
        <w:t xml:space="preserve"> </w:t>
      </w:r>
      <w:r>
        <w:rPr>
          <w:i/>
          <w:iCs/>
        </w:rPr>
        <w:t xml:space="preserve">School</w:t>
      </w:r>
      <w:r>
        <w:rPr>
          <w:i/>
          <w:iCs/>
        </w:rPr>
        <w:t xml:space="preserve"> </w:t>
      </w:r>
      <w:r>
        <w:rPr>
          <w:i/>
          <w:iCs/>
        </w:rPr>
        <w:t xml:space="preserve">Effect</w:t>
      </w:r>
      <w:r>
        <w:rPr>
          <w:i/>
          <w:iCs/>
        </w:rPr>
        <w:t xml:space="preserve">:</w:t>
      </w:r>
      <w:r>
        <w:rPr>
          <w:i/>
          <w:iCs/>
        </w:rPr>
        <w:t xml:space="preserve"> </w:t>
      </w:r>
      <w:r>
        <w:rPr>
          <w:i/>
          <w:iCs/>
        </w:rPr>
        <w:t xml:space="preserve">A</w:t>
      </w:r>
      <w:r>
        <w:rPr>
          <w:i/>
          <w:iCs/>
        </w:rPr>
        <w:t xml:space="preserve"> </w:t>
      </w:r>
      <w:r>
        <w:rPr>
          <w:i/>
          <w:iCs/>
        </w:rPr>
        <w:t xml:space="preserve">Study</w:t>
      </w:r>
      <w:r>
        <w:rPr>
          <w:i/>
          <w:iCs/>
        </w:rPr>
        <w:t xml:space="preserve"> </w:t>
      </w:r>
      <w:r>
        <w:rPr>
          <w:i/>
          <w:iCs/>
        </w:rPr>
        <w:t xml:space="preserve">of</w:t>
      </w:r>
      <w:r>
        <w:rPr>
          <w:i/>
          <w:iCs/>
        </w:rPr>
        <w:t xml:space="preserve"> </w:t>
      </w:r>
      <w:r>
        <w:rPr>
          <w:i/>
          <w:iCs/>
        </w:rPr>
        <w:t xml:space="preserve">Multi</w:t>
      </w:r>
      <w:r>
        <w:rPr>
          <w:i/>
          <w:iCs/>
        </w:rPr>
        <w:t xml:space="preserve">-</w:t>
      </w:r>
      <w:r>
        <w:rPr>
          <w:i/>
          <w:iCs/>
        </w:rPr>
        <w:t xml:space="preserve">Racial</w:t>
      </w:r>
      <w:r>
        <w:rPr>
          <w:i/>
          <w:iCs/>
        </w:rPr>
        <w:t xml:space="preserve"> </w:t>
      </w:r>
      <w:r>
        <w:rPr>
          <w:i/>
          <w:iCs/>
        </w:rPr>
        <w:t xml:space="preserve">Comprehensives</w:t>
      </w:r>
      <w:r>
        <w:t xml:space="preserve">. Policy Studies Institute.</w:t>
      </w:r>
    </w:p>
    <w:bookmarkEnd w:id="167"/>
    <w:bookmarkStart w:id="168"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68"/>
    <w:bookmarkStart w:id="170" w:name="ref-Stein2021"/>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69">
        <w:r>
          <w:rPr>
            <w:rStyle w:val="Hyperlink"/>
          </w:rPr>
          <w:t xml:space="preserve">https://doi.org/10.3102/0013189X20949504</w:t>
        </w:r>
      </w:hyperlink>
      <w:r>
        <w:t xml:space="preserve">.</w:t>
      </w:r>
    </w:p>
    <w:bookmarkEnd w:id="170"/>
    <w:bookmarkStart w:id="172"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71">
        <w:r>
          <w:rPr>
            <w:rStyle w:val="Hyperlink"/>
          </w:rPr>
          <w:t xml:space="preserve">https://doi.org/10.1080/01425692.2025.2474040</w:t>
        </w:r>
      </w:hyperlink>
      <w:r>
        <w:t xml:space="preserve">.</w:t>
      </w:r>
    </w:p>
    <w:bookmarkEnd w:id="172"/>
    <w:bookmarkStart w:id="174"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73">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74"/>
    <w:bookmarkStart w:id="176"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75">
        <w:r>
          <w:rPr>
            <w:rStyle w:val="Hyperlink"/>
          </w:rPr>
          <w:t xml:space="preserve">https://doi.org/10.1007/978-3-031-98300-9_17</w:t>
        </w:r>
      </w:hyperlink>
      <w:r>
        <w:t xml:space="preserve">.</w:t>
      </w:r>
    </w:p>
    <w:bookmarkEnd w:id="176"/>
    <w:bookmarkStart w:id="177" w:name="ref-TeddlieReynolds2000"/>
    <w:p>
      <w:pPr>
        <w:pStyle w:val="Bibliography"/>
      </w:pPr>
      <w:r>
        <w:t xml:space="preserve">Teddlie, Charles, and David Reynolds. 2000.</w:t>
      </w:r>
      <w:r>
        <w:t xml:space="preserve"> </w:t>
      </w:r>
      <w:r>
        <w:rPr>
          <w:i/>
          <w:iCs/>
        </w:rPr>
        <w:t xml:space="preserve">The</w:t>
      </w:r>
      <w:r>
        <w:rPr>
          <w:i/>
          <w:iCs/>
        </w:rPr>
        <w:t xml:space="preserve"> </w:t>
      </w:r>
      <w:r>
        <w:rPr>
          <w:i/>
          <w:iCs/>
        </w:rPr>
        <w:t xml:space="preserve">International</w:t>
      </w:r>
      <w:r>
        <w:rPr>
          <w:i/>
          <w:iCs/>
        </w:rPr>
        <w:t xml:space="preserve"> </w:t>
      </w:r>
      <w:r>
        <w:rPr>
          <w:i/>
          <w:iCs/>
        </w:rPr>
        <w:t xml:space="preserve">Handbook</w:t>
      </w:r>
      <w:r>
        <w:rPr>
          <w:i/>
          <w:iCs/>
        </w:rPr>
        <w:t xml:space="preserve"> </w:t>
      </w:r>
      <w:r>
        <w:rPr>
          <w:i/>
          <w:iCs/>
        </w:rPr>
        <w:t xml:space="preserve">of</w:t>
      </w:r>
      <w:r>
        <w:rPr>
          <w:i/>
          <w:iCs/>
        </w:rPr>
        <w:t xml:space="preserve"> </w:t>
      </w:r>
      <w:r>
        <w:rPr>
          <w:i/>
          <w:iCs/>
        </w:rPr>
        <w:t xml:space="preserve">School</w:t>
      </w:r>
      <w:r>
        <w:rPr>
          <w:i/>
          <w:iCs/>
        </w:rPr>
        <w:t xml:space="preserve"> </w:t>
      </w:r>
      <w:r>
        <w:rPr>
          <w:i/>
          <w:iCs/>
        </w:rPr>
        <w:t xml:space="preserve">Effectiveness</w:t>
      </w:r>
      <w:r>
        <w:rPr>
          <w:i/>
          <w:iCs/>
        </w:rPr>
        <w:t xml:space="preserve"> </w:t>
      </w:r>
      <w:r>
        <w:rPr>
          <w:i/>
          <w:iCs/>
        </w:rPr>
        <w:t xml:space="preserve">Research</w:t>
      </w:r>
      <w:r>
        <w:t xml:space="preserve">. Falmer Press.</w:t>
      </w:r>
    </w:p>
    <w:bookmarkEnd w:id="177"/>
    <w:bookmarkStart w:id="179"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78">
        <w:r>
          <w:rPr>
            <w:rStyle w:val="Hyperlink"/>
          </w:rPr>
          <w:t xml:space="preserve">https://ffteducationdatalab.org.uk/2023/11/are-pupils-who-live-further-away-from-their-school-absent-more-often/</w:t>
        </w:r>
      </w:hyperlink>
      <w:r>
        <w:t xml:space="preserve">.</w:t>
      </w:r>
    </w:p>
    <w:bookmarkEnd w:id="179"/>
    <w:bookmarkStart w:id="181"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180">
        <w:r>
          <w:rPr>
            <w:rStyle w:val="Hyperlink"/>
          </w:rPr>
          <w:t xml:space="preserve">https://epi.org.uk/annual-report-2023/</w:t>
        </w:r>
      </w:hyperlink>
      <w:r>
        <w:t xml:space="preserve">.</w:t>
      </w:r>
    </w:p>
    <w:bookmarkEnd w:id="181"/>
    <w:bookmarkStart w:id="183" w:name="ref-Voulgaris2019"/>
    <w:p>
      <w:pPr>
        <w:pStyle w:val="Bibliography"/>
      </w:pPr>
      <w:r>
        <w:t xml:space="preserve">Voulgaris, Carole Turley, Michael J. Smart, and Brian D. Taylor. 2019.</w:t>
      </w:r>
      <w:r>
        <w:t xml:space="preserve"> </w:t>
      </w:r>
      <w:r>
        <w:t xml:space="preserve">“Tired of Commuting?</w:t>
      </w:r>
      <w:r>
        <w:t xml:space="preserve"> </w:t>
      </w:r>
      <w:r>
        <w:t xml:space="preserve">Relationships</w:t>
      </w:r>
      <w:r>
        <w:t xml:space="preserve"> </w:t>
      </w:r>
      <w:r>
        <w:t xml:space="preserve">Among Journeys to School, Sleep, and Exercise Among</w:t>
      </w:r>
      <w:r>
        <w:t xml:space="preserve"> </w:t>
      </w:r>
      <w:r>
        <w:t xml:space="preserve">American</w:t>
      </w:r>
      <w:r>
        <w:t xml:space="preserve"> </w:t>
      </w:r>
      <w:r>
        <w:t xml:space="preserve">Teenagers.”</w:t>
      </w:r>
      <w:r>
        <w:t xml:space="preserve"> </w:t>
      </w:r>
      <w:r>
        <w:rPr>
          <w:i/>
          <w:iCs/>
        </w:rPr>
        <w:t xml:space="preserve">Journal of Planning Education and Research</w:t>
      </w:r>
      <w:r>
        <w:t xml:space="preserve"> </w:t>
      </w:r>
      <w:r>
        <w:t xml:space="preserve">39 (2): 142–54.</w:t>
      </w:r>
      <w:r>
        <w:t xml:space="preserve"> </w:t>
      </w:r>
      <w:hyperlink r:id="rId182">
        <w:r>
          <w:rPr>
            <w:rStyle w:val="Hyperlink"/>
          </w:rPr>
          <w:t xml:space="preserve">https://doi.org/10.1177/0739456X17725148</w:t>
        </w:r>
      </w:hyperlink>
      <w:r>
        <w:t xml:space="preserve">.</w:t>
      </w:r>
    </w:p>
    <w:bookmarkEnd w:id="183"/>
    <w:bookmarkStart w:id="185" w:name="ref-WassersteinLazar2016"/>
    <w:p>
      <w:pPr>
        <w:pStyle w:val="Bibliography"/>
      </w:pPr>
      <w:r>
        <w:t xml:space="preserve">Wasserstein, Ronald L., and Nicole A. Lazar. 2016.</w:t>
      </w:r>
      <w:r>
        <w:t xml:space="preserve"> </w:t>
      </w:r>
      <w:r>
        <w:t xml:space="preserve">“The</w:t>
      </w:r>
      <w:r>
        <w:t xml:space="preserve"> </w:t>
      </w:r>
      <w:r>
        <w:t xml:space="preserve">ASA</w:t>
      </w:r>
      <w:r>
        <w:t xml:space="preserve"> </w:t>
      </w:r>
      <w:r>
        <w:t xml:space="preserve">Statement on p-Values: Context, Process, and Purpose.”</w:t>
      </w:r>
      <w:r>
        <w:t xml:space="preserve"> </w:t>
      </w:r>
      <w:r>
        <w:rPr>
          <w:i/>
          <w:iCs/>
        </w:rPr>
        <w:t xml:space="preserve">The American Statistician</w:t>
      </w:r>
      <w:r>
        <w:t xml:space="preserve"> </w:t>
      </w:r>
      <w:r>
        <w:t xml:space="preserve">70 (2): 129–33.</w:t>
      </w:r>
      <w:r>
        <w:t xml:space="preserve"> </w:t>
      </w:r>
      <w:hyperlink r:id="rId184">
        <w:r>
          <w:rPr>
            <w:rStyle w:val="Hyperlink"/>
          </w:rPr>
          <w:t xml:space="preserve">https://doi.org/10.1080/00031305.2016.1154108</w:t>
        </w:r>
      </w:hyperlink>
      <w:r>
        <w:t xml:space="preserve">.</w:t>
      </w:r>
    </w:p>
    <w:bookmarkEnd w:id="185"/>
    <w:bookmarkStart w:id="187" w:name="ref-Yeo2019"/>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186">
        <w:r>
          <w:rPr>
            <w:rStyle w:val="Hyperlink"/>
          </w:rPr>
          <w:t xml:space="preserve">https://doi.org/10.1016/j.sleep.2018.10.041</w:t>
        </w:r>
      </w:hyperlink>
      <w:r>
        <w:t xml:space="preserve">.</w:t>
      </w:r>
    </w:p>
    <w:bookmarkEnd w:id="187"/>
    <w:bookmarkStart w:id="189"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188">
        <w:r>
          <w:rPr>
            <w:rStyle w:val="Hyperlink"/>
          </w:rPr>
          <w:t xml:space="preserve">https://epi.org.uk/publications-and-research/the-influence-of-headteachers-on-their-schools/</w:t>
        </w:r>
      </w:hyperlink>
      <w:r>
        <w:t xml:space="preserve">.</w:t>
      </w:r>
    </w:p>
    <w:bookmarkEnd w:id="189"/>
    <w:bookmarkEnd w:id="190"/>
    <w:bookmarkEnd w:id="191"/>
    <w:bookmarkStart w:id="219" w:name="figures-and-tables"/>
    <w:p>
      <w:pPr>
        <w:pStyle w:val="Heading1"/>
      </w:pPr>
      <w:r>
        <w:t xml:space="preserve">Figures and Tables</w:t>
      </w:r>
    </w:p>
    <w:tbl>
      <w:tblPr>
        <w:tblStyle w:val="Table"/>
        <w:tblW w:type="pct" w:w="5000"/>
        <w:tblLayout w:type="fixed"/>
        <w:tblLook w:firstRow="0" w:lastRow="0" w:firstColumn="0" w:lastColumn="0" w:noHBand="0" w:noVBand="0" w:val="0000"/>
      </w:tblPr>
      <w:tblGrid>
        <w:gridCol w:w="7920"/>
      </w:tblGrid>
      <w:tr>
        <w:tc>
          <w:tcPr/>
          <w:bookmarkStart w:id="192"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20"/>
              <w:gridCol w:w="660"/>
              <w:gridCol w:w="420"/>
              <w:gridCol w:w="660"/>
              <w:gridCol w:w="420"/>
              <w:gridCol w:w="660"/>
              <w:gridCol w:w="420"/>
              <w:gridCol w:w="660"/>
              <w:gridCol w:w="420"/>
              <w:gridCol w:w="660"/>
              <w:gridCol w:w="102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 ***</w:t>
                  </w:r>
                </w:p>
              </w:tc>
              <w:tc>
                <w:tcPr/>
                <w:p>
                  <w:pPr>
                    <w:pStyle w:val="Compact"/>
                    <w:jc w:val="left"/>
                    <w:jc w:val="center"/>
                  </w:pPr>
                  <w:r>
                    <w:t xml:space="preserve">621.25</w:t>
                  </w:r>
                </w:p>
              </w:tc>
              <w:tc>
                <w:tcPr/>
                <w:p>
                  <w:pPr>
                    <w:pStyle w:val="Compact"/>
                    <w:jc w:val="right"/>
                    <w:jc w:val="center"/>
                  </w:pPr>
                  <w:r>
                    <w:t xml:space="preserve">5.006 ***</w:t>
                  </w:r>
                </w:p>
              </w:tc>
              <w:tc>
                <w:tcPr/>
                <w:p>
                  <w:pPr>
                    <w:pStyle w:val="Compact"/>
                    <w:jc w:val="left"/>
                    <w:jc w:val="center"/>
                  </w:pPr>
                  <w:r>
                    <w:t xml:space="preserve">579.97</w:t>
                  </w:r>
                </w:p>
              </w:tc>
              <w:tc>
                <w:tcPr/>
                <w:p>
                  <w:pPr>
                    <w:pStyle w:val="Compact"/>
                    <w:jc w:val="right"/>
                    <w:jc w:val="center"/>
                  </w:pPr>
                  <w:r>
                    <w:t xml:space="preserve">4.412 ***</w:t>
                  </w:r>
                </w:p>
              </w:tc>
              <w:tc>
                <w:tcPr/>
                <w:p>
                  <w:pPr>
                    <w:pStyle w:val="Compact"/>
                    <w:jc w:val="left"/>
                    <w:jc w:val="center"/>
                  </w:pPr>
                  <w:r>
                    <w:t xml:space="preserve">345.92</w:t>
                  </w:r>
                </w:p>
              </w:tc>
              <w:tc>
                <w:tcPr/>
                <w:p>
                  <w:pPr>
                    <w:pStyle w:val="Compact"/>
                    <w:jc w:val="right"/>
                    <w:jc w:val="center"/>
                  </w:pPr>
                  <w:r>
                    <w:t xml:space="preserve">4.304 ***</w:t>
                  </w:r>
                </w:p>
              </w:tc>
              <w:tc>
                <w:tcPr/>
                <w:p>
                  <w:pPr>
                    <w:pStyle w:val="Compact"/>
                    <w:jc w:val="left"/>
                    <w:jc w:val="center"/>
                  </w:pPr>
                  <w:r>
                    <w:t xml:space="preserve">263.27</w:t>
                  </w:r>
                </w:p>
              </w:tc>
              <w:tc>
                <w:tcPr/>
                <w:p>
                  <w:pPr>
                    <w:pStyle w:val="Compact"/>
                    <w:jc w:val="right"/>
                    <w:jc w:val="center"/>
                  </w:pPr>
                  <w:r>
                    <w:t xml:space="preserve">4.261 ***</w:t>
                  </w:r>
                </w:p>
              </w:tc>
              <w:tc>
                <w:tcPr/>
                <w:p>
                  <w:pPr>
                    <w:pStyle w:val="Compact"/>
                    <w:jc w:val="left"/>
                    <w:jc w:val="center"/>
                  </w:pPr>
                  <w:r>
                    <w:t xml:space="preserve">114.98</w:t>
                  </w:r>
                </w:p>
              </w:tc>
            </w:tr>
            <w:tr>
              <w:tc>
                <w:tcPr/>
                <w:p>
                  <w:pPr>
                    <w:pStyle w:val="Compact"/>
                    <w:jc w:val="left"/>
                    <w:jc w:val="center"/>
                  </w:pPr>
                  <w:r>
                    <w:t xml:space="preserve">log(% FSM)</w:t>
                  </w:r>
                </w:p>
              </w:tc>
              <w:tc>
                <w:tcPr/>
                <w:p>
                  <w:pPr>
                    <w:pStyle w:val="Compact"/>
                    <w:jc w:val="right"/>
                    <w:jc w:val="center"/>
                  </w:pPr>
                  <w:r>
                    <w:t xml:space="preserve">-0.201 ***</w:t>
                  </w:r>
                </w:p>
              </w:tc>
              <w:tc>
                <w:tcPr/>
                <w:p>
                  <w:pPr>
                    <w:pStyle w:val="Compact"/>
                    <w:jc w:val="left"/>
                    <w:jc w:val="center"/>
                  </w:pPr>
                  <w:r>
                    <w:t xml:space="preserve">-88.94</w:t>
                  </w:r>
                </w:p>
              </w:tc>
              <w:tc>
                <w:tcPr/>
                <w:p>
                  <w:pPr>
                    <w:pStyle w:val="Compact"/>
                    <w:jc w:val="right"/>
                    <w:jc w:val="center"/>
                  </w:pPr>
                  <w:r>
                    <w:t xml:space="preserve">-0.122 ***</w:t>
                  </w:r>
                </w:p>
              </w:tc>
              <w:tc>
                <w:tcPr/>
                <w:p>
                  <w:pPr>
                    <w:pStyle w:val="Compact"/>
                    <w:jc w:val="left"/>
                    <w:jc w:val="center"/>
                  </w:pPr>
                  <w:r>
                    <w:t xml:space="preserve">-59.66</w:t>
                  </w:r>
                </w:p>
              </w:tc>
              <w:tc>
                <w:tcPr/>
                <w:p>
                  <w:pPr>
                    <w:pStyle w:val="Compact"/>
                    <w:jc w:val="right"/>
                    <w:jc w:val="center"/>
                  </w:pPr>
                  <w:r>
                    <w:t xml:space="preserve">-0.047 ***</w:t>
                  </w:r>
                </w:p>
              </w:tc>
              <w:tc>
                <w:tcPr/>
                <w:p>
                  <w:pPr>
                    <w:pStyle w:val="Compact"/>
                    <w:jc w:val="left"/>
                    <w:jc w:val="center"/>
                  </w:pPr>
                  <w:r>
                    <w:t xml:space="preserve">-21.04</w:t>
                  </w:r>
                </w:p>
              </w:tc>
              <w:tc>
                <w:tcPr/>
                <w:p>
                  <w:pPr>
                    <w:pStyle w:val="Compact"/>
                    <w:jc w:val="right"/>
                    <w:jc w:val="center"/>
                  </w:pPr>
                  <w:r>
                    <w:t xml:space="preserve">-0.054 ***</w:t>
                  </w:r>
                </w:p>
              </w:tc>
              <w:tc>
                <w:tcPr/>
                <w:p>
                  <w:pPr>
                    <w:pStyle w:val="Compact"/>
                    <w:jc w:val="left"/>
                    <w:jc w:val="center"/>
                  </w:pPr>
                  <w:r>
                    <w:t xml:space="preserve">-21.47</w:t>
                  </w:r>
                </w:p>
              </w:tc>
              <w:tc>
                <w:tcPr/>
                <w:p>
                  <w:pPr>
                    <w:pStyle w:val="Compact"/>
                    <w:jc w:val="right"/>
                    <w:jc w:val="center"/>
                  </w:pPr>
                  <w:r>
                    <w:t xml:space="preserve">-0.050 ***</w:t>
                  </w:r>
                </w:p>
              </w:tc>
              <w:tc>
                <w:tcPr/>
                <w:p>
                  <w:pPr>
                    <w:pStyle w:val="Compact"/>
                    <w:jc w:val="left"/>
                    <w:jc w:val="center"/>
                  </w:pPr>
                  <w:r>
                    <w:t xml:space="preserve">-18.18</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 ***</w:t>
                  </w:r>
                </w:p>
              </w:tc>
              <w:tc>
                <w:tcPr/>
                <w:p>
                  <w:pPr>
                    <w:pStyle w:val="Compact"/>
                    <w:jc w:val="left"/>
                    <w:jc w:val="center"/>
                  </w:pPr>
                  <w:r>
                    <w:t xml:space="preserve">-82.87</w:t>
                  </w:r>
                </w:p>
              </w:tc>
              <w:tc>
                <w:tcPr/>
                <w:p>
                  <w:pPr>
                    <w:pStyle w:val="Compact"/>
                    <w:jc w:val="right"/>
                    <w:jc w:val="center"/>
                  </w:pPr>
                  <w:r>
                    <w:t xml:space="preserve">-0.259 ***</w:t>
                  </w:r>
                </w:p>
              </w:tc>
              <w:tc>
                <w:tcPr/>
                <w:p>
                  <w:pPr>
                    <w:pStyle w:val="Compact"/>
                    <w:jc w:val="left"/>
                    <w:jc w:val="center"/>
                  </w:pPr>
                  <w:r>
                    <w:t xml:space="preserve">-60.47</w:t>
                  </w:r>
                </w:p>
              </w:tc>
              <w:tc>
                <w:tcPr/>
                <w:p>
                  <w:pPr>
                    <w:pStyle w:val="Compact"/>
                    <w:jc w:val="right"/>
                    <w:jc w:val="center"/>
                  </w:pPr>
                  <w:r>
                    <w:t xml:space="preserve">-0.229 ***</w:t>
                  </w:r>
                </w:p>
              </w:tc>
              <w:tc>
                <w:tcPr/>
                <w:p>
                  <w:pPr>
                    <w:pStyle w:val="Compact"/>
                    <w:jc w:val="left"/>
                    <w:jc w:val="center"/>
                  </w:pPr>
                  <w:r>
                    <w:t xml:space="preserve">-49.98</w:t>
                  </w:r>
                </w:p>
              </w:tc>
              <w:tc>
                <w:tcPr/>
                <w:p>
                  <w:pPr>
                    <w:pStyle w:val="Compact"/>
                    <w:jc w:val="right"/>
                    <w:jc w:val="center"/>
                  </w:pPr>
                  <w:r>
                    <w:t xml:space="preserve">-0.207 ***</w:t>
                  </w:r>
                </w:p>
              </w:tc>
              <w:tc>
                <w:tcPr/>
                <w:p>
                  <w:pPr>
                    <w:pStyle w:val="Compact"/>
                    <w:jc w:val="left"/>
                    <w:jc w:val="center"/>
                  </w:pPr>
                  <w:r>
                    <w:t xml:space="preserve">-45.74</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0.013 ***</w:t>
                  </w:r>
                </w:p>
              </w:tc>
              <w:tc>
                <w:tcPr/>
                <w:p>
                  <w:pPr>
                    <w:pStyle w:val="Compact"/>
                    <w:jc w:val="left"/>
                    <w:jc w:val="center"/>
                  </w:pPr>
                  <w:r>
                    <w:t xml:space="preserve">12.83</w:t>
                  </w:r>
                </w:p>
              </w:tc>
              <w:tc>
                <w:tcPr/>
                <w:p>
                  <w:pPr>
                    <w:pStyle w:val="Compact"/>
                    <w:jc w:val="right"/>
                    <w:jc w:val="center"/>
                  </w:pPr>
                  <w:r>
                    <w:t xml:space="preserve">0.007 ***</w:t>
                  </w:r>
                </w:p>
              </w:tc>
              <w:tc>
                <w:tcPr/>
                <w:p>
                  <w:pPr>
                    <w:pStyle w:val="Compact"/>
                    <w:jc w:val="left"/>
                    <w:jc w:val="center"/>
                  </w:pPr>
                  <w:r>
                    <w:t xml:space="preserve">6.09</w:t>
                  </w:r>
                </w:p>
              </w:tc>
            </w:tr>
            <w:tr>
              <w:tc>
                <w:tcPr/>
                <w:p>
                  <w:pPr>
                    <w:pStyle w:val="Compact"/>
                    <w:jc w:val="left"/>
                    <w:jc w:val="center"/>
                  </w:pPr>
                  <w:r>
                    <w:t xml:space="preserve">Mean KS2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0.031 ***</w:t>
                  </w:r>
                </w:p>
              </w:tc>
              <w:tc>
                <w:tcPr/>
                <w:p>
                  <w:pPr>
                    <w:pStyle w:val="Compact"/>
                    <w:jc w:val="left"/>
                    <w:jc w:val="center"/>
                  </w:pPr>
                  <w:r>
                    <w:t xml:space="preserve">58.18</w:t>
                  </w:r>
                </w:p>
              </w:tc>
              <w:tc>
                <w:tcPr/>
                <w:p>
                  <w:pPr>
                    <w:pStyle w:val="Compact"/>
                    <w:jc w:val="right"/>
                    <w:jc w:val="center"/>
                  </w:pPr>
                  <w:r>
                    <w:t xml:space="preserve">0.030 ***</w:t>
                  </w:r>
                </w:p>
              </w:tc>
              <w:tc>
                <w:tcPr/>
                <w:p>
                  <w:pPr>
                    <w:pStyle w:val="Compact"/>
                    <w:jc w:val="left"/>
                    <w:jc w:val="center"/>
                  </w:pPr>
                  <w:r>
                    <w:t xml:space="preserve">46.70</w:t>
                  </w:r>
                </w:p>
              </w:tc>
              <w:tc>
                <w:tcPr/>
                <w:p>
                  <w:pPr>
                    <w:pStyle w:val="Compact"/>
                    <w:jc w:val="right"/>
                    <w:jc w:val="center"/>
                  </w:pPr>
                  <w:r>
                    <w:t xml:space="preserve">0.032 ***</w:t>
                  </w:r>
                </w:p>
              </w:tc>
              <w:tc>
                <w:tcPr/>
                <w:p>
                  <w:pPr>
                    <w:pStyle w:val="Compact"/>
                    <w:jc w:val="left"/>
                    <w:jc w:val="center"/>
                  </w:pPr>
                  <w:r>
                    <w:t xml:space="preserve">48.46</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0.039 ***</w:t>
                  </w:r>
                </w:p>
              </w:tc>
              <w:tc>
                <w:tcPr/>
                <w:p>
                  <w:pPr>
                    <w:pStyle w:val="Compact"/>
                    <w:jc w:val="left"/>
                    <w:jc w:val="center"/>
                  </w:pPr>
                  <w:r>
                    <w:t xml:space="preserve">8.73</w:t>
                  </w:r>
                </w:p>
              </w:tc>
              <w:tc>
                <w:tcPr/>
                <w:p>
                  <w:pPr>
                    <w:pStyle w:val="Compact"/>
                    <w:jc w:val="right"/>
                    <w:jc w:val="center"/>
                  </w:pPr>
                  <w:r>
                    <w:t xml:space="preserve">0.028 ***</w:t>
                  </w:r>
                </w:p>
              </w:tc>
              <w:tc>
                <w:tcPr/>
                <w:p>
                  <w:pPr>
                    <w:pStyle w:val="Compact"/>
                    <w:jc w:val="left"/>
                    <w:jc w:val="center"/>
                  </w:pPr>
                  <w:r>
                    <w:t xml:space="preserve">4.06</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0.019 *</w:t>
                  </w:r>
                </w:p>
              </w:tc>
              <w:tc>
                <w:tcPr/>
                <w:p>
                  <w:pPr>
                    <w:pStyle w:val="Compact"/>
                    <w:jc w:val="left"/>
                    <w:jc w:val="center"/>
                  </w:pPr>
                  <w:r>
                    <w:t xml:space="preserve">2.44</w:t>
                  </w:r>
                </w:p>
              </w:tc>
              <w:tc>
                <w:tcPr/>
                <w:p>
                  <w:pPr>
                    <w:pStyle w:val="Compact"/>
                    <w:jc w:val="right"/>
                    <w:jc w:val="center"/>
                  </w:pPr>
                  <w:r>
                    <w:t xml:space="preserve">-0.004</w:t>
                  </w:r>
                </w:p>
              </w:tc>
              <w:tc>
                <w:tcPr/>
                <w:p>
                  <w:pPr>
                    <w:pStyle w:val="Compact"/>
                    <w:jc w:val="left"/>
                    <w:jc w:val="center"/>
                  </w:pPr>
                  <w:r>
                    <w:t xml:space="preserve">-0.55</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0.075 **</w:t>
                  </w:r>
                </w:p>
              </w:tc>
              <w:tc>
                <w:tcPr/>
                <w:p>
                  <w:pPr>
                    <w:pStyle w:val="Compact"/>
                    <w:jc w:val="left"/>
                    <w:jc w:val="center"/>
                  </w:pPr>
                  <w:r>
                    <w:t xml:space="preserve">2.84</w:t>
                  </w:r>
                </w:p>
              </w:tc>
              <w:tc>
                <w:tcPr/>
                <w:p>
                  <w:pPr>
                    <w:pStyle w:val="Compact"/>
                    <w:jc w:val="right"/>
                    <w:jc w:val="center"/>
                  </w:pPr>
                  <w:r>
                    <w:t xml:space="preserve">0.026</w:t>
                  </w:r>
                </w:p>
              </w:tc>
              <w:tc>
                <w:tcPr/>
                <w:p>
                  <w:pPr>
                    <w:pStyle w:val="Compact"/>
                    <w:jc w:val="left"/>
                    <w:jc w:val="center"/>
                  </w:pPr>
                  <w:r>
                    <w:t xml:space="preserve">0.58</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 ***</w:t>
                  </w:r>
                </w:p>
              </w:tc>
              <w:tc>
                <w:tcPr/>
                <w:p>
                  <w:pPr>
                    <w:pStyle w:val="Compact"/>
                    <w:jc w:val="left"/>
                    <w:jc w:val="center"/>
                  </w:pPr>
                  <w:r>
                    <w:t xml:space="preserve">11.66</w:t>
                  </w:r>
                </w:p>
              </w:tc>
              <w:tc>
                <w:tcPr/>
                <w:p>
                  <w:pPr>
                    <w:pStyle w:val="Compact"/>
                    <w:jc w:val="right"/>
                    <w:jc w:val="center"/>
                  </w:pPr>
                  <w:r>
                    <w:t xml:space="preserve">0.000 ***</w:t>
                  </w:r>
                </w:p>
              </w:tc>
              <w:tc>
                <w:tcPr/>
                <w:p>
                  <w:pPr>
                    <w:pStyle w:val="Compact"/>
                    <w:jc w:val="left"/>
                    <w:jc w:val="center"/>
                  </w:pPr>
                  <w:r>
                    <w:t xml:space="preserve">8.99</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 ***</w:t>
                  </w:r>
                </w:p>
              </w:tc>
              <w:tc>
                <w:tcPr/>
                <w:p>
                  <w:pPr>
                    <w:pStyle w:val="Compact"/>
                    <w:jc w:val="left"/>
                    <w:jc w:val="center"/>
                  </w:pPr>
                  <w:r>
                    <w:t xml:space="preserve">-5.45</w:t>
                  </w:r>
                </w:p>
              </w:tc>
              <w:tc>
                <w:tcPr/>
                <w:p>
                  <w:pPr>
                    <w:pStyle w:val="Compact"/>
                    <w:jc w:val="right"/>
                    <w:jc w:val="center"/>
                  </w:pPr>
                  <w:r>
                    <w:t xml:space="preserve">-0.001 ***</w:t>
                  </w:r>
                </w:p>
              </w:tc>
              <w:tc>
                <w:tcPr/>
                <w:p>
                  <w:pPr>
                    <w:pStyle w:val="Compact"/>
                    <w:jc w:val="left"/>
                    <w:jc w:val="center"/>
                  </w:pPr>
                  <w:r>
                    <w:t xml:space="preserve">-4.52</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-0.013 ***</w:t>
                  </w:r>
                </w:p>
              </w:tc>
              <w:tc>
                <w:tcPr/>
                <w:p>
                  <w:pPr>
                    <w:pStyle w:val="Compact"/>
                    <w:jc w:val="left"/>
                    <w:jc w:val="center"/>
                  </w:pPr>
                  <w:r>
                    <w:t xml:space="preserve">-5.20</w:t>
                  </w:r>
                </w:p>
              </w:tc>
              <w:tc>
                <w:tcPr/>
                <w:p>
                  <w:pPr>
                    <w:pStyle w:val="Compact"/>
                    <w:jc w:val="right"/>
                    <w:jc w:val="center"/>
                  </w:pPr>
                  <w:r>
                    <w:t xml:space="preserve">-0.013 ***</w:t>
                  </w:r>
                </w:p>
              </w:tc>
              <w:tc>
                <w:tcPr/>
                <w:p>
                  <w:pPr>
                    <w:pStyle w:val="Compact"/>
                    <w:jc w:val="left"/>
                    <w:jc w:val="center"/>
                  </w:pPr>
                  <w:r>
                    <w:t xml:space="preserve">-5.69</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0.026</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0.045</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0.045</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0.092</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0.696</w:t>
                  </w:r>
                </w:p>
              </w:tc>
              <w:tc>
                <w:tcPr/>
                <w:p>
                  <w:pPr>
                    <w:pStyle w:val="Compact"/>
                  </w:pPr>
                </w:p>
              </w:tc>
              <w:tc>
                <w:tcPr/>
                <w:p>
                  <w:pPr>
                    <w:pStyle w:val="Compact"/>
                    <w:jc w:val="right"/>
                    <w:jc w:val="center"/>
                  </w:pPr>
                  <w:r>
                    <w:t xml:space="preserve">0.709</w:t>
                  </w:r>
                </w:p>
              </w:tc>
              <w:tc>
                <w:tcPr/>
                <w:p>
                  <w:pPr>
                    <w:pStyle w:val="Compact"/>
                  </w:pPr>
                </w:p>
              </w:tc>
              <w:tc>
                <w:tcPr/>
                <w:p>
                  <w:pPr>
                    <w:pStyle w:val="Compact"/>
                    <w:jc w:val="right"/>
                    <w:jc w:val="center"/>
                  </w:pPr>
                  <w:r>
                    <w:t xml:space="preserve">0.651</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0.779</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1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6" w:name="fig-standardised-coefficients"/>
          <w:p>
            <w:pPr>
              <w:pStyle w:val="Compact"/>
              <w:jc w:val="center"/>
            </w:pPr>
            <w:r>
              <w:drawing>
                <wp:inline>
                  <wp:extent cx="5943600" cy="3133898"/>
                  <wp:effectExtent b="0" l="0" r="0" t="0"/>
                  <wp:docPr descr="" title="" id="194" name="Picture"/>
                  <a:graphic>
                    <a:graphicData uri="http://schemas.openxmlformats.org/drawingml/2006/picture">
                      <pic:pic>
                        <pic:nvPicPr>
                          <pic:cNvPr descr="RPE_Paper_files/figure-docx/fig-standardised-coefficients-1.png" id="195" name="Picture"/>
                          <pic:cNvPicPr>
                            <a:picLocks noChangeArrowheads="1" noChangeAspect="1"/>
                          </pic:cNvPicPr>
                        </pic:nvPicPr>
                        <pic:blipFill>
                          <a:blip r:embed="rId193"/>
                          <a:stretch>
                            <a:fillRect/>
                          </a:stretch>
                        </pic:blipFill>
                        <pic:spPr bwMode="auto">
                          <a:xfrm>
                            <a:off x="0" y="0"/>
                            <a:ext cx="5943600" cy="313389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Relative importance of each predictor of school-level Attainment 8, by pupil group. The left panel gives the standardised coefficient from the multilevel model, which carries the direction of each association but only its unique contribution. The right panel gives the Shapley share of explained variance, which apportions the variance predictors share but has no sign. Predictors are ordered by Shapley share for all pupils. The two measures answer different questions - one about unique contribution, the other about total contribution with the shared variance divided between predictors - but they agree on the leading pair in every pupil group: mean KS2 prior attainment leads for all pupils and for non-disadvantaged pupils, and overall absence leads for disadvantaged pupils. Disadvantage concentration ranks third on both panels for all pupils and for non-disadvantaged pupils, and fifth for disadvantaged pupils.</w:t>
            </w:r>
          </w:p>
          <w:bookmarkEnd w:id="19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0" w:name="fig-catchments"/>
          <w:p>
            <w:pPr>
              <w:pStyle w:val="Compact"/>
              <w:jc w:val="center"/>
            </w:pPr>
            <w:r>
              <w:drawing>
                <wp:inline>
                  <wp:extent cx="5943600" cy="5094514"/>
                  <wp:effectExtent b="0" l="0" r="0" t="0"/>
                  <wp:docPr descr="" title="" id="198" name="Picture"/>
                  <a:graphic>
                    <a:graphicData uri="http://schemas.openxmlformats.org/drawingml/2006/picture">
                      <pic:pic>
                        <pic:nvPicPr>
                          <pic:cNvPr descr="RPE_Paper_files/figure-docx/fig-catchments-1.png" id="199" name="Picture"/>
                          <pic:cNvPicPr>
                            <a:picLocks noChangeArrowheads="1" noChangeAspect="1"/>
                          </pic:cNvPicPr>
                        </pic:nvPicPr>
                        <pic:blipFill>
                          <a:blip r:embed="rId197"/>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20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4" w:name="fig-caterpillar"/>
          <w:p>
            <w:pPr>
              <w:pStyle w:val="Compact"/>
              <w:jc w:val="center"/>
            </w:pPr>
            <w:r>
              <w:drawing>
                <wp:inline>
                  <wp:extent cx="5943600" cy="5094514"/>
                  <wp:effectExtent b="0" l="0" r="0" t="0"/>
                  <wp:docPr descr="" title="" id="202" name="Picture"/>
                  <a:graphic>
                    <a:graphicData uri="http://schemas.openxmlformats.org/drawingml/2006/picture">
                      <pic:pic>
                        <pic:nvPicPr>
                          <pic:cNvPr descr="RPE_Paper_files/figure-docx/fig-caterpillar-1.png" id="203" name="Picture"/>
                          <pic:cNvPicPr>
                            <a:picLocks noChangeArrowheads="1" noChangeAspect="1"/>
                          </pic:cNvPicPr>
                        </pic:nvPicPr>
                        <pic:blipFill>
                          <a:blip r:embed="rId201"/>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20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5" w:name="tbl-la-absence"/>
          <w:p>
            <w:pPr>
              <w:jc w:val="center"/>
            </w:pPr>
            <w:pPr>
              <w:jc w:val="left"/>
              <w:spacing w:before="200"/>
              <w:pStyle w:val="ImageCaption"/>
            </w:pPr>
            <w:r>
              <w:t xml:space="preserve">Table 2: Brighton and Hove’s local-authority effect for disadvantaged-pupil attainment, with and without a control for school absence. The intake-predicted specification controls only for the part of absence that intake predicts, leaving the city’s excess absence in the residual.</w:t>
            </w:r>
          </w:p>
          <w:tbl>
            <w:tblPr>
              <w:tblStyle w:val="Table"/>
              <w:tblW w:type="pct" w:w="5000"/>
              <w:tblLayout w:type="fixed"/>
              <w:tblLook w:firstRow="1" w:lastRow="0" w:firstColumn="0" w:lastColumn="0" w:noHBand="0" w:noVBand="0" w:val="0020"/>
            </w:tblPr>
            <w:tblGrid>
              <w:gridCol w:w="3203"/>
              <w:gridCol w:w="978"/>
              <w:gridCol w:w="1423"/>
              <w:gridCol w:w="1512"/>
              <w:gridCol w:w="800"/>
            </w:tblGrid>
            <w:tr>
              <w:trPr>
                <w:tblHeader w:val="on"/>
              </w:trPr>
              <w:tc>
                <w:tcPr/>
                <w:p>
                  <w:pPr>
                    <w:pStyle w:val="Compact"/>
                    <w:jc w:val="left"/>
                    <w:jc w:val="center"/>
                  </w:pPr>
                  <w:r>
                    <w:t xml:space="preserve">Specification</w:t>
                  </w:r>
                </w:p>
              </w:tc>
              <w:tc>
                <w:tcPr/>
                <w:p>
                  <w:pPr>
                    <w:pStyle w:val="Compact"/>
                    <w:jc w:val="right"/>
                    <w:jc w:val="center"/>
                  </w:pPr>
                  <w:r>
                    <w:t xml:space="preserve">B&amp;H effect</w:t>
                  </w:r>
                </w:p>
              </w:tc>
              <w:tc>
                <w:tcPr/>
                <w:p>
                  <w:pPr>
                    <w:pStyle w:val="Compact"/>
                    <w:jc w:val="right"/>
                    <w:jc w:val="center"/>
                  </w:pPr>
                  <w:r>
                    <w:t xml:space="preserve">95% CI</w:t>
                  </w:r>
                </w:p>
              </w:tc>
              <w:tc>
                <w:tcPr/>
                <w:p>
                  <w:pPr>
                    <w:pStyle w:val="Compact"/>
                    <w:jc w:val="left"/>
                    <w:jc w:val="center"/>
                  </w:pPr>
                  <w:r>
                    <w:t xml:space="preserve">Rank</w:t>
                  </w:r>
                </w:p>
              </w:tc>
              <w:tc>
                <w:tcPr/>
                <w:p>
                  <w:pPr>
                    <w:pStyle w:val="Compact"/>
                    <w:jc w:val="right"/>
                    <w:jc w:val="center"/>
                  </w:pPr>
                  <w:r>
                    <w:t xml:space="preserve">ATT8 pts</w:t>
                  </w:r>
                </w:p>
              </w:tc>
            </w:tr>
            <w:tr>
              <w:tc>
                <w:tcPr/>
                <w:p>
                  <w:pPr>
                    <w:pStyle w:val="Compact"/>
                    <w:jc w:val="left"/>
                    <w:jc w:val="center"/>
                  </w:pPr>
                  <w:r>
                    <w:t xml:space="preserve">No absence control</w:t>
                  </w:r>
                </w:p>
              </w:tc>
              <w:tc>
                <w:tcPr/>
                <w:p>
                  <w:pPr>
                    <w:pStyle w:val="Compact"/>
                    <w:jc w:val="right"/>
                    <w:jc w:val="center"/>
                  </w:pPr>
                  <w:r>
                    <w:t xml:space="preserve">+0.006</w:t>
                  </w:r>
                </w:p>
              </w:tc>
              <w:tc>
                <w:tcPr/>
                <w:p>
                  <w:pPr>
                    <w:pStyle w:val="Compact"/>
                    <w:jc w:val="right"/>
                    <w:jc w:val="center"/>
                  </w:pPr>
                  <w:r>
                    <w:t xml:space="preserve">-0.034 to 0.046</w:t>
                  </w:r>
                </w:p>
              </w:tc>
              <w:tc>
                <w:tcPr/>
                <w:p>
                  <w:pPr>
                    <w:pStyle w:val="Compact"/>
                    <w:jc w:val="left"/>
                    <w:jc w:val="center"/>
                  </w:pPr>
                  <w:r>
                    <w:t xml:space="preserve">69 of 151 (n.s.)</w:t>
                  </w:r>
                </w:p>
              </w:tc>
              <w:tc>
                <w:tcPr/>
                <w:p>
                  <w:pPr>
                    <w:pStyle w:val="Compact"/>
                    <w:jc w:val="right"/>
                    <w:jc w:val="center"/>
                  </w:pPr>
                  <w:r>
                    <w:t xml:space="preserve">+0.2</w:t>
                  </w:r>
                </w:p>
              </w:tc>
            </w:tr>
            <w:tr>
              <w:tc>
                <w:tcPr/>
                <w:p>
                  <w:pPr>
                    <w:pStyle w:val="Compact"/>
                    <w:jc w:val="left"/>
                    <w:jc w:val="center"/>
                  </w:pPr>
                  <w:r>
                    <w:t xml:space="preserve">Absence controlled (main model)</w:t>
                  </w:r>
                </w:p>
              </w:tc>
              <w:tc>
                <w:tcPr/>
                <w:p>
                  <w:pPr>
                    <w:pStyle w:val="Compact"/>
                    <w:jc w:val="right"/>
                    <w:jc w:val="center"/>
                  </w:pPr>
                  <w:r>
                    <w:t xml:space="preserve">+0.041</w:t>
                  </w:r>
                </w:p>
              </w:tc>
              <w:tc>
                <w:tcPr/>
                <w:p>
                  <w:pPr>
                    <w:pStyle w:val="Compact"/>
                    <w:jc w:val="right"/>
                    <w:jc w:val="center"/>
                  </w:pPr>
                  <w:r>
                    <w:t xml:space="preserve">0.006 to 0.076</w:t>
                  </w:r>
                </w:p>
              </w:tc>
              <w:tc>
                <w:tcPr/>
                <w:p>
                  <w:pPr>
                    <w:pStyle w:val="Compact"/>
                    <w:jc w:val="left"/>
                    <w:jc w:val="center"/>
                  </w:pPr>
                  <w:r>
                    <w:t xml:space="preserve">15 of 151</w:t>
                  </w:r>
                </w:p>
              </w:tc>
              <w:tc>
                <w:tcPr/>
                <w:p>
                  <w:pPr>
                    <w:pStyle w:val="Compact"/>
                    <w:jc w:val="right"/>
                    <w:jc w:val="center"/>
                  </w:pPr>
                  <w:r>
                    <w:t xml:space="preserve">+1.6</w:t>
                  </w:r>
                </w:p>
              </w:tc>
            </w:tr>
            <w:tr>
              <w:tc>
                <w:tcPr/>
                <w:p>
                  <w:pPr>
                    <w:pStyle w:val="Compact"/>
                    <w:jc w:val="left"/>
                    <w:jc w:val="center"/>
                  </w:pPr>
                  <w:r>
                    <w:t xml:space="preserve">Intake-predicted absence controlled</w:t>
                  </w:r>
                </w:p>
              </w:tc>
              <w:tc>
                <w:tcPr/>
                <w:p>
                  <w:pPr>
                    <w:pStyle w:val="Compact"/>
                    <w:jc w:val="right"/>
                    <w:jc w:val="center"/>
                  </w:pPr>
                  <w:r>
                    <w:t xml:space="preserve">+0.005</w:t>
                  </w:r>
                </w:p>
              </w:tc>
              <w:tc>
                <w:tcPr/>
                <w:p>
                  <w:pPr>
                    <w:pStyle w:val="Compact"/>
                    <w:jc w:val="right"/>
                    <w:jc w:val="center"/>
                  </w:pPr>
                  <w:r>
                    <w:t xml:space="preserve">-0.035 to 0.044</w:t>
                  </w:r>
                </w:p>
              </w:tc>
              <w:tc>
                <w:tcPr/>
                <w:p>
                  <w:pPr>
                    <w:pStyle w:val="Compact"/>
                    <w:jc w:val="left"/>
                    <w:jc w:val="center"/>
                  </w:pPr>
                  <w:r>
                    <w:t xml:space="preserve">71 of 151 (n.s.)</w:t>
                  </w:r>
                </w:p>
              </w:tc>
              <w:tc>
                <w:tcPr/>
                <w:p>
                  <w:pPr>
                    <w:pStyle w:val="Compact"/>
                    <w:jc w:val="right"/>
                    <w:jc w:val="center"/>
                  </w:pPr>
                  <w:r>
                    <w:t xml:space="preserve">+0.2</w:t>
                  </w:r>
                </w:p>
              </w:tc>
            </w:tr>
          </w:tbl>
          <w:bookmarkEnd w:id="2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9" w:name="fig-accelerating-returns"/>
          <w:p>
            <w:pPr>
              <w:pStyle w:val="Compact"/>
              <w:jc w:val="center"/>
            </w:pPr>
            <w:r>
              <w:drawing>
                <wp:inline>
                  <wp:extent cx="5943600" cy="3820885"/>
                  <wp:effectExtent b="0" l="0" r="0" t="0"/>
                  <wp:docPr descr="" title="" id="207" name="Picture"/>
                  <a:graphic>
                    <a:graphicData uri="http://schemas.openxmlformats.org/drawingml/2006/picture">
                      <pic:pic>
                        <pic:nvPicPr>
                          <pic:cNvPr descr="RPE_Paper_files/figure-docx/fig-accelerating-returns-1.png" id="208" name="Picture"/>
                          <pic:cNvPicPr>
                            <a:picLocks noChangeArrowheads="1" noChangeAspect="1"/>
                          </pic:cNvPicPr>
                        </pic:nvPicPr>
                        <pic:blipFill>
                          <a:blip r:embed="rId206"/>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2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fig-obs-vs-pred"/>
          <w:p>
            <w:pPr>
              <w:pStyle w:val="Compact"/>
              <w:jc w:val="center"/>
            </w:pPr>
            <w:r>
              <w:drawing>
                <wp:inline>
                  <wp:extent cx="5943600" cy="7641771"/>
                  <wp:effectExtent b="0" l="0" r="0" t="0"/>
                  <wp:docPr descr="" title="" id="211" name="Picture"/>
                  <a:graphic>
                    <a:graphicData uri="http://schemas.openxmlformats.org/drawingml/2006/picture">
                      <pic:pic>
                        <pic:nvPicPr>
                          <pic:cNvPr descr="RPE_Paper_files/figure-docx/fig-obs-vs-pred-1.png" id="212" name="Picture"/>
                          <pic:cNvPicPr>
                            <a:picLocks noChangeArrowheads="1" noChangeAspect="1"/>
                          </pic:cNvPicPr>
                        </pic:nvPicPr>
                        <pic:blipFill>
                          <a:blip r:embed="rId210"/>
                          <a:stretch>
                            <a:fillRect/>
                          </a:stretch>
                        </pic:blipFill>
                        <pic:spPr bwMode="auto">
                          <a:xfrm>
                            <a:off x="0" y="0"/>
                            <a:ext cx="5943600" cy="764177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2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fig-quadrant"/>
          <w:p>
            <w:pPr>
              <w:pStyle w:val="Compact"/>
              <w:jc w:val="center"/>
            </w:pPr>
            <w:r>
              <w:drawing>
                <wp:inline>
                  <wp:extent cx="5943600" cy="4245428"/>
                  <wp:effectExtent b="0" l="0" r="0" t="0"/>
                  <wp:docPr descr="" title="" id="215" name="Picture"/>
                  <a:graphic>
                    <a:graphicData uri="http://schemas.openxmlformats.org/drawingml/2006/picture">
                      <pic:pic>
                        <pic:nvPicPr>
                          <pic:cNvPr descr="RPE_Paper_files/figure-docx/fig-quadrant-1.png" id="216" name="Picture"/>
                          <pic:cNvPicPr>
                            <a:picLocks noChangeArrowheads="1" noChangeAspect="1"/>
                          </pic:cNvPicPr>
                        </pic:nvPicPr>
                        <pic:blipFill>
                          <a:blip r:embed="rId214"/>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bookmarkEnd w:id="2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8" w:name="tbl-league"/>
          <w:p>
            <w:pPr>
              <w:jc w:val="center"/>
            </w:pPr>
            <w:pPr>
              <w:jc w:val="left"/>
              <w:spacing w:before="200"/>
              <w:pStyle w:val="ImageCaption"/>
            </w:pPr>
            <w:r>
              <w:t xml:space="preserve">Table 3: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+2.2</w:t>
                  </w:r>
                </w:p>
              </w:tc>
              <w:tc>
                <w:tcPr/>
                <w:p>
                  <w:pPr>
                    <w:pStyle w:val="Compact"/>
                    <w:jc w:val="right"/>
                    <w:jc w:val="center"/>
                  </w:pPr>
                  <w:r>
                    <w:t xml:space="preserve">+4.8</w:t>
                  </w:r>
                </w:p>
              </w:tc>
              <w:tc>
                <w:tcPr/>
                <w:p>
                  <w:pPr>
                    <w:pStyle w:val="Compact"/>
                    <w:jc w:val="right"/>
                    <w:jc w:val="center"/>
                  </w:pPr>
                  <w:r>
                    <w:t xml:space="preserve">+3.1</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+2.7</w:t>
                  </w:r>
                </w:p>
              </w:tc>
              <w:tc>
                <w:tcPr/>
                <w:p>
                  <w:pPr>
                    <w:pStyle w:val="Compact"/>
                    <w:jc w:val="right"/>
                    <w:jc w:val="center"/>
                  </w:pPr>
                  <w:r>
                    <w:t xml:space="preserve">+2.6</w:t>
                  </w:r>
                </w:p>
              </w:tc>
              <w:tc>
                <w:tcPr/>
                <w:p>
                  <w:pPr>
                    <w:pStyle w:val="Compact"/>
                    <w:jc w:val="right"/>
                    <w:jc w:val="center"/>
                  </w:pPr>
                  <w:r>
                    <w:t xml:space="preserve">+5.3</w:t>
                  </w:r>
                </w:p>
              </w:tc>
              <w:tc>
                <w:tcPr/>
                <w:p>
                  <w:pPr>
                    <w:pStyle w:val="Compact"/>
                    <w:jc w:val="right"/>
                    <w:jc w:val="center"/>
                  </w:pPr>
                  <w:r>
                    <w:t xml:space="preserve">+0.5</w:t>
                  </w:r>
                </w:p>
              </w:tc>
              <w:tc>
                <w:tcPr/>
                <w:p>
                  <w:pPr>
                    <w:pStyle w:val="Compact"/>
                    <w:jc w:val="right"/>
                    <w:jc w:val="center"/>
                  </w:pPr>
                  <w:r>
                    <w:t xml:space="preserve">+2.8</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+3.5</w:t>
                  </w:r>
                </w:p>
              </w:tc>
              <w:tc>
                <w:tcPr/>
                <w:p>
                  <w:pPr>
                    <w:pStyle w:val="Compact"/>
                    <w:jc w:val="right"/>
                    <w:jc w:val="center"/>
                  </w:pPr>
                  <w:r>
                    <w:t xml:space="preserve">+0.9</w:t>
                  </w:r>
                </w:p>
              </w:tc>
              <w:tc>
                <w:tcPr/>
                <w:p>
                  <w:pPr>
                    <w:pStyle w:val="Compact"/>
                    <w:jc w:val="right"/>
                    <w:jc w:val="center"/>
                  </w:pPr>
                  <w:r>
                    <w:t xml:space="preserve">+5.0</w:t>
                  </w:r>
                </w:p>
              </w:tc>
              <w:tc>
                <w:tcPr/>
                <w:p>
                  <w:pPr>
                    <w:pStyle w:val="Compact"/>
                    <w:jc w:val="right"/>
                    <w:jc w:val="center"/>
                  </w:pPr>
                  <w:r>
                    <w:t xml:space="preserve">-0.5</w:t>
                  </w:r>
                </w:p>
              </w:tc>
              <w:tc>
                <w:tcPr/>
                <w:p>
                  <w:pPr>
                    <w:pStyle w:val="Compact"/>
                    <w:jc w:val="right"/>
                    <w:jc w:val="center"/>
                  </w:pPr>
                  <w:r>
                    <w:t xml:space="preserve">+2.2</w:t>
                  </w:r>
                </w:p>
              </w:tc>
            </w:tr>
            <w:tr>
              <w:tc>
                <w:tcPr/>
                <w:p>
                  <w:pPr>
                    <w:pStyle w:val="Compact"/>
                    <w:jc w:val="right"/>
                    <w:jc w:val="center"/>
                  </w:pPr>
                  <w:r>
                    <w:t xml:space="preserve">4</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+1.4</w:t>
                  </w:r>
                </w:p>
              </w:tc>
              <w:tc>
                <w:tcPr/>
                <w:p>
                  <w:pPr>
                    <w:pStyle w:val="Compact"/>
                    <w:jc w:val="right"/>
                    <w:jc w:val="center"/>
                  </w:pPr>
                  <w:r>
                    <w:t xml:space="preserve">+1.2</w:t>
                  </w:r>
                </w:p>
              </w:tc>
              <w:tc>
                <w:tcPr/>
                <w:p>
                  <w:pPr>
                    <w:pStyle w:val="Compact"/>
                    <w:jc w:val="right"/>
                    <w:jc w:val="center"/>
                  </w:pPr>
                  <w:r>
                    <w:t xml:space="preserve">+0.8</w:t>
                  </w:r>
                </w:p>
              </w:tc>
              <w:tc>
                <w:tcPr/>
                <w:p>
                  <w:pPr>
                    <w:pStyle w:val="Compact"/>
                    <w:jc w:val="right"/>
                    <w:jc w:val="center"/>
                  </w:pPr>
                  <w:r>
                    <w:t xml:space="preserve">+1.4</w:t>
                  </w:r>
                </w:p>
              </w:tc>
            </w:tr>
            <w:tr>
              <w:tc>
                <w:tcPr/>
                <w:p>
                  <w:pPr>
                    <w:pStyle w:val="Compact"/>
                    <w:jc w:val="right"/>
                    <w:jc w:val="center"/>
                  </w:pPr>
                  <w:r>
                    <w:t xml:space="preserve">5</w:t>
                  </w:r>
                </w:p>
              </w:tc>
              <w:tc>
                <w:tcPr/>
                <w:p>
                  <w:pPr>
                    <w:pStyle w:val="Compact"/>
                    <w:jc w:val="left"/>
                    <w:jc w:val="center"/>
                  </w:pPr>
                  <w:r>
                    <w:t xml:space="preserve">Portslade Aldridge Community Academy</w:t>
                  </w:r>
                </w:p>
              </w:tc>
              <w:tc>
                <w:tcPr/>
                <w:p>
                  <w:pPr>
                    <w:pStyle w:val="Compact"/>
                    <w:jc w:val="right"/>
                    <w:jc w:val="center"/>
                  </w:pPr>
                  <w:r>
                    <w:t xml:space="preserve">+3.8</w:t>
                  </w:r>
                </w:p>
              </w:tc>
              <w:tc>
                <w:tcPr/>
                <w:p>
                  <w:pPr>
                    <w:pStyle w:val="Compact"/>
                    <w:jc w:val="right"/>
                    <w:jc w:val="center"/>
                  </w:pPr>
                  <w:r>
                    <w:t xml:space="preserve">+0.6</w:t>
                  </w:r>
                </w:p>
              </w:tc>
              <w:tc>
                <w:tcPr/>
                <w:p>
                  <w:pPr>
                    <w:pStyle w:val="Compact"/>
                    <w:jc w:val="right"/>
                    <w:jc w:val="center"/>
                  </w:pPr>
                  <w:r>
                    <w:t xml:space="preserve">+2.3</w:t>
                  </w:r>
                </w:p>
              </w:tc>
              <w:tc>
                <w:tcPr/>
                <w:p>
                  <w:pPr>
                    <w:pStyle w:val="Compact"/>
                    <w:jc w:val="right"/>
                    <w:jc w:val="center"/>
                  </w:pPr>
                  <w:r>
                    <w:t xml:space="preserve">-1.3</w:t>
                  </w:r>
                </w:p>
              </w:tc>
              <w:tc>
                <w:tcPr/>
                <w:p>
                  <w:pPr>
                    <w:pStyle w:val="Compact"/>
                    <w:jc w:val="right"/>
                    <w:jc w:val="center"/>
                  </w:pPr>
                  <w:r>
                    <w:t xml:space="preserve">+1.4</w:t>
                  </w:r>
                </w:p>
              </w:tc>
            </w:tr>
            <w:tr>
              <w:tc>
                <w:tcPr/>
                <w:p>
                  <w:pPr>
                    <w:pStyle w:val="Compact"/>
                    <w:jc w:val="right"/>
                    <w:jc w:val="center"/>
                  </w:pPr>
                  <w:r>
                    <w:t xml:space="preserve">6</w:t>
                  </w:r>
                </w:p>
              </w:tc>
              <w:tc>
                <w:tcPr/>
                <w:p>
                  <w:pPr>
                    <w:pStyle w:val="Compact"/>
                    <w:jc w:val="left"/>
                    <w:jc w:val="center"/>
                  </w:pPr>
                  <w:r>
                    <w:t xml:space="preserve">Hove Park School and Sixth Form Centre</w:t>
                  </w:r>
                </w:p>
              </w:tc>
              <w:tc>
                <w:tcPr/>
                <w:p>
                  <w:pPr>
                    <w:pStyle w:val="Compact"/>
                    <w:jc w:val="right"/>
                    <w:jc w:val="center"/>
                  </w:pPr>
                  <w:r>
                    <w:t xml:space="preserve">+1.5</w:t>
                  </w:r>
                </w:p>
              </w:tc>
              <w:tc>
                <w:tcPr/>
                <w:p>
                  <w:pPr>
                    <w:pStyle w:val="Compact"/>
                    <w:jc w:val="right"/>
                    <w:jc w:val="center"/>
                  </w:pPr>
                  <w:r>
                    <w:t xml:space="preserve">+0.9</w:t>
                  </w:r>
                </w:p>
              </w:tc>
              <w:tc>
                <w:tcPr/>
                <w:p>
                  <w:pPr>
                    <w:pStyle w:val="Compact"/>
                    <w:jc w:val="right"/>
                    <w:jc w:val="center"/>
                  </w:pPr>
                  <w:r>
                    <w:t xml:space="preserve">+1.4</w:t>
                  </w:r>
                </w:p>
              </w:tc>
              <w:tc>
                <w:tcPr/>
                <w:p>
                  <w:pPr>
                    <w:pStyle w:val="Compact"/>
                    <w:jc w:val="right"/>
                    <w:jc w:val="center"/>
                  </w:pPr>
                  <w:r>
                    <w:t xml:space="preserve">+0.4</w:t>
                  </w:r>
                </w:p>
              </w:tc>
              <w:tc>
                <w:tcPr/>
                <w:p>
                  <w:pPr>
                    <w:pStyle w:val="Compact"/>
                    <w:jc w:val="right"/>
                    <w:jc w:val="center"/>
                  </w:pPr>
                  <w:r>
                    <w:t xml:space="preserve">+1.0</w:t>
                  </w:r>
                </w:p>
              </w:tc>
            </w:tr>
            <w:tr>
              <w:tc>
                <w:tcPr/>
                <w:p>
                  <w:pPr>
                    <w:pStyle w:val="Compact"/>
                    <w:jc w:val="right"/>
                    <w:jc w:val="center"/>
                  </w:pPr>
                  <w:r>
                    <w:t xml:space="preserve">7</w:t>
                  </w:r>
                </w:p>
              </w:tc>
              <w:tc>
                <w:tcPr/>
                <w:p>
                  <w:pPr>
                    <w:pStyle w:val="Compact"/>
                    <w:jc w:val="left"/>
                    <w:jc w:val="center"/>
                  </w:pPr>
                  <w:r>
                    <w:t xml:space="preserve">Blatchington Mill School</w:t>
                  </w:r>
                </w:p>
              </w:tc>
              <w:tc>
                <w:tcPr/>
                <w:p>
                  <w:pPr>
                    <w:pStyle w:val="Compact"/>
                    <w:jc w:val="right"/>
                    <w:jc w:val="center"/>
                  </w:pPr>
                  <w:r>
                    <w:t xml:space="preserve">-1.5</w:t>
                  </w:r>
                </w:p>
              </w:tc>
              <w:tc>
                <w:tcPr/>
                <w:p>
                  <w:pPr>
                    <w:pStyle w:val="Compact"/>
                    <w:jc w:val="right"/>
                    <w:jc w:val="center"/>
                  </w:pPr>
                  <w:r>
                    <w:t xml:space="preserve">-1.0</w:t>
                  </w:r>
                </w:p>
              </w:tc>
              <w:tc>
                <w:tcPr/>
                <w:p>
                  <w:pPr>
                    <w:pStyle w:val="Compact"/>
                    <w:jc w:val="right"/>
                    <w:jc w:val="center"/>
                  </w:pPr>
                  <w:r>
                    <w:t xml:space="preserve">+2.0</w:t>
                  </w:r>
                </w:p>
              </w:tc>
              <w:tc>
                <w:tcPr/>
                <w:p>
                  <w:pPr>
                    <w:pStyle w:val="Compact"/>
                    <w:jc w:val="right"/>
                    <w:jc w:val="center"/>
                  </w:pPr>
                  <w:r>
                    <w:t xml:space="preserve">+2.4</w:t>
                  </w:r>
                </w:p>
              </w:tc>
              <w:tc>
                <w:tcPr/>
                <w:p>
                  <w:pPr>
                    <w:pStyle w:val="Compact"/>
                    <w:jc w:val="right"/>
                    <w:jc w:val="center"/>
                  </w:pPr>
                  <w:r>
                    <w:t xml:space="preserve">+0.5</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+1.3</w:t>
                  </w:r>
                </w:p>
              </w:tc>
              <w:tc>
                <w:tcPr/>
                <w:p>
                  <w:pPr>
                    <w:pStyle w:val="Compact"/>
                    <w:jc w:val="right"/>
                    <w:jc w:val="center"/>
                  </w:pPr>
                  <w:r>
                    <w:t xml:space="preserve">-2.2</w:t>
                  </w:r>
                </w:p>
              </w:tc>
              <w:tc>
                <w:tcPr/>
                <w:p>
                  <w:pPr>
                    <w:pStyle w:val="Compact"/>
                    <w:jc w:val="right"/>
                    <w:jc w:val="center"/>
                  </w:pPr>
                  <w:r>
                    <w:t xml:space="preserve">+1.3</w:t>
                  </w:r>
                </w:p>
              </w:tc>
              <w:tc>
                <w:tcPr/>
                <w:p>
                  <w:pPr>
                    <w:pStyle w:val="Compact"/>
                    <w:jc w:val="right"/>
                    <w:jc w:val="center"/>
                  </w:pPr>
                  <w:r>
                    <w:t xml:space="preserve">-1.5</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-0.2</w:t>
                  </w:r>
                </w:p>
              </w:tc>
              <w:tc>
                <w:tcPr/>
                <w:p>
                  <w:pPr>
                    <w:pStyle w:val="Compact"/>
                    <w:jc w:val="right"/>
                    <w:jc w:val="center"/>
                  </w:pPr>
                  <w:r>
                    <w:t xml:space="preserve">-2.3</w:t>
                  </w:r>
                </w:p>
              </w:tc>
              <w:tc>
                <w:tcPr/>
                <w:p>
                  <w:pPr>
                    <w:pStyle w:val="Compact"/>
                    <w:jc w:val="right"/>
                    <w:jc w:val="center"/>
                  </w:pPr>
                  <w:r>
                    <w:t xml:space="preserve">-1.1</w:t>
                  </w:r>
                </w:p>
              </w:tc>
              <w:tc>
                <w:tcPr/>
                <w:p>
                  <w:pPr>
                    <w:pStyle w:val="Compact"/>
                    <w:jc w:val="right"/>
                    <w:jc w:val="center"/>
                  </w:pPr>
                  <w:r>
                    <w:t xml:space="preserve">-2.5</w:t>
                  </w:r>
                </w:p>
              </w:tc>
              <w:tc>
                <w:tcPr/>
                <w:p>
                  <w:pPr>
                    <w:pStyle w:val="Compact"/>
                    <w:jc w:val="right"/>
                    <w:jc w:val="center"/>
                  </w:pPr>
                  <w:r>
                    <w:t xml:space="preserve">-1.5</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-2.7</w:t>
                  </w:r>
                </w:p>
              </w:tc>
              <w:tc>
                <w:tcPr/>
                <w:p>
                  <w:pPr>
                    <w:pStyle w:val="Compact"/>
                    <w:jc w:val="right"/>
                    <w:jc w:val="center"/>
                  </w:pPr>
                  <w:r>
                    <w:t xml:space="preserve">-2.8</w:t>
                  </w:r>
                </w:p>
              </w:tc>
              <w:tc>
                <w:tcPr/>
                <w:p>
                  <w:pPr>
                    <w:pStyle w:val="Compact"/>
                    <w:jc w:val="right"/>
                    <w:jc w:val="center"/>
                  </w:pPr>
                  <w:r>
                    <w:t xml:space="preserve">-4.4</w:t>
                  </w:r>
                </w:p>
              </w:tc>
              <w:tc>
                <w:tcPr/>
                <w:p>
                  <w:pPr>
                    <w:pStyle w:val="Compact"/>
                    <w:jc w:val="right"/>
                    <w:jc w:val="center"/>
                  </w:pPr>
                  <w:r>
                    <w:t xml:space="preserve">-2.9</w:t>
                  </w:r>
                </w:p>
              </w:tc>
              <w:tc>
                <w:tcPr/>
                <w:p>
                  <w:pPr>
                    <w:pStyle w:val="Compact"/>
                    <w:jc w:val="right"/>
                    <w:jc w:val="center"/>
                  </w:pPr>
                  <w:r>
                    <w:t xml:space="preserve">-3.2</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+3.1</w:t>
                  </w:r>
                </w:p>
              </w:tc>
              <w:tc>
                <w:tcPr/>
                <w:p>
                  <w:pPr>
                    <w:pStyle w:val="Compact"/>
                    <w:jc w:val="right"/>
                    <w:jc w:val="center"/>
                  </w:pPr>
                  <w:r>
                    <w:t xml:space="preserve">-1.3</w:t>
                  </w:r>
                </w:p>
              </w:tc>
              <w:tc>
                <w:tcPr/>
                <w:p>
                  <w:pPr>
                    <w:pStyle w:val="Compact"/>
                    <w:jc w:val="right"/>
                    <w:jc w:val="center"/>
                  </w:pPr>
                  <w:r>
                    <w:t xml:space="preserve">+4.6</w:t>
                  </w:r>
                </w:p>
              </w:tc>
              <w:tc>
                <w:tcPr/>
                <w:p>
                  <w:pPr>
                    <w:pStyle w:val="Compact"/>
                    <w:jc w:val="right"/>
                    <w:jc w:val="center"/>
                  </w:pPr>
                  <w:r>
                    <w:t xml:space="preserve">+5.7</w:t>
                  </w:r>
                </w:p>
              </w:tc>
              <w:tc>
                <w:tcPr/>
                <w:p>
                  <w:pPr>
                    <w:pStyle w:val="Compact"/>
                    <w:jc w:val="right"/>
                    <w:jc w:val="center"/>
                  </w:pPr>
                  <w:r>
                    <w:t xml:space="preserve">+3.1</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+2.2</w:t>
                  </w:r>
                </w:p>
              </w:tc>
              <w:tc>
                <w:tcPr/>
                <w:p>
                  <w:pPr>
                    <w:pStyle w:val="Compact"/>
                    <w:jc w:val="right"/>
                    <w:jc w:val="center"/>
                  </w:pPr>
                  <w:r>
                    <w:t xml:space="preserve">+3.2</w:t>
                  </w:r>
                </w:p>
              </w:tc>
              <w:tc>
                <w:tcPr/>
                <w:p>
                  <w:pPr>
                    <w:pStyle w:val="Compact"/>
                    <w:jc w:val="right"/>
                    <w:jc w:val="center"/>
                  </w:pPr>
                  <w:r>
                    <w:t xml:space="preserve">+3.9</w:t>
                  </w:r>
                </w:p>
              </w:tc>
              <w:tc>
                <w:tcPr/>
                <w:p>
                  <w:pPr>
                    <w:pStyle w:val="Compact"/>
                    <w:jc w:val="right"/>
                    <w:jc w:val="center"/>
                  </w:pPr>
                  <w:r>
                    <w:t xml:space="preserve">-2.4</w:t>
                  </w:r>
                </w:p>
              </w:tc>
              <w:tc>
                <w:tcPr/>
                <w:p>
                  <w:pPr>
                    <w:pStyle w:val="Compact"/>
                    <w:jc w:val="right"/>
                    <w:jc w:val="center"/>
                  </w:pPr>
                  <w:r>
                    <w:t xml:space="preserve">+1.7</w:t>
                  </w:r>
                </w:p>
              </w:tc>
            </w:tr>
            <w:tr>
              <w:tc>
                <w:tcPr/>
                <w:p>
                  <w:pPr>
                    <w:pStyle w:val="Compact"/>
                    <w:jc w:val="right"/>
                    <w:jc w:val="center"/>
                  </w:pPr>
                  <w:r>
                    <w:t xml:space="preserve">3</w:t>
                  </w:r>
                </w:p>
              </w:tc>
              <w:tc>
                <w:tcPr/>
                <w:p>
                  <w:pPr>
                    <w:pStyle w:val="Compact"/>
                    <w:jc w:val="left"/>
                    <w:jc w:val="center"/>
                  </w:pPr>
                  <w:r>
                    <w:t xml:space="preserve">Cardinal Newman Catholic School</w:t>
                  </w:r>
                </w:p>
              </w:tc>
              <w:tc>
                <w:tcPr/>
                <w:p>
                  <w:pPr>
                    <w:pStyle w:val="Compact"/>
                    <w:jc w:val="right"/>
                    <w:jc w:val="center"/>
                  </w:pPr>
                  <w:r>
                    <w:t xml:space="preserve">+2.9</w:t>
                  </w:r>
                </w:p>
              </w:tc>
              <w:tc>
                <w:tcPr/>
                <w:p>
                  <w:pPr>
                    <w:pStyle w:val="Compact"/>
                    <w:jc w:val="right"/>
                    <w:jc w:val="center"/>
                  </w:pPr>
                  <w:r>
                    <w:t xml:space="preserve">-5.4</w:t>
                  </w:r>
                </w:p>
              </w:tc>
              <w:tc>
                <w:tcPr/>
                <w:p>
                  <w:pPr>
                    <w:pStyle w:val="Compact"/>
                    <w:jc w:val="right"/>
                    <w:jc w:val="center"/>
                  </w:pPr>
                  <w:r>
                    <w:t xml:space="preserve">+6.5</w:t>
                  </w:r>
                </w:p>
              </w:tc>
              <w:tc>
                <w:tcPr/>
                <w:p>
                  <w:pPr>
                    <w:pStyle w:val="Compact"/>
                    <w:jc w:val="right"/>
                    <w:jc w:val="center"/>
                  </w:pPr>
                  <w:r>
                    <w:t xml:space="preserve">+2.3</w:t>
                  </w:r>
                </w:p>
              </w:tc>
              <w:tc>
                <w:tcPr/>
                <w:p>
                  <w:pPr>
                    <w:pStyle w:val="Compact"/>
                    <w:jc w:val="right"/>
                    <w:jc w:val="center"/>
                  </w:pPr>
                  <w:r>
                    <w:t xml:space="preserve">+1.6</w:t>
                  </w:r>
                </w:p>
              </w:tc>
            </w:tr>
            <w:tr>
              <w:tc>
                <w:tcPr/>
                <w:p>
                  <w:pPr>
                    <w:pStyle w:val="Compact"/>
                    <w:jc w:val="right"/>
                    <w:jc w:val="center"/>
                  </w:pPr>
                  <w:r>
                    <w:t xml:space="preserve">4</w:t>
                  </w:r>
                </w:p>
              </w:tc>
              <w:tc>
                <w:tcPr/>
                <w:p>
                  <w:pPr>
                    <w:pStyle w:val="Compact"/>
                    <w:jc w:val="left"/>
                    <w:jc w:val="center"/>
                  </w:pPr>
                  <w:r>
                    <w:t xml:space="preserve">Dorothy Stringer School</w:t>
                  </w:r>
                </w:p>
              </w:tc>
              <w:tc>
                <w:tcPr/>
                <w:p>
                  <w:pPr>
                    <w:pStyle w:val="Compact"/>
                    <w:jc w:val="right"/>
                    <w:jc w:val="center"/>
                  </w:pPr>
                  <w:r>
                    <w:t xml:space="preserve">+2.2</w:t>
                  </w:r>
                </w:p>
              </w:tc>
              <w:tc>
                <w:tcPr/>
                <w:p>
                  <w:pPr>
                    <w:pStyle w:val="Compact"/>
                    <w:jc w:val="right"/>
                    <w:jc w:val="center"/>
                  </w:pPr>
                  <w:r>
                    <w:t xml:space="preserve">+2.6</w:t>
                  </w:r>
                </w:p>
              </w:tc>
              <w:tc>
                <w:tcPr/>
                <w:p>
                  <w:pPr>
                    <w:pStyle w:val="Compact"/>
                    <w:jc w:val="right"/>
                    <w:jc w:val="center"/>
                  </w:pPr>
                  <w:r>
                    <w:t xml:space="preserve">-0.2</w:t>
                  </w:r>
                </w:p>
              </w:tc>
              <w:tc>
                <w:tcPr/>
                <w:p>
                  <w:pPr>
                    <w:pStyle w:val="Compact"/>
                    <w:jc w:val="right"/>
                    <w:jc w:val="center"/>
                  </w:pPr>
                  <w:r>
                    <w:t xml:space="preserve">+1.4</w:t>
                  </w:r>
                </w:p>
              </w:tc>
              <w:tc>
                <w:tcPr/>
                <w:p>
                  <w:pPr>
                    <w:pStyle w:val="Compact"/>
                    <w:jc w:val="right"/>
                    <w:jc w:val="center"/>
                  </w:pPr>
                  <w:r>
                    <w:t xml:space="preserve">+1.5</w:t>
                  </w:r>
                </w:p>
              </w:tc>
            </w:tr>
            <w:tr>
              <w:tc>
                <w:tcPr/>
                <w:p>
                  <w:pPr>
                    <w:pStyle w:val="Compact"/>
                    <w:jc w:val="right"/>
                    <w:jc w:val="center"/>
                  </w:pPr>
                  <w:r>
                    <w:t xml:space="preserve">5</w:t>
                  </w:r>
                </w:p>
              </w:tc>
              <w:tc>
                <w:tcPr/>
                <w:p>
                  <w:pPr>
                    <w:pStyle w:val="Compact"/>
                    <w:jc w:val="left"/>
                    <w:jc w:val="center"/>
                  </w:pPr>
                  <w:r>
                    <w:t xml:space="preserve">Blatchington Mill School</w:t>
                  </w:r>
                </w:p>
              </w:tc>
              <w:tc>
                <w:tcPr/>
                <w:p>
                  <w:pPr>
                    <w:pStyle w:val="Compact"/>
                    <w:jc w:val="right"/>
                    <w:jc w:val="center"/>
                  </w:pPr>
                  <w:r>
                    <w:t xml:space="preserve">-5.0</w:t>
                  </w:r>
                </w:p>
              </w:tc>
              <w:tc>
                <w:tcPr/>
                <w:p>
                  <w:pPr>
                    <w:pStyle w:val="Compact"/>
                    <w:jc w:val="right"/>
                    <w:jc w:val="center"/>
                  </w:pPr>
                  <w:r>
                    <w:t xml:space="preserve">+1.1</w:t>
                  </w:r>
                </w:p>
              </w:tc>
              <w:tc>
                <w:tcPr/>
                <w:p>
                  <w:pPr>
                    <w:pStyle w:val="Compact"/>
                    <w:jc w:val="right"/>
                    <w:jc w:val="center"/>
                  </w:pPr>
                  <w:r>
                    <w:t xml:space="preserve">+4.7</w:t>
                  </w:r>
                </w:p>
              </w:tc>
              <w:tc>
                <w:tcPr/>
                <w:p>
                  <w:pPr>
                    <w:pStyle w:val="Compact"/>
                    <w:jc w:val="right"/>
                    <w:jc w:val="center"/>
                  </w:pPr>
                  <w:r>
                    <w:t xml:space="preserve">+2.9</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+1.4</w:t>
                  </w:r>
                </w:p>
              </w:tc>
              <w:tc>
                <w:tcPr/>
                <w:p>
                  <w:pPr>
                    <w:pStyle w:val="Compact"/>
                    <w:jc w:val="right"/>
                    <w:jc w:val="center"/>
                  </w:pPr>
                  <w:r>
                    <w:t xml:space="preserve">+3.8</w:t>
                  </w:r>
                </w:p>
              </w:tc>
              <w:tc>
                <w:tcPr/>
                <w:p>
                  <w:pPr>
                    <w:pStyle w:val="Compact"/>
                    <w:jc w:val="right"/>
                    <w:jc w:val="center"/>
                  </w:pPr>
                  <w:r>
                    <w:t xml:space="preserve">-6.2</w:t>
                  </w:r>
                </w:p>
              </w:tc>
              <w:tc>
                <w:tcPr/>
                <w:p>
                  <w:pPr>
                    <w:pStyle w:val="Compact"/>
                    <w:jc w:val="right"/>
                    <w:jc w:val="center"/>
                  </w:pPr>
                  <w:r>
                    <w:t xml:space="preserve">+0.9</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+3.0</w:t>
                  </w:r>
                </w:p>
              </w:tc>
              <w:tc>
                <w:tcPr/>
                <w:p>
                  <w:pPr>
                    <w:pStyle w:val="Compact"/>
                    <w:jc w:val="right"/>
                    <w:jc w:val="center"/>
                  </w:pPr>
                  <w:r>
                    <w:t xml:space="preserve">-2.5</w:t>
                  </w:r>
                </w:p>
              </w:tc>
              <w:tc>
                <w:tcPr/>
                <w:p>
                  <w:pPr>
                    <w:pStyle w:val="Compact"/>
                    <w:jc w:val="right"/>
                    <w:jc w:val="center"/>
                  </w:pPr>
                  <w:r>
                    <w:t xml:space="preserve">+2.0</w:t>
                  </w:r>
                </w:p>
              </w:tc>
              <w:tc>
                <w:tcPr/>
                <w:p>
                  <w:pPr>
                    <w:pStyle w:val="Compact"/>
                    <w:jc w:val="right"/>
                    <w:jc w:val="center"/>
                  </w:pPr>
                  <w:r>
                    <w:t xml:space="preserve">+1.1</w:t>
                  </w:r>
                </w:p>
              </w:tc>
              <w:tc>
                <w:tcPr/>
                <w:p>
                  <w:pPr>
                    <w:pStyle w:val="Compact"/>
                    <w:jc w:val="right"/>
                    <w:jc w:val="center"/>
                  </w:pPr>
                  <w:r>
                    <w:t xml:space="preserve">+0.9</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+3.2</w:t>
                  </w:r>
                </w:p>
              </w:tc>
              <w:tc>
                <w:tcPr/>
                <w:p>
                  <w:pPr>
                    <w:pStyle w:val="Compact"/>
                    <w:jc w:val="right"/>
                    <w:jc w:val="center"/>
                  </w:pPr>
                  <w:r>
                    <w:t xml:space="preserve">-3.4</w:t>
                  </w:r>
                </w:p>
              </w:tc>
              <w:tc>
                <w:tcPr/>
                <w:p>
                  <w:pPr>
                    <w:pStyle w:val="Compact"/>
                    <w:jc w:val="right"/>
                    <w:jc w:val="center"/>
                  </w:pPr>
                  <w:r>
                    <w:t xml:space="preserve">+4.1</w:t>
                  </w:r>
                </w:p>
              </w:tc>
              <w:tc>
                <w:tcPr/>
                <w:p>
                  <w:pPr>
                    <w:pStyle w:val="Compact"/>
                    <w:jc w:val="right"/>
                    <w:jc w:val="center"/>
                  </w:pPr>
                  <w:r>
                    <w:t xml:space="preserve">-1.9</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+4.1</w:t>
                  </w:r>
                </w:p>
              </w:tc>
              <w:tc>
                <w:tcPr/>
                <w:p>
                  <w:pPr>
                    <w:pStyle w:val="Compact"/>
                    <w:jc w:val="right"/>
                    <w:jc w:val="center"/>
                  </w:pPr>
                  <w:r>
                    <w:t xml:space="preserve">+1.5</w:t>
                  </w:r>
                </w:p>
              </w:tc>
              <w:tc>
                <w:tcPr/>
                <w:p>
                  <w:pPr>
                    <w:pStyle w:val="Compact"/>
                    <w:jc w:val="right"/>
                    <w:jc w:val="center"/>
                  </w:pPr>
                  <w:r>
                    <w:t xml:space="preserve">-11.6</w:t>
                  </w:r>
                </w:p>
              </w:tc>
              <w:tc>
                <w:tcPr/>
                <w:p>
                  <w:pPr>
                    <w:pStyle w:val="Compact"/>
                    <w:jc w:val="right"/>
                    <w:jc w:val="center"/>
                  </w:pPr>
                  <w:r>
                    <w:t xml:space="preserve">-3.5</w:t>
                  </w:r>
                </w:p>
              </w:tc>
              <w:tc>
                <w:tcPr/>
                <w:p>
                  <w:pPr>
                    <w:pStyle w:val="Compact"/>
                    <w:jc w:val="right"/>
                    <w:jc w:val="center"/>
                  </w:pPr>
                  <w:r>
                    <w:t xml:space="preserve">-2.4</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-5.1</w:t>
                  </w:r>
                </w:p>
              </w:tc>
              <w:tc>
                <w:tcPr/>
                <w:p>
                  <w:pPr>
                    <w:pStyle w:val="Compact"/>
                    <w:jc w:val="right"/>
                    <w:jc w:val="center"/>
                  </w:pPr>
                  <w:r>
                    <w:t xml:space="preserve">-6.4</w:t>
                  </w:r>
                </w:p>
              </w:tc>
              <w:tc>
                <w:tcPr/>
                <w:p>
                  <w:pPr>
                    <w:pStyle w:val="Compact"/>
                    <w:jc w:val="right"/>
                    <w:jc w:val="center"/>
                  </w:pPr>
                  <w:r>
                    <w:t xml:space="preserve">+1.4</w:t>
                  </w:r>
                </w:p>
              </w:tc>
              <w:tc>
                <w:tcPr/>
                <w:p>
                  <w:pPr>
                    <w:pStyle w:val="Compact"/>
                    <w:jc w:val="right"/>
                    <w:jc w:val="center"/>
                  </w:pPr>
                  <w:r>
                    <w:t xml:space="preserve">-0.9</w:t>
                  </w:r>
                </w:p>
              </w:tc>
              <w:tc>
                <w:tcPr/>
                <w:p>
                  <w:pPr>
                    <w:pStyle w:val="Compact"/>
                    <w:jc w:val="right"/>
                    <w:jc w:val="center"/>
                  </w:pPr>
                  <w:r>
                    <w:t xml:space="preserve">-2.7</w:t>
                  </w:r>
                </w:p>
              </w:tc>
            </w:tr>
          </w:tbl>
          <w:bookmarkEnd w:id="218"/>
          <w:p/>
        </w:tc>
      </w:tr>
    </w:tbl>
    <w:bookmarkEnd w:id="219"/>
    <w:sectPr w:rsidR="007C468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https://osf.io/x82j3/overview</w:t>
        </w:r>
      </w:hyperlink>
      <w:r>
        <w:t xml:space="preserve"> </w:t>
      </w:r>
      <w:r>
        <w:t xml:space="preserve">(see `about.html` in `supplementary.zip`)</w:t>
      </w:r>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21">
        <w:r>
          <w:rPr>
            <w:rStyle w:val="Hyperlink"/>
          </w:rPr>
          <w:t xml:space="preserve">https://osf.io/x82j3/overview (see `index.html` in `supplementary.zip`)</w:t>
        </w:r>
      </w:hyperlink>
      <w:r>
        <w:t xml:space="preserve"> </w:t>
      </w:r>
      <w:r>
        <w:t xml:space="preserve">- with links through to the source code on Github.</w:t>
      </w:r>
    </w:p>
  </w:footnote>
  <w:footnote w:id="30">
    <w:p>
      <w:pPr>
        <w:pStyle w:val="FootnoteText"/>
      </w:pPr>
      <w:r>
        <w:rPr>
          <w:rStyle w:val="FootnoteReference"/>
        </w:rPr>
        <w:footnoteRef/>
      </w:r>
      <w:r>
        <w:t xml:space="preserve"> </w:t>
      </w:r>
      <w:r>
        <w:t xml:space="preserve">missing data and imputation:</w:t>
      </w:r>
      <w:r>
        <w:t xml:space="preserve"> </w:t>
      </w:r>
      <w:hyperlink r:id="rId21">
        <w:r>
          <w:rPr>
            <w:rStyle w:val="Hyperlink"/>
          </w:rPr>
          <w:t xml:space="preserve">https://osf.io/x82j3/overview (see `data_overview.html#missing-data` in `supplementary.zip`)</w:t>
        </w:r>
      </w:hyperlink>
    </w:p>
  </w:footnote>
  <w:footnote w:id="32">
    <w:p>
      <w:pPr>
        <w:pStyle w:val="FootnoteText"/>
      </w:pPr>
      <w:r>
        <w:rPr>
          <w:rStyle w:val="FootnoteReference"/>
        </w:rPr>
        <w:footnoteRef/>
      </w:r>
      <w:r>
        <w:t xml:space="preserve"> </w:t>
      </w:r>
      <w:r>
        <w:t xml:space="preserve">Department for Education,</w:t>
      </w:r>
      <w:r>
        <w:t xml:space="preserve"> </w:t>
      </w:r>
      <w:r>
        <w:rPr>
          <w:i/>
          <w:iCs/>
        </w:rPr>
        <w:t xml:space="preserve">Key stage 4 performance</w:t>
      </w:r>
      <w:r>
        <w:t xml:space="preserve">:</w:t>
      </w:r>
      <w:r>
        <w:t xml:space="preserve"> </w:t>
      </w:r>
      <w:r>
        <w:t xml:space="preserve">“It is not possible to calculate Progress 8 for academic years 2024/25 and 2025/26. This is because there is no KS2 prior attainment data available to use to calculate Progress 8 when the relevant cohorts reach the end of KS4 as primary tests and assessments were cancelled in academic years 2019/20 and 2020/21 due to COVID-19 disruption.”</w:t>
      </w:r>
      <w:r>
        <w:t xml:space="preserve"> </w:t>
      </w:r>
      <w:hyperlink r:id="rId33">
        <w:r>
          <w:rPr>
            <w:rStyle w:val="Hyperlink"/>
          </w:rPr>
          <w:t xml:space="preserve">https://explore-education-statistics.service.gov.uk/find-statistics/key-stage-4-performance</w:t>
        </w:r>
      </w:hyperlink>
    </w:p>
  </w:footnote>
  <w:footnote w:id="34">
    <w:p>
      <w:pPr>
        <w:pStyle w:val="FootnoteText"/>
      </w:pPr>
      <w:r>
        <w:rPr>
          <w:rStyle w:val="FootnoteReference"/>
        </w:rPr>
        <w:footnoteRef/>
      </w:r>
      <w:r>
        <w:t xml:space="preserve"> </w:t>
      </w:r>
      <w:r>
        <w:t xml:space="preserve">See data overview for details</w:t>
      </w:r>
      <w:r>
        <w:t xml:space="preserve"> </w:t>
      </w:r>
      <w:hyperlink r:id="rId21">
        <w:r>
          <w:rPr>
            <w:rStyle w:val="Hyperlink"/>
          </w:rPr>
          <w:t xml:space="preserve">https://osf.io/x82j3/overview (see `data_overview.html` in `supplementary.zip`)</w:t>
        </w:r>
      </w:hyperlink>
    </w:p>
  </w:footnote>
  <w:footnote w:id="35">
    <w:p>
      <w:pPr>
        <w:pStyle w:val="FootnoteText"/>
      </w:pPr>
      <w:r>
        <w:rPr>
          <w:rStyle w:val="FootnoteReference"/>
        </w:rPr>
        <w:footnoteRef/>
      </w:r>
      <w:r>
        <w:t xml:space="preserve"> </w:t>
      </w:r>
      <w:r>
        <w:t xml:space="preserve">See data overview for details</w:t>
      </w:r>
      <w:r>
        <w:t xml:space="preserve"> </w:t>
      </w:r>
      <w:hyperlink r:id="rId21">
        <w:r>
          <w:rPr>
            <w:rStyle w:val="Hyperlink"/>
          </w:rPr>
          <w:t xml:space="preserve">https://osf.io/x82j3/overview (see `data_overview.html` in `supplementary.zip`)</w:t>
        </w:r>
      </w:hyperlink>
    </w:p>
  </w:footnote>
  <w:footnote w:id="39">
    <w:p>
      <w:pPr>
        <w:pStyle w:val="FootnoteText"/>
      </w:pPr>
      <w:r>
        <w:rPr>
          <w:rStyle w:val="FootnoteReference"/>
        </w:rPr>
        <w:footnoteRef/>
      </w:r>
      <w:r>
        <w:t xml:space="preserve"> </w:t>
      </w:r>
      <w:r>
        <w:t xml:space="preserve">See supplementary material for robustness checks:</w:t>
      </w:r>
      <w:r>
        <w:t xml:space="preserve"> </w:t>
      </w:r>
      <w:hyperlink r:id="rId21">
        <w:r>
          <w:rPr>
            <w:rStyle w:val="Hyperlink"/>
          </w:rPr>
          <w:t xml:space="preserve">https://osf.io/x82j3/overview (see `model_experiments.html` in `supplementary.zip`)</w:t>
        </w:r>
      </w:hyperlink>
    </w:p>
  </w:footnote>
  <w:footnote w:id="41">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and taken as the 0/1 indicator for selective admissions). Each coefficient therefore represents the change in log Attainment 8 associated with a one-standard-deviation change in the predictor. The outcome is left on its log scale rather than divided by its own standard deviation, so that the three pupil groups are compared in the same units; because the disadvantaged, non-disadvantaged and whole-cohort outcomes vary by different amounts between schools, rescaling each by its own standard deviation would make the three sets of bars answer subtly different questions.</w:t>
      </w:r>
    </w:p>
  </w:footnote>
  <w:footnote w:id="42">
    <w:p>
      <w:pPr>
        <w:pStyle w:val="FootnoteText"/>
      </w:pPr>
      <w:r>
        <w:rPr>
          <w:rStyle w:val="FootnoteReference"/>
        </w:rPr>
        <w:footnoteRef/>
      </w:r>
      <w:r>
        <w:t xml:space="preserve"> </w:t>
      </w:r>
      <w:r>
        <w:t xml:space="preserve">Stepwise Models for all pupil groups</w:t>
      </w:r>
      <w:r>
        <w:t xml:space="preserve"> </w:t>
      </w:r>
      <w:hyperlink r:id="rId21">
        <w:r>
          <w:rPr>
            <w:rStyle w:val="Hyperlink"/>
          </w:rPr>
          <w:t xml:space="preserve">https://osf.io/x82j3/overview (see `model_results.html#stepwise-model-building` in `supplementary.zip`)</w:t>
        </w:r>
      </w:hyperlink>
    </w:p>
  </w:footnote>
  <w:footnote w:id="43">
    <w:p>
      <w:pPr>
        <w:pStyle w:val="FootnoteText"/>
      </w:pPr>
      <w:r>
        <w:rPr>
          <w:rStyle w:val="FootnoteReference"/>
        </w:rPr>
        <w:footnoteRef/>
      </w:r>
      <w:r>
        <w:t xml:space="preserve"> </w:t>
      </w:r>
      <w:r>
        <w:t xml:space="preserve">Brighton and Hove Council 2024 Consultation Papers can be downloaded from here -</w:t>
      </w:r>
      <w:r>
        <w:t xml:space="preserve"> </w:t>
      </w:r>
      <w:hyperlink r:id="rId44">
        <w:r>
          <w:rPr>
            <w:rStyle w:val="Hyperlink"/>
          </w:rPr>
          <w:t xml:space="preserve">https://yourvoice.brighton-hove.gov.uk/en-GB/projects/school-admission-arrangements-public-consultation/1</w:t>
        </w:r>
      </w:hyperlink>
    </w:p>
  </w:footnote>
  <w:footnote w:id="45">
    <w:p>
      <w:pPr>
        <w:pStyle w:val="FootnoteText"/>
      </w:pPr>
      <w:r>
        <w:rPr>
          <w:rStyle w:val="FootnoteReference"/>
        </w:rPr>
        <w:footnoteRef/>
      </w:r>
      <w:r>
        <w:t xml:space="preserve"> </w:t>
      </w:r>
      <w:r>
        <w:t xml:space="preserve">See supplementary material for robustness checks:</w:t>
      </w:r>
      <w:r>
        <w:t xml:space="preserve"> </w:t>
      </w:r>
      <w:hyperlink r:id="rId21">
        <w:r>
          <w:rPr>
            <w:rStyle w:val="Hyperlink"/>
          </w:rPr>
          <w:t xml:space="preserve">https://osf.io/x82j3/overview (see `model_experiments.html` in `supplementary.zip`)</w:t>
        </w:r>
      </w:hyperlink>
    </w:p>
  </w:footnote>
  <w:footnote w:id="48">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0">
        <w:r>
          <w:rPr>
            <w:rStyle w:val="Hyperlink"/>
          </w:rPr>
          <w:t xml:space="preserve">https://democracy.brighton-hove.gov.uk/documents/s205834/School%20Admission%20Arrangements%202026-27.pdf</w:t>
        </w:r>
      </w:hyperlink>
      <w:r>
        <w:t xml:space="preserve">.</w:t>
      </w:r>
    </w:p>
  </w:footnote>
  <w:footnote w:id="5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44">
        <w:r>
          <w:rPr>
            <w:rStyle w:val="Hyperlink"/>
          </w:rPr>
          <w:t xml:space="preserve">https://yourvoice.brighton-hove.gov.uk/en-GB/projects/school-admission-arrangements-public-consultation/1</w:t>
        </w:r>
      </w:hyperlink>
      <w:r>
        <w:t xml:space="preserve">.</w:t>
      </w:r>
    </w:p>
  </w:footnote>
  <w:footnote w:id="52">
    <w:p>
      <w:pPr>
        <w:pStyle w:val="FootnoteText"/>
      </w:pPr>
      <w:r>
        <w:rPr>
          <w:rStyle w:val="FootnoteReference"/>
        </w:rPr>
        <w:footnoteRef/>
      </w:r>
      <w:r>
        <w:t xml:space="preserve"> </w:t>
      </w:r>
      <w:hyperlink r:id="rId53">
        <w:r>
          <w:rPr>
            <w:rStyle w:val="Hyperlink"/>
          </w:rPr>
          <w:t xml:space="preserve">https://www.brighton-hove.gov.uk/schools-and-learning/school-policies-reports-strategies-and-other-documents/better-outcomes-better-lives-brighton-hoves-strategy-tackling-educational-disadvantage</w:t>
        </w:r>
      </w:hyperlink>
    </w:p>
  </w:footnote>
  <w:footnote w:id="58">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21">
        <w:r>
          <w:rPr>
            <w:rStyle w:val="Hyperlink"/>
          </w:rPr>
          <w:t xml:space="preserve">https://osf.io/x82j3/overview (see `model_experiments.html#sec-two-stage-absence` in `supplementary.zip`)</w:t>
        </w:r>
      </w:hyperlink>
    </w:p>
  </w:footnote>
  <w:footnote w:id="61">
    <w:p>
      <w:pPr>
        <w:pStyle w:val="FootnoteText"/>
      </w:pPr>
      <w:r>
        <w:rPr>
          <w:rStyle w:val="FootnoteReference"/>
        </w:rPr>
        <w:footnoteRef/>
      </w:r>
      <w:r>
        <w:t xml:space="preserve"> </w:t>
      </w:r>
      <w:r>
        <w:t xml:space="preserve">Brighton and Hove Council 2024 Consultation Papers:</w:t>
      </w:r>
      <w:r>
        <w:t xml:space="preserve"> </w:t>
      </w:r>
      <w:hyperlink r:id="rId44">
        <w:r>
          <w:rPr>
            <w:rStyle w:val="Hyperlink"/>
          </w:rPr>
          <w:t xml:space="preserve">https://yourvoice.brighton-hove.gov.uk/en-GB/projects/school-admission-arrangements-public-consultation/1</w:t>
        </w:r>
      </w:hyperlink>
    </w:p>
  </w:footnote>
  <w:footnote w:id="6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0">
        <w:r>
          <w:rPr>
            <w:rStyle w:val="Hyperlink"/>
          </w:rPr>
          <w:t xml:space="preserve">https://democracy.brighton-hove.gov.uk/documents/s205834/School%20Admission%20Arrangements%202026-27.pdf</w:t>
        </w:r>
      </w:hyperlink>
      <w:r>
        <w:t xml:space="preserve">.</w:t>
      </w:r>
    </w:p>
  </w:footnote>
  <w:footnote w:id="64">
    <w:p>
      <w:pPr>
        <w:pStyle w:val="FootnoteText"/>
      </w:pPr>
      <w:r>
        <w:rPr>
          <w:rStyle w:val="FootnoteReference"/>
        </w:rPr>
        <w:footnoteRef/>
      </w:r>
      <w:r>
        <w:t xml:space="preserve"> </w:t>
      </w:r>
      <w:r>
        <w:t xml:space="preserve">The comment was made in a blog post here:</w:t>
      </w:r>
      <w:r>
        <w:t xml:space="preserve"> </w:t>
      </w:r>
      <w:hyperlink r:id="rId65">
        <w:r>
          <w:rPr>
            <w:rStyle w:val="Hyperlink"/>
          </w:rPr>
          <w:t xml:space="preserve">https://www.classdivide.co.uk/news/uk5uk5bxax0rvjz9q4tu4kgx2lbyhw</w:t>
        </w:r>
      </w:hyperlink>
    </w:p>
  </w:footnote>
  <w:footnote w:id="66">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44">
        <w:r>
          <w:rPr>
            <w:rStyle w:val="Hyperlink"/>
          </w:rPr>
          <w:t xml:space="preserve">https://yourvoice.brighton-hove.gov.uk/en-GB/projects/school-admission-arrangements-public-consultation/1</w:t>
        </w:r>
      </w:hyperlink>
      <w:r>
        <w:t xml:space="preserve">.</w:t>
      </w:r>
    </w:p>
  </w:footnote>
  <w:footnote w:id="68">
    <w:p>
      <w:pPr>
        <w:pStyle w:val="FootnoteText"/>
      </w:pPr>
      <w:r>
        <w:rPr>
          <w:rStyle w:val="FootnoteReference"/>
        </w:rPr>
        <w:footnoteRef/>
      </w:r>
      <w:r>
        <w:t xml:space="preserve"> </w:t>
      </w:r>
      <w:hyperlink r:id="rId69">
        <w:r>
          <w:rPr>
            <w:rStyle w:val="Hyperlink"/>
          </w:rPr>
          <w:t xml:space="preserve">https://educationequity.kit.com/</w:t>
        </w:r>
      </w:hyperlink>
    </w:p>
  </w:footnote>
  <w:footnote w:id="70">
    <w:p>
      <w:pPr>
        <w:pStyle w:val="FootnoteText"/>
      </w:pPr>
      <w:r>
        <w:rPr>
          <w:rStyle w:val="FootnoteReference"/>
        </w:rPr>
        <w:footnoteRef/>
      </w:r>
      <w:r>
        <w:t xml:space="preserve"> </w:t>
      </w:r>
      <w:hyperlink r:id="rId71">
        <w:r>
          <w:rPr>
            <w:rStyle w:val="Hyperlink"/>
          </w:rPr>
          <w:t xml:space="preserve">https://reports.ofsted.gov.uk/provider/23/136164</w:t>
        </w:r>
      </w:hyperlink>
    </w:p>
  </w:footnote>
  <w:footnote w:id="7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p>
  </w:footnote>
  <w:footnote w:id="76">
    <w:p>
      <w:pPr>
        <w:pStyle w:val="FootnoteText"/>
      </w:pPr>
      <w:r>
        <w:rPr>
          <w:rStyle w:val="FootnoteReference"/>
        </w:rPr>
        <w:footnoteRef/>
      </w:r>
      <w:r>
        <w:t xml:space="preserve"> </w:t>
      </w:r>
      <w:r>
        <w:t xml:space="preserve">School Attainment Policy Simulator: an interactive R Shiny web tool developed as part of this work. URL withheld for double-blind review; tool details, a walkthrough and access can be made available on request from the corresponding author via the editorial office.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9AC26D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2">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3">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4">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7">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8">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9">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20">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43349035" w:numId="1">
    <w:abstractNumId w:val="11"/>
  </w:num>
  <w:num w16cid:durableId="715008937" w:numId="2">
    <w:abstractNumId w:val="16"/>
  </w:num>
  <w:num w16cid:durableId="90863085" w:numId="3">
    <w:abstractNumId w:val="20"/>
  </w:num>
  <w:num w16cid:durableId="285892989" w:numId="4">
    <w:abstractNumId w:val="1"/>
  </w:num>
  <w:num w16cid:durableId="1889688008" w:numId="5">
    <w:abstractNumId w:val="2"/>
  </w:num>
  <w:num w16cid:durableId="1659188007" w:numId="6">
    <w:abstractNumId w:val="3"/>
  </w:num>
  <w:num w16cid:durableId="1748379258" w:numId="7">
    <w:abstractNumId w:val="4"/>
  </w:num>
  <w:num w16cid:durableId="1522279981" w:numId="8">
    <w:abstractNumId w:val="9"/>
  </w:num>
  <w:num w16cid:durableId="1846019313" w:numId="9">
    <w:abstractNumId w:val="5"/>
  </w:num>
  <w:num w16cid:durableId="1511069277" w:numId="10">
    <w:abstractNumId w:val="7"/>
  </w:num>
  <w:num w16cid:durableId="522597845" w:numId="11">
    <w:abstractNumId w:val="6"/>
  </w:num>
  <w:num w16cid:durableId="1183083884" w:numId="12">
    <w:abstractNumId w:val="10"/>
  </w:num>
  <w:num w16cid:durableId="1310789798" w:numId="13">
    <w:abstractNumId w:val="8"/>
  </w:num>
  <w:num w16cid:durableId="530187866" w:numId="14">
    <w:abstractNumId w:val="18"/>
  </w:num>
  <w:num w16cid:durableId="967275065" w:numId="15">
    <w:abstractNumId w:val="21"/>
  </w:num>
  <w:num w16cid:durableId="1562205318" w:numId="16">
    <w:abstractNumId w:val="15"/>
  </w:num>
  <w:num w16cid:durableId="18243480" w:numId="17">
    <w:abstractNumId w:val="17"/>
  </w:num>
  <w:num w16cid:durableId="148324002" w:numId="18">
    <w:abstractNumId w:val="12"/>
  </w:num>
  <w:num w16cid:durableId="1065106568" w:numId="19">
    <w:abstractNumId w:val="0"/>
  </w:num>
  <w:num w16cid:durableId="452943983" w:numId="20">
    <w:abstractNumId w:val="13"/>
  </w:num>
  <w:num w16cid:durableId="518197463" w:numId="21">
    <w:abstractNumId w:val="19"/>
  </w:num>
  <w:num w16cid:durableId="517695458" w:numId="22">
    <w:abstractNumId w:val="22"/>
  </w:num>
  <w:num w16cid:durableId="478576357" w:numId="23">
    <w:abstractNumId w:val="23"/>
  </w:num>
  <w:num w16cid:durableId="1353457913" w:numId="24">
    <w:abstractNumId w:val="14"/>
  </w:num>
  <w:num w16cid:durableId="1522280334" w:numId="25">
    <w:abstractNumId w:val="2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linkStyles/>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60CA6"/>
    <w:rsid w:val="000F697D"/>
    <w:rsid w:val="00162B3B"/>
    <w:rsid w:val="001A76D3"/>
    <w:rsid w:val="00302154"/>
    <w:rsid w:val="00303AF6"/>
    <w:rsid w:val="003E124A"/>
    <w:rsid w:val="00413CD7"/>
    <w:rsid w:val="00413EAF"/>
    <w:rsid w:val="00440721"/>
    <w:rsid w:val="00491C3B"/>
    <w:rsid w:val="006440C5"/>
    <w:rsid w:val="00660CA6"/>
    <w:rsid w:val="006B1605"/>
    <w:rsid w:val="006B1EF0"/>
    <w:rsid w:val="006E261F"/>
    <w:rsid w:val="00751895"/>
    <w:rsid w:val="0078047F"/>
    <w:rsid w:val="007C4687"/>
    <w:rsid w:val="00856D00"/>
    <w:rsid w:val="00861632"/>
    <w:rsid w:val="00A44957"/>
    <w:rsid w:val="00A50E66"/>
    <w:rsid w:val="00A96273"/>
    <w:rsid w:val="00B25936"/>
    <w:rsid w:val="00B6371F"/>
    <w:rsid w:val="00B8250B"/>
    <w:rsid w:val="00BE31E9"/>
    <w:rsid w:val="00C545A6"/>
    <w:rsid w:val="00C71E44"/>
    <w:rsid w:val="00D05A8B"/>
    <w:rsid w:val="00D5127C"/>
    <w:rsid w:val="00D62C5E"/>
    <w:rsid w:val="00EB2F3C"/>
    <w:rsid w:val="00EC7E12"/>
    <w:rsid w:val="00FF716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61F"/>
    <w:pPr>
      <w:spacing w:after="0" w:line="480" w:lineRule="auto"/>
    </w:pPr>
    <w:rPr>
      <w:rFonts w:ascii="Times New Roman" w:cs="Times New Roman" w:eastAsia="Times New Roman" w:hAnsi="Times New Roman"/>
      <w:lang w:eastAsia="en-GB" w:val="en-GB"/>
    </w:rPr>
  </w:style>
  <w:style w:styleId="Heading1" w:type="paragraph">
    <w:name w:val="heading 1"/>
    <w:basedOn w:val="Normal"/>
    <w:next w:val="Paragraph"/>
    <w:link w:val="Heading1Char"/>
    <w:qFormat/>
    <w:rsid w:val="006E261F"/>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6E261F"/>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6E261F"/>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6E261F"/>
    <w:pPr>
      <w:spacing w:before="360"/>
      <w:outlineLvl w:val="3"/>
    </w:pPr>
    <w:rPr>
      <w:bCs/>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rsid w:val="006E261F"/>
  </w:style>
  <w:style w:default="1" w:styleId="TableNormal" w:type="table">
    <w:name w:val="Normal Table"/>
    <w:uiPriority w:val="99"/>
    <w:semiHidden/>
    <w:unhideWhenUsed/>
    <w:tblPr>
      <w:tblInd w:type="dxa" w:w="0"/>
      <w:tblCellMar>
        <w:top w:type="dxa" w:w="0"/>
        <w:left w:type="dxa" w:w="43"/>
        <w:bottom w:type="dxa" w:w="0"/>
        <w:right w:type="dxa" w:w="43"/>
      </w:tblCellMar>
    </w:tblPr>
  </w:style>
  <w:style w:default="1" w:styleId="NoList" w:type="numbering">
    <w:name w:val="No List"/>
    <w:uiPriority w:val="99"/>
    <w:semiHidden/>
    <w:unhideWhenUsed/>
    <w:rsid w:val="006E261F"/>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6"/>
      <w:szCs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Keywords"/>
    <w:qFormat/>
    <w:rsid w:val="006E261F"/>
    <w:pPr>
      <w:spacing w:after="300" w:before="360" w:line="360" w:lineRule="auto"/>
      <w:ind w:left="720" w:right="567"/>
    </w:pPr>
    <w:rPr>
      <w:sz w:val="22"/>
    </w:rPr>
  </w:style>
  <w:style w:styleId="Bibliography" w:type="paragraph">
    <w:name w:val="Bibliography"/>
    <w:basedOn w:val="Normal"/>
    <w:qFormat/>
    <w:pPr>
      <w:ind w:hanging="720" w:left="720"/>
    </w:pPr>
  </w:style>
  <w:style w:customStyle="1" w:styleId="Heading1Char" w:type="character">
    <w:name w:val="Heading 1 Char"/>
    <w:basedOn w:val="DefaultParagraphFont"/>
    <w:link w:val="Heading1"/>
    <w:rsid w:val="006E261F"/>
    <w:rPr>
      <w:rFonts w:ascii="Times New Roman" w:cs="Arial" w:eastAsia="Times New Roman" w:hAnsi="Times New Roman"/>
      <w:b/>
      <w:bCs/>
      <w:kern w:val="32"/>
      <w:szCs w:val="32"/>
      <w:lang w:eastAsia="en-GB" w:val="en-GB"/>
    </w:rPr>
  </w:style>
  <w:style w:customStyle="1" w:styleId="Heading2Char" w:type="character">
    <w:name w:val="Heading 2 Char"/>
    <w:basedOn w:val="DefaultParagraphFont"/>
    <w:link w:val="Heading2"/>
    <w:rsid w:val="006E261F"/>
    <w:rPr>
      <w:rFonts w:ascii="Times New Roman" w:cs="Arial" w:eastAsia="Times New Roman" w:hAnsi="Times New Roman"/>
      <w:b/>
      <w:bCs/>
      <w:i/>
      <w:iCs/>
      <w:szCs w:val="28"/>
      <w:lang w:eastAsia="en-GB" w:val="en-GB"/>
    </w:rPr>
  </w:style>
  <w:style w:customStyle="1" w:styleId="Heading3Char" w:type="character">
    <w:name w:val="Heading 3 Char"/>
    <w:basedOn w:val="DefaultParagraphFont"/>
    <w:link w:val="Heading3"/>
    <w:rsid w:val="006E261F"/>
    <w:rPr>
      <w:rFonts w:ascii="Times New Roman" w:cs="Arial" w:eastAsia="Times New Roman" w:hAnsi="Times New Roman"/>
      <w:bCs/>
      <w:i/>
      <w:szCs w:val="26"/>
      <w:lang w:eastAsia="en-GB" w:val="en-GB"/>
    </w:rPr>
  </w:style>
  <w:style w:customStyle="1" w:styleId="Heading4Char" w:type="character">
    <w:name w:val="Heading 4 Char"/>
    <w:basedOn w:val="DefaultParagraphFont"/>
    <w:link w:val="Heading4"/>
    <w:rsid w:val="006E261F"/>
    <w:rPr>
      <w:rFonts w:ascii="Times New Roman" w:cs="Times New Roman" w:eastAsia="Times New Roman" w:hAnsi="Times New Roman"/>
      <w:bCs/>
      <w:szCs w:val="28"/>
      <w:lang w:eastAsia="en-GB" w:val="en-GB"/>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autoRedefine/>
    <w:rsid w:val="006E261F"/>
    <w:pPr>
      <w:ind w:hanging="284" w:left="284"/>
    </w:pPr>
    <w:rPr>
      <w:sz w:val="22"/>
      <w:szCs w:val="20"/>
    </w:rPr>
  </w:style>
  <w:style w:customStyle="1" w:styleId="FootnoteBlockText" w:type="paragraph">
    <w:name w:val="Footnote Block Text"/>
    <w:basedOn w:val="FootnoteText"/>
    <w:next w:val="FootnoteText"/>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43"/>
        <w:bottom w:type="dxa" w:w="0"/>
        <w:right w:type="dxa" w:w="43"/>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DefaultParagraphFont"/>
    <w:rsid w:val="006E261F"/>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Articletitle" w:type="paragraph">
    <w:name w:val="Article title"/>
    <w:basedOn w:val="Normal"/>
    <w:next w:val="Normal"/>
    <w:qFormat/>
    <w:rsid w:val="006E261F"/>
    <w:pPr>
      <w:spacing w:after="120" w:line="360" w:lineRule="auto"/>
    </w:pPr>
    <w:rPr>
      <w:b/>
      <w:sz w:val="28"/>
    </w:rPr>
  </w:style>
  <w:style w:customStyle="1" w:styleId="Authornames" w:type="paragraph">
    <w:name w:val="Author names"/>
    <w:basedOn w:val="Normal"/>
    <w:next w:val="Normal"/>
    <w:qFormat/>
    <w:rsid w:val="006E261F"/>
    <w:pPr>
      <w:spacing w:before="240" w:line="360" w:lineRule="auto"/>
    </w:pPr>
    <w:rPr>
      <w:sz w:val="28"/>
    </w:rPr>
  </w:style>
  <w:style w:customStyle="1" w:styleId="Affiliation" w:type="paragraph">
    <w:name w:val="Affiliation"/>
    <w:basedOn w:val="Normal"/>
    <w:qFormat/>
    <w:rsid w:val="006E261F"/>
    <w:pPr>
      <w:spacing w:before="240" w:line="360" w:lineRule="auto"/>
    </w:pPr>
    <w:rPr>
      <w:i/>
    </w:rPr>
  </w:style>
  <w:style w:customStyle="1" w:styleId="Receiveddates" w:type="paragraph">
    <w:name w:val="Received dates"/>
    <w:basedOn w:val="Affiliation"/>
    <w:next w:val="Normal"/>
    <w:qFormat/>
    <w:rsid w:val="006E261F"/>
  </w:style>
  <w:style w:customStyle="1" w:styleId="Keywords" w:type="paragraph">
    <w:name w:val="Keywords"/>
    <w:basedOn w:val="Normal"/>
    <w:next w:val="Paragraph"/>
    <w:qFormat/>
    <w:rsid w:val="006E261F"/>
    <w:pPr>
      <w:spacing w:after="240" w:before="240" w:line="360" w:lineRule="auto"/>
      <w:ind w:left="720" w:right="567"/>
    </w:pPr>
    <w:rPr>
      <w:sz w:val="22"/>
    </w:rPr>
  </w:style>
  <w:style w:customStyle="1" w:styleId="Correspondencedetails" w:type="paragraph">
    <w:name w:val="Correspondence details"/>
    <w:basedOn w:val="Normal"/>
    <w:qFormat/>
    <w:rsid w:val="006E261F"/>
    <w:pPr>
      <w:spacing w:before="240" w:line="360" w:lineRule="auto"/>
    </w:pPr>
  </w:style>
  <w:style w:customStyle="1" w:styleId="Displayedquotation" w:type="paragraph">
    <w:name w:val="Displayed quotation"/>
    <w:basedOn w:val="Normal"/>
    <w:qFormat/>
    <w:rsid w:val="006E261F"/>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6E261F"/>
    <w:pPr>
      <w:widowControl/>
      <w:numPr>
        <w:numId w:val="14"/>
      </w:numPr>
      <w:spacing w:after="240"/>
      <w:contextualSpacing/>
    </w:pPr>
  </w:style>
  <w:style w:customStyle="1" w:styleId="Displayedequation" w:type="paragraph">
    <w:name w:val="Displayed equation"/>
    <w:basedOn w:val="Normal"/>
    <w:next w:val="Paragraph"/>
    <w:qFormat/>
    <w:rsid w:val="006E261F"/>
    <w:pPr>
      <w:tabs>
        <w:tab w:pos="4253" w:val="center"/>
        <w:tab w:pos="8222" w:val="right"/>
      </w:tabs>
      <w:spacing w:after="240" w:before="240"/>
      <w:jc w:val="center"/>
    </w:pPr>
  </w:style>
  <w:style w:customStyle="1" w:styleId="Acknowledgements" w:type="paragraph">
    <w:name w:val="Acknowledgements"/>
    <w:basedOn w:val="Normal"/>
    <w:next w:val="Normal"/>
    <w:qFormat/>
    <w:rsid w:val="006E261F"/>
    <w:pPr>
      <w:spacing w:before="120" w:line="360" w:lineRule="auto"/>
    </w:pPr>
    <w:rPr>
      <w:sz w:val="22"/>
    </w:rPr>
  </w:style>
  <w:style w:customStyle="1" w:styleId="Tabletitle" w:type="paragraph">
    <w:name w:val="Table title"/>
    <w:basedOn w:val="Normal"/>
    <w:next w:val="Normal"/>
    <w:qFormat/>
    <w:rsid w:val="006E261F"/>
    <w:pPr>
      <w:spacing w:before="240" w:line="360" w:lineRule="auto"/>
    </w:pPr>
  </w:style>
  <w:style w:customStyle="1" w:styleId="Figurecaption" w:type="paragraph">
    <w:name w:val="Figure caption"/>
    <w:basedOn w:val="Normal"/>
    <w:next w:val="Normal"/>
    <w:qFormat/>
    <w:rsid w:val="006E261F"/>
    <w:pPr>
      <w:spacing w:before="240" w:line="360" w:lineRule="auto"/>
    </w:pPr>
  </w:style>
  <w:style w:customStyle="1" w:styleId="Footnotes" w:type="paragraph">
    <w:name w:val="Footnotes"/>
    <w:basedOn w:val="Normal"/>
    <w:qFormat/>
    <w:rsid w:val="006E261F"/>
    <w:pPr>
      <w:spacing w:before="120" w:line="360" w:lineRule="auto"/>
      <w:ind w:hanging="482" w:left="482"/>
      <w:contextualSpacing/>
    </w:pPr>
    <w:rPr>
      <w:sz w:val="22"/>
    </w:rPr>
  </w:style>
  <w:style w:customStyle="1" w:styleId="Notesoncontributors" w:type="paragraph">
    <w:name w:val="Notes on contributors"/>
    <w:basedOn w:val="Normal"/>
    <w:qFormat/>
    <w:rsid w:val="006E261F"/>
    <w:pPr>
      <w:spacing w:before="240" w:line="360" w:lineRule="auto"/>
    </w:pPr>
    <w:rPr>
      <w:sz w:val="22"/>
    </w:rPr>
  </w:style>
  <w:style w:customStyle="1" w:styleId="Normalparagraphstyle" w:type="paragraph">
    <w:name w:val="Normal paragraph style"/>
    <w:basedOn w:val="Normal"/>
    <w:next w:val="Normal"/>
    <w:rsid w:val="006E261F"/>
  </w:style>
  <w:style w:customStyle="1" w:styleId="Paragraph" w:type="paragraph">
    <w:name w:val="Paragraph"/>
    <w:basedOn w:val="Normal"/>
    <w:next w:val="Newparagraph"/>
    <w:qFormat/>
    <w:rsid w:val="006E261F"/>
    <w:pPr>
      <w:widowControl w:val="0"/>
      <w:spacing w:before="240"/>
    </w:pPr>
  </w:style>
  <w:style w:customStyle="1" w:styleId="Newparagraph" w:type="paragraph">
    <w:name w:val="New paragraph"/>
    <w:basedOn w:val="Normal"/>
    <w:qFormat/>
    <w:rsid w:val="006E261F"/>
    <w:pPr>
      <w:ind w:firstLine="720"/>
    </w:pPr>
  </w:style>
  <w:style w:styleId="NormalIndent" w:type="paragraph">
    <w:name w:val="Normal Indent"/>
    <w:basedOn w:val="Normal"/>
    <w:rsid w:val="006E261F"/>
    <w:pPr>
      <w:ind w:left="720"/>
    </w:pPr>
  </w:style>
  <w:style w:customStyle="1" w:styleId="References" w:type="paragraph">
    <w:name w:val="References"/>
    <w:basedOn w:val="Normal"/>
    <w:qFormat/>
    <w:rsid w:val="006E261F"/>
    <w:pPr>
      <w:spacing w:before="120" w:line="360" w:lineRule="auto"/>
      <w:ind w:hanging="720" w:left="720"/>
      <w:contextualSpacing/>
    </w:pPr>
  </w:style>
  <w:style w:customStyle="1" w:styleId="Subjectcodes" w:type="paragraph">
    <w:name w:val="Subject codes"/>
    <w:basedOn w:val="Keywords"/>
    <w:next w:val="Paragraph"/>
    <w:qFormat/>
    <w:rsid w:val="006E261F"/>
  </w:style>
  <w:style w:customStyle="1" w:styleId="Bulletedlist" w:type="paragraph">
    <w:name w:val="Bulleted list"/>
    <w:basedOn w:val="Paragraph"/>
    <w:next w:val="Paragraph"/>
    <w:qFormat/>
    <w:rsid w:val="006E261F"/>
    <w:pPr>
      <w:widowControl/>
      <w:numPr>
        <w:numId w:val="15"/>
      </w:numPr>
      <w:spacing w:after="240"/>
      <w:contextualSpacing/>
    </w:pPr>
  </w:style>
  <w:style w:customStyle="1" w:styleId="FootnoteTextChar" w:type="character">
    <w:name w:val="Footnote Text Char"/>
    <w:basedOn w:val="DefaultParagraphFont"/>
    <w:link w:val="FootnoteText"/>
    <w:rsid w:val="006E261F"/>
    <w:rPr>
      <w:rFonts w:ascii="Times New Roman" w:cs="Times New Roman" w:eastAsia="Times New Roman" w:hAnsi="Times New Roman"/>
      <w:sz w:val="22"/>
      <w:szCs w:val="20"/>
      <w:lang w:eastAsia="en-GB" w:val="en-GB"/>
    </w:rPr>
  </w:style>
  <w:style w:styleId="EndnoteText" w:type="paragraph">
    <w:name w:val="endnote text"/>
    <w:basedOn w:val="Normal"/>
    <w:link w:val="EndnoteTextChar"/>
    <w:autoRedefine/>
    <w:rsid w:val="006E261F"/>
    <w:pPr>
      <w:ind w:hanging="284" w:left="284"/>
    </w:pPr>
    <w:rPr>
      <w:sz w:val="22"/>
      <w:szCs w:val="20"/>
    </w:rPr>
  </w:style>
  <w:style w:customStyle="1" w:styleId="EndnoteTextChar" w:type="character">
    <w:name w:val="Endnote Text Char"/>
    <w:basedOn w:val="DefaultParagraphFont"/>
    <w:link w:val="EndnoteText"/>
    <w:rsid w:val="006E261F"/>
    <w:rPr>
      <w:rFonts w:ascii="Times New Roman" w:cs="Times New Roman" w:eastAsia="Times New Roman" w:hAnsi="Times New Roman"/>
      <w:sz w:val="22"/>
      <w:szCs w:val="20"/>
      <w:lang w:eastAsia="en-GB" w:val="en-GB"/>
    </w:rPr>
  </w:style>
  <w:style w:styleId="EndnoteReference" w:type="character">
    <w:name w:val="endnote reference"/>
    <w:basedOn w:val="DefaultParagraphFont"/>
    <w:rsid w:val="006E261F"/>
    <w:rPr>
      <w:vertAlign w:val="superscript"/>
    </w:rPr>
  </w:style>
  <w:style w:styleId="Header" w:type="paragraph">
    <w:name w:val="header"/>
    <w:basedOn w:val="Normal"/>
    <w:link w:val="HeaderChar"/>
    <w:rsid w:val="006E261F"/>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6E261F"/>
    <w:rPr>
      <w:rFonts w:ascii="Times New Roman" w:cs="Times New Roman" w:eastAsia="Times New Roman" w:hAnsi="Times New Roman"/>
      <w:lang w:eastAsia="en-GB" w:val="en-GB"/>
    </w:rPr>
  </w:style>
  <w:style w:styleId="Footer" w:type="paragraph">
    <w:name w:val="footer"/>
    <w:basedOn w:val="Normal"/>
    <w:link w:val="FooterChar"/>
    <w:rsid w:val="006E261F"/>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6E261F"/>
    <w:rPr>
      <w:rFonts w:ascii="Times New Roman" w:cs="Times New Roman" w:eastAsia="Times New Roman" w:hAnsi="Times New Roman"/>
      <w:lang w:eastAsia="en-GB" w:val="en-GB"/>
    </w:rPr>
  </w:style>
  <w:style w:customStyle="1" w:styleId="Heading4Paragraph" w:type="paragraph">
    <w:name w:val="Heading 4 + Paragraph"/>
    <w:basedOn w:val="Paragraph"/>
    <w:next w:val="Newparagraph"/>
    <w:qFormat/>
    <w:rsid w:val="006E261F"/>
    <w:pPr>
      <w:widowControl/>
      <w:spacing w:before="360"/>
    </w:pPr>
  </w:style>
  <w:style w:styleId="TableGridLight" w:type="table">
    <w:name w:val="Grid Table Light"/>
    <w:basedOn w:val="TableNormal"/>
    <w:rsid w:val="003E124A"/>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6" Target="media/rId206.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193" Target="media/rId193.png" /><Relationship Type="http://schemas.openxmlformats.org/officeDocument/2006/relationships/hyperlink" Id="rId120" Target="https://cep.lse.ac.uk/_new/publications/abstract.asp?index=5752" TargetMode="External" /><Relationship Type="http://schemas.openxmlformats.org/officeDocument/2006/relationships/hyperlink" Id="rId98" Target="https://committees.parliament.uk/committee/203/education-committee/news/156024/forgotten-white-workingclass-pupils-let-down-by-decades-of-neglect-mps-say/" TargetMode="External" /><Relationship Type="http://schemas.openxmlformats.org/officeDocument/2006/relationships/hyperlink" Id="rId49" Target="https://democracy.brighton-hove.gov.uk/documents/s204040/School%20Admission%20Arrangements%202026-27.pdf" TargetMode="External" /><Relationship Type="http://schemas.openxmlformats.org/officeDocument/2006/relationships/hyperlink" Id="rId50" Target="https://democracy.brighton-hove.gov.uk/documents/s205834/School%20Admission%20Arrangements%202026-27.pdf" TargetMode="External" /><Relationship Type="http://schemas.openxmlformats.org/officeDocument/2006/relationships/hyperlink" Id="rId122" Target="https://doi.org/10.1002/berj.3297" TargetMode="External" /><Relationship Type="http://schemas.openxmlformats.org/officeDocument/2006/relationships/hyperlink" Id="rId112" Target="https://doi.org/10.1002/berj.3992" TargetMode="External" /><Relationship Type="http://schemas.openxmlformats.org/officeDocument/2006/relationships/hyperlink" Id="rId175" Target="https://doi.org/10.1007/978-3-031-98300-9_17" TargetMode="External" /><Relationship Type="http://schemas.openxmlformats.org/officeDocument/2006/relationships/hyperlink" Id="rId155" Target="https://doi.org/10.1007/s41105-017-0091-0" TargetMode="External" /><Relationship Type="http://schemas.openxmlformats.org/officeDocument/2006/relationships/hyperlink" Id="rId93" Target="https://doi.org/10.1016/j.econedurev.2023.102405" TargetMode="External" /><Relationship Type="http://schemas.openxmlformats.org/officeDocument/2006/relationships/hyperlink" Id="rId110" Target="https://doi.org/10.1016/j.jth.2023.101605" TargetMode="External" /><Relationship Type="http://schemas.openxmlformats.org/officeDocument/2006/relationships/hyperlink" Id="rId136" Target="https://doi.org/10.1016/j.psyneuen.2021.105371" TargetMode="External" /><Relationship Type="http://schemas.openxmlformats.org/officeDocument/2006/relationships/hyperlink" Id="rId186" Target="https://doi.org/10.1016/j.sleep.2018.10.041" TargetMode="External" /><Relationship Type="http://schemas.openxmlformats.org/officeDocument/2006/relationships/hyperlink" Id="rId184" Target="https://doi.org/10.1080/00031305.2016.1154108" TargetMode="External" /><Relationship Type="http://schemas.openxmlformats.org/officeDocument/2006/relationships/hyperlink" Id="rId171" Target="https://doi.org/10.1080/01425692.2025.2474040" TargetMode="External" /><Relationship Type="http://schemas.openxmlformats.org/officeDocument/2006/relationships/hyperlink" Id="rId87" Target="https://doi.org/10.1080/0305764X.2024.2420611" TargetMode="External" /><Relationship Type="http://schemas.openxmlformats.org/officeDocument/2006/relationships/hyperlink" Id="rId83" Target="https://doi.org/10.1080/09645292.2017.1366425" TargetMode="External" /><Relationship Type="http://schemas.openxmlformats.org/officeDocument/2006/relationships/hyperlink" Id="rId114" Target="https://doi.org/10.1093/ooec/odad029" TargetMode="External" /><Relationship Type="http://schemas.openxmlformats.org/officeDocument/2006/relationships/hyperlink" Id="rId145" Target="https://doi.org/10.1098/rsif.2017.0213" TargetMode="External" /><Relationship Type="http://schemas.openxmlformats.org/officeDocument/2006/relationships/hyperlink" Id="rId118" Target="https://doi.org/10.1111/j.1467-8624.2004.00655.x" TargetMode="External" /><Relationship Type="http://schemas.openxmlformats.org/officeDocument/2006/relationships/hyperlink" Id="rId85" Target="https://doi.org/10.1111/j.1475-5661.2012.00511.x" TargetMode="External" /><Relationship Type="http://schemas.openxmlformats.org/officeDocument/2006/relationships/hyperlink" Id="rId147" Target="https://doi.org/10.1111/j.2041-210x.2012.00261.x" TargetMode="External" /><Relationship Type="http://schemas.openxmlformats.org/officeDocument/2006/relationships/hyperlink" Id="rId157" Target="https://doi.org/10.1111/jcpp.14082" TargetMode="External" /><Relationship Type="http://schemas.openxmlformats.org/officeDocument/2006/relationships/hyperlink" Id="rId149" Target="https://doi.org/10.1111/pcn.13714" TargetMode="External" /><Relationship Type="http://schemas.openxmlformats.org/officeDocument/2006/relationships/hyperlink" Id="rId91" Target="https://doi.org/10.1177/0308518X18787820" TargetMode="External" /><Relationship Type="http://schemas.openxmlformats.org/officeDocument/2006/relationships/hyperlink" Id="rId182" Target="https://doi.org/10.1177/0739456X17725148" TargetMode="External" /><Relationship Type="http://schemas.openxmlformats.org/officeDocument/2006/relationships/hyperlink" Id="rId124" Target="https://doi.org/10.1177/2158244018825171" TargetMode="External" /><Relationship Type="http://schemas.openxmlformats.org/officeDocument/2006/relationships/hyperlink" Id="rId116" Target="https://doi.org/10.1186/1471-2458-13-1166" TargetMode="External" /><Relationship Type="http://schemas.openxmlformats.org/officeDocument/2006/relationships/hyperlink" Id="rId132" Target="https://doi.org/10.1186/s12889-025-22861-7" TargetMode="External" /><Relationship Type="http://schemas.openxmlformats.org/officeDocument/2006/relationships/hyperlink" Id="rId151" Target="https://doi.org/10.1265/ehpm.25-00290" TargetMode="External" /><Relationship Type="http://schemas.openxmlformats.org/officeDocument/2006/relationships/hyperlink" Id="rId134" Target="https://doi.org/10.1371/journal.pmed.1003031" TargetMode="External" /><Relationship Type="http://schemas.openxmlformats.org/officeDocument/2006/relationships/hyperlink" Id="rId95" Target="https://doi.org/10.1371/journal.pone.0314687" TargetMode="External" /><Relationship Type="http://schemas.openxmlformats.org/officeDocument/2006/relationships/hyperlink" Id="rId141" Target="https://doi.org/10.14324/LRE.21.1.20" TargetMode="External" /><Relationship Type="http://schemas.openxmlformats.org/officeDocument/2006/relationships/hyperlink" Id="rId165" Target="https://doi.org/10.1515/9781400881970-018" TargetMode="External" /><Relationship Type="http://schemas.openxmlformats.org/officeDocument/2006/relationships/hyperlink" Id="rId130" Target="https://doi.org/10.18637/jss.v017.i01" TargetMode="External" /><Relationship Type="http://schemas.openxmlformats.org/officeDocument/2006/relationships/hyperlink" Id="rId169" Target="https://doi.org/10.3102/0013189X20949504" TargetMode="External" /><Relationship Type="http://schemas.openxmlformats.org/officeDocument/2006/relationships/hyperlink" Id="rId100" Target="https://doi.org/10.3102/01623737221092450" TargetMode="External" /><Relationship Type="http://schemas.openxmlformats.org/officeDocument/2006/relationships/hyperlink" Id="rId153" Target="https://doi.org/10.3109/07420528.2013.826238" TargetMode="External" /><Relationship Type="http://schemas.openxmlformats.org/officeDocument/2006/relationships/hyperlink" Id="rId126" Target="https://doi.org/10.3390/educsci15010006" TargetMode="External" /><Relationship Type="http://schemas.openxmlformats.org/officeDocument/2006/relationships/hyperlink" Id="rId69" Target="https://educationequity.kit.com/" TargetMode="External" /><Relationship Type="http://schemas.openxmlformats.org/officeDocument/2006/relationships/hyperlink" Id="rId180" Target="https://epi.org.uk/annual-report-2023/" TargetMode="External" /><Relationship Type="http://schemas.openxmlformats.org/officeDocument/2006/relationships/hyperlink" Id="rId188" Target="https://epi.org.uk/publications-and-research/the-influence-of-headteachers-on-their-schools/" TargetMode="External" /><Relationship Type="http://schemas.openxmlformats.org/officeDocument/2006/relationships/hyperlink" Id="rId33" Target="https://explore-education-statistics.service.gov.uk/find-statistics/key-stage-4-performance" TargetMode="External" /><Relationship Type="http://schemas.openxmlformats.org/officeDocument/2006/relationships/hyperlink" Id="rId106" Target="https://explore-education-statistics.service.gov.uk/find-statistics/pupil-absence-in-schools-in-england/2024-25-autumn-and-spring-term" TargetMode="External" /><Relationship Type="http://schemas.openxmlformats.org/officeDocument/2006/relationships/hyperlink" Id="rId102" Target="https://explore-education-statistics.service.gov.uk/find-statistics/the-link-between-absence-and-attainment-at-ks2-and-ks4/2018-19" TargetMode="External" /><Relationship Type="http://schemas.openxmlformats.org/officeDocument/2006/relationships/hyperlink" Id="rId178" Target="https://ffteducationdatalab.org.uk/2023/11/are-pupils-who-live-further-away-from-their-school-absent-more-often/" TargetMode="External" /><Relationship Type="http://schemas.openxmlformats.org/officeDocument/2006/relationships/hyperlink" Id="rId163" Target="https://knowledge.uchicago.edu/record/7216" TargetMode="External" /><Relationship Type="http://schemas.openxmlformats.org/officeDocument/2006/relationships/hyperlink" Id="rId128" Target="https://opendocs.ids.ac.uk/articles/report/The_Contribution_of_Education_to_Economic_Growth/26453986/1" TargetMode="External" /><Relationship Type="http://schemas.openxmlformats.org/officeDocument/2006/relationships/hyperlink" Id="rId21" Target="https://osf.io/x82j3/overview" TargetMode="External" /><Relationship Type="http://schemas.openxmlformats.org/officeDocument/2006/relationships/hyperlink" Id="rId71" Target="https://reports.ofsted.gov.uk/provider/23/136164" TargetMode="External" /><Relationship Type="http://schemas.openxmlformats.org/officeDocument/2006/relationships/hyperlink" Id="rId53"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65" Target="https://www.classdivide.co.uk/news/uk5uk5bxax0rvjz9q4tu4kgx2lbyhw" TargetMode="External" /><Relationship Type="http://schemas.openxmlformats.org/officeDocument/2006/relationships/hyperlink" Id="rId159" Target="https://www.gov.uk/government/publications/against-the-odds" TargetMode="External" /><Relationship Type="http://schemas.openxmlformats.org/officeDocument/2006/relationships/hyperlink" Id="rId108" Target="https://www.gov.uk/government/publications/every-child-achieving-and-thriving/every-child-achieving-and-thriving-html-version" TargetMode="External" /><Relationship Type="http://schemas.openxmlformats.org/officeDocument/2006/relationships/hyperlink" Id="rId161" Target="https://www.gov.uk/government/publications/examining-the-london-advantage-in-attainment-evidence-from-lsype" TargetMode="External" /><Relationship Type="http://schemas.openxmlformats.org/officeDocument/2006/relationships/hyperlink" Id="rId104" Target="https://www.gov.uk/government/publications/link-between-attendance-and-attainment" TargetMode="External" /><Relationship Type="http://schemas.openxmlformats.org/officeDocument/2006/relationships/hyperlink" Id="rId17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39" Target="https://www.nfer.ac.uk/publications/supporting-the-attainment-of-disadvantaged-pupils-articulating-success-and-good-practice/" TargetMode="External" /><Relationship Type="http://schemas.openxmlformats.org/officeDocument/2006/relationships/hyperlink" Id="rId143" Target="https://www.nfer.ac.uk/publications/understanding-the-relationship-between-attendance-wellbeing-and-sense-of-belonging/" TargetMode="External" /><Relationship Type="http://schemas.openxmlformats.org/officeDocument/2006/relationships/hyperlink" Id="rId89" Target="https://www.urban.org/sites/default/files/publication/99027/time_to_school_and_student_outcomes_in_dc_1.pdf" TargetMode="External" /><Relationship Type="http://schemas.openxmlformats.org/officeDocument/2006/relationships/hyperlink" Id="rId44"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20" Target="https://cep.lse.ac.uk/_new/publications/abstract.asp?index=5752" TargetMode="External" /><Relationship Type="http://schemas.openxmlformats.org/officeDocument/2006/relationships/hyperlink" Id="rId98" Target="https://committees.parliament.uk/committee/203/education-committee/news/156024/forgotten-white-workingclass-pupils-let-down-by-decades-of-neglect-mps-say/" TargetMode="External" /><Relationship Type="http://schemas.openxmlformats.org/officeDocument/2006/relationships/hyperlink" Id="rId49" Target="https://democracy.brighton-hove.gov.uk/documents/s204040/School%20Admission%20Arrangements%202026-27.pdf" TargetMode="External" /><Relationship Type="http://schemas.openxmlformats.org/officeDocument/2006/relationships/hyperlink" Id="rId50" Target="https://democracy.brighton-hove.gov.uk/documents/s205834/School%20Admission%20Arrangements%202026-27.pdf" TargetMode="External" /><Relationship Type="http://schemas.openxmlformats.org/officeDocument/2006/relationships/hyperlink" Id="rId122" Target="https://doi.org/10.1002/berj.3297" TargetMode="External" /><Relationship Type="http://schemas.openxmlformats.org/officeDocument/2006/relationships/hyperlink" Id="rId112" Target="https://doi.org/10.1002/berj.3992" TargetMode="External" /><Relationship Type="http://schemas.openxmlformats.org/officeDocument/2006/relationships/hyperlink" Id="rId175" Target="https://doi.org/10.1007/978-3-031-98300-9_17" TargetMode="External" /><Relationship Type="http://schemas.openxmlformats.org/officeDocument/2006/relationships/hyperlink" Id="rId155" Target="https://doi.org/10.1007/s41105-017-0091-0" TargetMode="External" /><Relationship Type="http://schemas.openxmlformats.org/officeDocument/2006/relationships/hyperlink" Id="rId93" Target="https://doi.org/10.1016/j.econedurev.2023.102405" TargetMode="External" /><Relationship Type="http://schemas.openxmlformats.org/officeDocument/2006/relationships/hyperlink" Id="rId110" Target="https://doi.org/10.1016/j.jth.2023.101605" TargetMode="External" /><Relationship Type="http://schemas.openxmlformats.org/officeDocument/2006/relationships/hyperlink" Id="rId136" Target="https://doi.org/10.1016/j.psyneuen.2021.105371" TargetMode="External" /><Relationship Type="http://schemas.openxmlformats.org/officeDocument/2006/relationships/hyperlink" Id="rId186" Target="https://doi.org/10.1016/j.sleep.2018.10.041" TargetMode="External" /><Relationship Type="http://schemas.openxmlformats.org/officeDocument/2006/relationships/hyperlink" Id="rId184" Target="https://doi.org/10.1080/00031305.2016.1154108" TargetMode="External" /><Relationship Type="http://schemas.openxmlformats.org/officeDocument/2006/relationships/hyperlink" Id="rId171" Target="https://doi.org/10.1080/01425692.2025.2474040" TargetMode="External" /><Relationship Type="http://schemas.openxmlformats.org/officeDocument/2006/relationships/hyperlink" Id="rId87" Target="https://doi.org/10.1080/0305764X.2024.2420611" TargetMode="External" /><Relationship Type="http://schemas.openxmlformats.org/officeDocument/2006/relationships/hyperlink" Id="rId83" Target="https://doi.org/10.1080/09645292.2017.1366425" TargetMode="External" /><Relationship Type="http://schemas.openxmlformats.org/officeDocument/2006/relationships/hyperlink" Id="rId114" Target="https://doi.org/10.1093/ooec/odad029" TargetMode="External" /><Relationship Type="http://schemas.openxmlformats.org/officeDocument/2006/relationships/hyperlink" Id="rId145" Target="https://doi.org/10.1098/rsif.2017.0213" TargetMode="External" /><Relationship Type="http://schemas.openxmlformats.org/officeDocument/2006/relationships/hyperlink" Id="rId118" Target="https://doi.org/10.1111/j.1467-8624.2004.00655.x" TargetMode="External" /><Relationship Type="http://schemas.openxmlformats.org/officeDocument/2006/relationships/hyperlink" Id="rId85" Target="https://doi.org/10.1111/j.1475-5661.2012.00511.x" TargetMode="External" /><Relationship Type="http://schemas.openxmlformats.org/officeDocument/2006/relationships/hyperlink" Id="rId147" Target="https://doi.org/10.1111/j.2041-210x.2012.00261.x" TargetMode="External" /><Relationship Type="http://schemas.openxmlformats.org/officeDocument/2006/relationships/hyperlink" Id="rId157" Target="https://doi.org/10.1111/jcpp.14082" TargetMode="External" /><Relationship Type="http://schemas.openxmlformats.org/officeDocument/2006/relationships/hyperlink" Id="rId149" Target="https://doi.org/10.1111/pcn.13714" TargetMode="External" /><Relationship Type="http://schemas.openxmlformats.org/officeDocument/2006/relationships/hyperlink" Id="rId91" Target="https://doi.org/10.1177/0308518X18787820" TargetMode="External" /><Relationship Type="http://schemas.openxmlformats.org/officeDocument/2006/relationships/hyperlink" Id="rId182" Target="https://doi.org/10.1177/0739456X17725148" TargetMode="External" /><Relationship Type="http://schemas.openxmlformats.org/officeDocument/2006/relationships/hyperlink" Id="rId124" Target="https://doi.org/10.1177/2158244018825171" TargetMode="External" /><Relationship Type="http://schemas.openxmlformats.org/officeDocument/2006/relationships/hyperlink" Id="rId116" Target="https://doi.org/10.1186/1471-2458-13-1166" TargetMode="External" /><Relationship Type="http://schemas.openxmlformats.org/officeDocument/2006/relationships/hyperlink" Id="rId132" Target="https://doi.org/10.1186/s12889-025-22861-7" TargetMode="External" /><Relationship Type="http://schemas.openxmlformats.org/officeDocument/2006/relationships/hyperlink" Id="rId151" Target="https://doi.org/10.1265/ehpm.25-00290" TargetMode="External" /><Relationship Type="http://schemas.openxmlformats.org/officeDocument/2006/relationships/hyperlink" Id="rId134" Target="https://doi.org/10.1371/journal.pmed.1003031" TargetMode="External" /><Relationship Type="http://schemas.openxmlformats.org/officeDocument/2006/relationships/hyperlink" Id="rId95" Target="https://doi.org/10.1371/journal.pone.0314687" TargetMode="External" /><Relationship Type="http://schemas.openxmlformats.org/officeDocument/2006/relationships/hyperlink" Id="rId141" Target="https://doi.org/10.14324/LRE.21.1.20" TargetMode="External" /><Relationship Type="http://schemas.openxmlformats.org/officeDocument/2006/relationships/hyperlink" Id="rId165" Target="https://doi.org/10.1515/9781400881970-018" TargetMode="External" /><Relationship Type="http://schemas.openxmlformats.org/officeDocument/2006/relationships/hyperlink" Id="rId130" Target="https://doi.org/10.18637/jss.v017.i01" TargetMode="External" /><Relationship Type="http://schemas.openxmlformats.org/officeDocument/2006/relationships/hyperlink" Id="rId169" Target="https://doi.org/10.3102/0013189X20949504" TargetMode="External" /><Relationship Type="http://schemas.openxmlformats.org/officeDocument/2006/relationships/hyperlink" Id="rId100" Target="https://doi.org/10.3102/01623737221092450" TargetMode="External" /><Relationship Type="http://schemas.openxmlformats.org/officeDocument/2006/relationships/hyperlink" Id="rId153" Target="https://doi.org/10.3109/07420528.2013.826238" TargetMode="External" /><Relationship Type="http://schemas.openxmlformats.org/officeDocument/2006/relationships/hyperlink" Id="rId126" Target="https://doi.org/10.3390/educsci15010006" TargetMode="External" /><Relationship Type="http://schemas.openxmlformats.org/officeDocument/2006/relationships/hyperlink" Id="rId69" Target="https://educationequity.kit.com/" TargetMode="External" /><Relationship Type="http://schemas.openxmlformats.org/officeDocument/2006/relationships/hyperlink" Id="rId180" Target="https://epi.org.uk/annual-report-2023/" TargetMode="External" /><Relationship Type="http://schemas.openxmlformats.org/officeDocument/2006/relationships/hyperlink" Id="rId188" Target="https://epi.org.uk/publications-and-research/the-influence-of-headteachers-on-their-schools/" TargetMode="External" /><Relationship Type="http://schemas.openxmlformats.org/officeDocument/2006/relationships/hyperlink" Id="rId33" Target="https://explore-education-statistics.service.gov.uk/find-statistics/key-stage-4-performance" TargetMode="External" /><Relationship Type="http://schemas.openxmlformats.org/officeDocument/2006/relationships/hyperlink" Id="rId106" Target="https://explore-education-statistics.service.gov.uk/find-statistics/pupil-absence-in-schools-in-england/2024-25-autumn-and-spring-term" TargetMode="External" /><Relationship Type="http://schemas.openxmlformats.org/officeDocument/2006/relationships/hyperlink" Id="rId102" Target="https://explore-education-statistics.service.gov.uk/find-statistics/the-link-between-absence-and-attainment-at-ks2-and-ks4/2018-19" TargetMode="External" /><Relationship Type="http://schemas.openxmlformats.org/officeDocument/2006/relationships/hyperlink" Id="rId178" Target="https://ffteducationdatalab.org.uk/2023/11/are-pupils-who-live-further-away-from-their-school-absent-more-often/" TargetMode="External" /><Relationship Type="http://schemas.openxmlformats.org/officeDocument/2006/relationships/hyperlink" Id="rId163" Target="https://knowledge.uchicago.edu/record/7216" TargetMode="External" /><Relationship Type="http://schemas.openxmlformats.org/officeDocument/2006/relationships/hyperlink" Id="rId128" Target="https://opendocs.ids.ac.uk/articles/report/The_Contribution_of_Education_to_Economic_Growth/26453986/1" TargetMode="External" /><Relationship Type="http://schemas.openxmlformats.org/officeDocument/2006/relationships/hyperlink" Id="rId21" Target="https://osf.io/x82j3/overview" TargetMode="External" /><Relationship Type="http://schemas.openxmlformats.org/officeDocument/2006/relationships/hyperlink" Id="rId71" Target="https://reports.ofsted.gov.uk/provider/23/136164" TargetMode="External" /><Relationship Type="http://schemas.openxmlformats.org/officeDocument/2006/relationships/hyperlink" Id="rId53"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65" Target="https://www.classdivide.co.uk/news/uk5uk5bxax0rvjz9q4tu4kgx2lbyhw" TargetMode="External" /><Relationship Type="http://schemas.openxmlformats.org/officeDocument/2006/relationships/hyperlink" Id="rId159" Target="https://www.gov.uk/government/publications/against-the-odds" TargetMode="External" /><Relationship Type="http://schemas.openxmlformats.org/officeDocument/2006/relationships/hyperlink" Id="rId108" Target="https://www.gov.uk/government/publications/every-child-achieving-and-thriving/every-child-achieving-and-thriving-html-version" TargetMode="External" /><Relationship Type="http://schemas.openxmlformats.org/officeDocument/2006/relationships/hyperlink" Id="rId161" Target="https://www.gov.uk/government/publications/examining-the-london-advantage-in-attainment-evidence-from-lsype" TargetMode="External" /><Relationship Type="http://schemas.openxmlformats.org/officeDocument/2006/relationships/hyperlink" Id="rId104" Target="https://www.gov.uk/government/publications/link-between-attendance-and-attainment" TargetMode="External" /><Relationship Type="http://schemas.openxmlformats.org/officeDocument/2006/relationships/hyperlink" Id="rId17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39" Target="https://www.nfer.ac.uk/publications/supporting-the-attainment-of-disadvantaged-pupils-articulating-success-and-good-practice/" TargetMode="External" /><Relationship Type="http://schemas.openxmlformats.org/officeDocument/2006/relationships/hyperlink" Id="rId143" Target="https://www.nfer.ac.uk/publications/understanding-the-relationship-between-attendance-wellbeing-and-sense-of-belonging/" TargetMode="External" /><Relationship Type="http://schemas.openxmlformats.org/officeDocument/2006/relationships/hyperlink" Id="rId89" Target="https://www.urban.org/sites/default/files/publication/99027/time_to_school_and_student_outcomes_in_dc_1.pdf" TargetMode="External" /><Relationship Type="http://schemas.openxmlformats.org/officeDocument/2006/relationships/hyperlink" Id="rId44" Target="https://yourvoice.brighton-hove.gov.uk/en-GB/projects/school-admission-arrangements-public-consultation/1"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49</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Pulling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dcterms:created xsi:type="dcterms:W3CDTF">2026-09-08T14:50:17Z</dcterms:created>
  <dcterms:modified xsi:type="dcterms:W3CDTF">2026-09-08T14:50:17Z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in 2024-25 (and among the worst throughout the period),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2026-09-08</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