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54.png" ContentType="image/png"/>
  <Override PartName="/word/media/rId59.png" ContentType="image/png"/>
  <Override PartName="/word/media/rId70.png" ContentType="image/png"/>
  <Override PartName="/word/media/rId76.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2026-08-19</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7th of 151 for disadvantaged pupils and 5th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and under-settled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§5.5. It also implies that authority-wide improvement is unlikely to come from school-led practice-sharing alone, and more probably requires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4"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w:t>
      </w:r>
      <w:r>
        <w:rPr>
          <w:rStyle w:val="FootnoteReference"/>
        </w:rPr>
        <w:footnoteReference w:id="30"/>
      </w:r>
      <w:r>
        <w:t xml:space="preserve">), the analysis sample used in the models is approximately 12,200 observations. All data are school-level aggregates; interpretations relate to this level of aggregation.</w:t>
      </w:r>
    </w:p>
    <w:bookmarkEnd w:id="31"/>
    <w:bookmarkStart w:id="33"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fit and the interpretability of elasticities. The remaining predictors, including the low-prior-attainment percentage, the segregation index and the workforce proportions, enter linearly. This variable-by-variable choice, together with supporting diagnostics (component-plus-residual plots and a comparison of logged, linear and spline treatments), is documented in the supplementary material; the log form is retained where it both improves fit and yields a policy-legible elasticity, and a linear form is used otherwise.</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Two points on the prior-attainment control deserve emphasis. First, we control for prior attainment using the</w:t>
      </w:r>
      <w:r>
        <w:t xml:space="preserve"> </w:t>
      </w:r>
      <w:r>
        <w:rPr>
          <w:i/>
          <w:iCs/>
        </w:rPr>
        <w:t xml:space="preserve">percentage of KS4 pupils with low KS2 prior attainment</w:t>
      </w:r>
      <w:r>
        <w:t xml:space="preserve">, rather than the mean KS2 scaled score. This is a data-availability constraint, not a preference: the DfE publishes school-level mean KS2 score (and the middle and high prior-attainment bands) for only three of our four years - it is not released for 2024-25 - so the low-prior-attainment share is the only prior-attainment measure spanning the full panel, and we use it to preserve the most recent and policy-relevant cohort. As a robustness check, we refit the models on the three-year sub-sample where the richer measures exist, adding mean KS2 scaled score; the absence coefficient - the paper’s central quantity - is essentially unchanged (a shift of under 3%), while the FSM coefficient attenuates by around a third, reinforcing rather than weakening our finding that concentration of disadvantage is a comparatively weak lever (supplementary material). 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later in the paper.</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3"/>
    <w:bookmarkEnd w:id="34"/>
    <w:bookmarkStart w:id="46" w:name="results"/>
    <w:p>
      <w:pPr>
        <w:pStyle w:val="Heading1"/>
      </w:pPr>
      <w:r>
        <w:t xml:space="preserve">4. Results</w:t>
      </w:r>
    </w:p>
    <w:bookmarkStart w:id="35"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@nakagawa_coefficient_2017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5"/>
    <w:bookmarkStart w:id="37"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6"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6"/>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2.2 fewer Attainment 8 points,</w:t>
      </w:r>
      <w:r>
        <w:t xml:space="preserve"> </w:t>
      </w:r>
      <w:r>
        <w:t xml:space="preserve">‘Requires Improvement’</w:t>
      </w:r>
      <w:r>
        <w:t xml:space="preserve"> </w:t>
      </w:r>
      <w:r>
        <w:t xml:space="preserve">with 4.2 fewer, and</w:t>
      </w:r>
      <w:r>
        <w:t xml:space="preserve"> </w:t>
      </w:r>
      <w:r>
        <w:t xml:space="preserve">‘Inadequate’</w:t>
      </w:r>
      <w:r>
        <w:t xml:space="preserve"> </w:t>
      </w:r>
      <w:r>
        <w:t xml:space="preserve">with 4.7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13–16%,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37"/>
    <w:bookmarkStart w:id="45"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1" w:name="fig-standardised-coefficients"/>
          <w:p>
            <w:pPr>
              <w:pStyle w:val="Compact"/>
              <w:jc w:val="center"/>
            </w:pPr>
            <w:r>
              <w:drawing>
                <wp:inline>
                  <wp:extent cx="5943600" cy="4245428"/>
                  <wp:effectExtent b="0" l="0" r="0" t="0"/>
                  <wp:docPr descr="" title="" id="39" name="Picture"/>
                  <a:graphic>
                    <a:graphicData uri="http://schemas.openxmlformats.org/drawingml/2006/picture">
                      <pic:pic>
                        <pic:nvPicPr>
                          <pic:cNvPr descr="RPE_Paper_files/figure-docx/fig-standardised-coefficients-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1"/>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2"/>
      </w:r>
      <w:r>
        <w:t xml:space="preserve"> </w:t>
      </w:r>
      <w:r>
        <w:t xml:space="preserve">across all three pupil groups (all pupils, disadvantaged pupils and non-disadvantaged pupils - full model outputs available in the supplementary materials</w:t>
      </w:r>
      <w:r>
        <w:rPr>
          <w:rStyle w:val="FootnoteReference"/>
        </w:rPr>
        <w:footnoteReference w:id="43"/>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central empirical message of the paper. School absence is the dominant lever by a clear margin; low prior attainment at KS2 is second; and the concentration of disadvantage - the variable around which the Brighton and Hove policy was built - is a distant contributor whose sign,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4"/>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We cannot adjudicate between these with school-level data, and we do not claim to.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45"/>
    <w:bookmarkEnd w:id="46"/>
    <w:bookmarkStart w:id="81" w:name="brighton-and-hove-case-study"/>
    <w:p>
      <w:pPr>
        <w:pStyle w:val="Heading1"/>
      </w:pPr>
      <w:r>
        <w:t xml:space="preserve">5. Brighton and Hove case study</w:t>
      </w:r>
    </w:p>
    <w:bookmarkStart w:id="58"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47"/>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0"/>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2"/>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57" w:name="fig-catchments"/>
          <w:p>
            <w:pPr>
              <w:pStyle w:val="Compact"/>
              <w:jc w:val="center"/>
            </w:pPr>
            <w:r>
              <w:drawing>
                <wp:inline>
                  <wp:extent cx="5943600" cy="5094514"/>
                  <wp:effectExtent b="0" l="0" r="0" t="0"/>
                  <wp:docPr descr="" title="" id="55" name="Picture"/>
                  <a:graphic>
                    <a:graphicData uri="http://schemas.openxmlformats.org/drawingml/2006/picture">
                      <pic:pic>
                        <pic:nvPicPr>
                          <pic:cNvPr descr="RPE_Paper_files/figure-docx/fig-catchments-1.png" id="56" name="Picture"/>
                          <pic:cNvPicPr>
                            <a:picLocks noChangeArrowheads="1" noChangeAspect="1"/>
                          </pic:cNvPicPr>
                        </pic:nvPicPr>
                        <pic:blipFill>
                          <a:blip r:embed="rId54"/>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7"/>
        </w:tc>
      </w:tr>
    </w:tbl>
    <w:bookmarkEnd w:id="58"/>
    <w:bookmarkStart w:id="64"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2" w:name="fig-caterpillar"/>
          <w:p>
            <w:pPr>
              <w:pStyle w:val="Compact"/>
              <w:jc w:val="center"/>
            </w:pPr>
            <w:r>
              <w:drawing>
                <wp:inline>
                  <wp:extent cx="5943600" cy="5094514"/>
                  <wp:effectExtent b="0" l="0" r="0" t="0"/>
                  <wp:docPr descr="" title="" id="60" name="Picture"/>
                  <a:graphic>
                    <a:graphicData uri="http://schemas.openxmlformats.org/drawingml/2006/picture">
                      <pic:pic>
                        <pic:nvPicPr>
                          <pic:cNvPr descr="RPE_Paper_files/figure-docx/fig-caterpillar-1.png" id="61" name="Picture"/>
                          <pic:cNvPicPr>
                            <a:picLocks noChangeArrowheads="1" noChangeAspect="1"/>
                          </pic:cNvPicPr>
                        </pic:nvPicPr>
                        <pic:blipFill>
                          <a:blip r:embed="rId5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2"/>
        </w:tc>
      </w:tr>
    </w:tbl>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w:t>
      </w:r>
      <w:r>
        <w:t xml:space="preserve"> </w:t>
      </w:r>
      <w:r>
        <w:rPr>
          <w:b/>
          <w:bCs/>
        </w:rPr>
        <w:t xml:space="preserve">7th of 151</w:t>
      </w:r>
      <w:r>
        <w:t xml:space="preserve"> </w:t>
      </w:r>
      <w:r>
        <w:t xml:space="preserve">local authorities, a positive random intercept equivalent to roughly</w:t>
      </w:r>
      <w:r>
        <w:t xml:space="preserve"> </w:t>
      </w:r>
      <w:r>
        <w:rPr>
          <w:b/>
          <w:bCs/>
        </w:rPr>
        <w:t xml:space="preserve">+2 Attainment 8 points</w:t>
      </w:r>
      <w:r>
        <w:t xml:space="preserve"> </w:t>
      </w:r>
      <w:r>
        <w:t xml:space="preserve">above what those factors would predict. On the same conditional basis the city ranks 5th for non-disadvantaged pupils and 4th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7th to</w:t>
      </w:r>
      <w:r>
        <w:t xml:space="preserve"> </w:t>
      </w:r>
      <w:r>
        <w:rPr>
          <w:b/>
          <w:bCs/>
        </w:rPr>
        <w:t xml:space="preserve">46th of 151</w:t>
      </w:r>
      <w:r>
        <w:t xml:space="preserve"> </w:t>
      </w:r>
      <w:r>
        <w:t xml:space="preserve">and its effect is no longer statistically distinguishable from the national average. The city’s apparent excellence for disadvantaged pupils is, in this precise sense, conditional on setting its attendance problem aside.</w:t>
      </w:r>
    </w:p>
    <w:tbl>
      <w:tblPr>
        <w:tblStyle w:val="Table"/>
        <w:tblW w:type="pct" w:w="5000"/>
        <w:tblLayout w:type="fixed"/>
        <w:tblLook w:firstRow="0" w:lastRow="0" w:firstColumn="0" w:lastColumn="0" w:noHBand="0" w:noVBand="0" w:val="0000"/>
      </w:tblPr>
      <w:tblGrid>
        <w:gridCol w:w="7920"/>
      </w:tblGrid>
      <w:tr>
        <w:tc>
          <w:tcPr/>
          <w:bookmarkStart w:id="63"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+0.018</w:t>
                  </w:r>
                </w:p>
              </w:tc>
              <w:tc>
                <w:tcPr/>
                <w:p>
                  <w:pPr>
                    <w:pStyle w:val="Compact"/>
                    <w:jc w:val="right"/>
                    <w:jc w:val="center"/>
                  </w:pPr>
                  <w:r>
                    <w:t xml:space="preserve">-0.022 to 0.058</w:t>
                  </w:r>
                </w:p>
              </w:tc>
              <w:tc>
                <w:tcPr/>
                <w:p>
                  <w:pPr>
                    <w:pStyle w:val="Compact"/>
                    <w:jc w:val="left"/>
                    <w:jc w:val="center"/>
                  </w:pPr>
                  <w:r>
                    <w:t xml:space="preserve">46 of 151 (n.s.)</w:t>
                  </w:r>
                </w:p>
              </w:tc>
              <w:tc>
                <w:tcPr/>
                <w:p>
                  <w:pPr>
                    <w:pStyle w:val="Compact"/>
                    <w:jc w:val="right"/>
                    <w:jc w:val="center"/>
                  </w:pPr>
                  <w:r>
                    <w:t xml:space="preserve">+0.7</w:t>
                  </w:r>
                </w:p>
              </w:tc>
            </w:tr>
            <w:tr>
              <w:tc>
                <w:tcPr/>
                <w:p>
                  <w:pPr>
                    <w:pStyle w:val="Compact"/>
                    <w:jc w:val="left"/>
                    <w:jc w:val="center"/>
                  </w:pPr>
                  <w:r>
                    <w:t xml:space="preserve">Absence controlled (main model)</w:t>
                  </w:r>
                </w:p>
              </w:tc>
              <w:tc>
                <w:tcPr/>
                <w:p>
                  <w:pPr>
                    <w:pStyle w:val="Compact"/>
                    <w:jc w:val="right"/>
                    <w:jc w:val="center"/>
                  </w:pPr>
                  <w:r>
                    <w:t xml:space="preserve">+0.050</w:t>
                  </w:r>
                </w:p>
              </w:tc>
              <w:tc>
                <w:tcPr/>
                <w:p>
                  <w:pPr>
                    <w:pStyle w:val="Compact"/>
                    <w:jc w:val="right"/>
                    <w:jc w:val="center"/>
                  </w:pPr>
                  <w:r>
                    <w:t xml:space="preserve">0.015 to 0.086</w:t>
                  </w:r>
                </w:p>
              </w:tc>
              <w:tc>
                <w:tcPr/>
                <w:p>
                  <w:pPr>
                    <w:pStyle w:val="Compact"/>
                    <w:jc w:val="left"/>
                    <w:jc w:val="center"/>
                  </w:pPr>
                  <w:r>
                    <w:t xml:space="preserve">7 of 151</w:t>
                  </w:r>
                </w:p>
              </w:tc>
              <w:tc>
                <w:tcPr/>
                <w:p>
                  <w:pPr>
                    <w:pStyle w:val="Compact"/>
                    <w:jc w:val="right"/>
                    <w:jc w:val="center"/>
                  </w:pPr>
                  <w:r>
                    <w:t xml:space="preserve">+2.0</w:t>
                  </w:r>
                </w:p>
              </w:tc>
            </w:tr>
            <w:tr>
              <w:tc>
                <w:tcPr/>
                <w:p>
                  <w:pPr>
                    <w:pStyle w:val="Compact"/>
                    <w:jc w:val="left"/>
                    <w:jc w:val="center"/>
                  </w:pPr>
                  <w:r>
                    <w:t xml:space="preserve">Intake-predicted absence controlled</w:t>
                  </w:r>
                </w:p>
              </w:tc>
              <w:tc>
                <w:tcPr/>
                <w:p>
                  <w:pPr>
                    <w:pStyle w:val="Compact"/>
                    <w:jc w:val="right"/>
                    <w:jc w:val="center"/>
                  </w:pPr>
                  <w:r>
                    <w:t xml:space="preserve">+0.017</w:t>
                  </w:r>
                </w:p>
              </w:tc>
              <w:tc>
                <w:tcPr/>
                <w:p>
                  <w:pPr>
                    <w:pStyle w:val="Compact"/>
                    <w:jc w:val="right"/>
                    <w:jc w:val="center"/>
                  </w:pPr>
                  <w:r>
                    <w:t xml:space="preserve">-0.023 to 0.057</w:t>
                  </w:r>
                </w:p>
              </w:tc>
              <w:tc>
                <w:tcPr/>
                <w:p>
                  <w:pPr>
                    <w:pStyle w:val="Compact"/>
                    <w:jc w:val="left"/>
                    <w:jc w:val="center"/>
                  </w:pPr>
                  <w:r>
                    <w:t xml:space="preserve">45 of 151 (n.s.)</w:t>
                  </w:r>
                </w:p>
              </w:tc>
              <w:tc>
                <w:tcPr/>
                <w:p>
                  <w:pPr>
                    <w:pStyle w:val="Compact"/>
                    <w:jc w:val="right"/>
                    <w:jc w:val="center"/>
                  </w:pPr>
                  <w:r>
                    <w:t xml:space="preserve">+0.7</w:t>
                  </w:r>
                </w:p>
              </w:tc>
            </w:tr>
          </w:tbl>
          <w:bookmarkEnd w:id="63"/>
          <w:p/>
        </w:tc>
      </w:tr>
    </w:tbl>
    <w:p>
      <w:pPr>
        <w:pStyle w:val="BodyText"/>
      </w:pPr>
      <w:r>
        <w:t xml:space="preserve">This is not an artefact peculiar to Brighton and Hove: controlling for absence reshuffles the whole distribution of local-authority effects, and 14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We regard the distance between these two numbers as the finding, rather than either number alone. Conditional on the absence its pupils face, Brighton and Hove’s schools are among the best in England for disadvantaged attainment; unconditionally they are unremarkable.</w:t>
      </w:r>
      <w:r>
        <w:t xml:space="preserve"> </w:t>
      </w:r>
      <w:r>
        <w:rPr>
          <w:b/>
          <w:bCs/>
        </w:rPr>
        <w:t xml:space="preserve">The gap between the two - about 1.3 Attainment 8 points per disadvantaged pupil - is a direct measure of what the city’s attendance problem costs its most disadvantaged children.</w:t>
      </w:r>
      <w:r>
        <w:t xml:space="preserve"> </w:t>
      </w:r>
      <w:r>
        <w:t xml:space="preserve">It is not a reason to discount the schools’ underlying effectiveness; it is a reason to treat attendance as the single most valuable lever available to the city, a point we develop in §5.5 and quantify through the accelerating-returns analysis below. (For all pupils the city’s advantage is more robust to this choice, remaining significantly positive without an absence control at 46th;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64"/>
    <w:bookmarkStart w:id="69"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8" w:name="fig-accelerating-returns"/>
          <w:p>
            <w:pPr>
              <w:pStyle w:val="Compact"/>
              <w:jc w:val="center"/>
            </w:pPr>
            <w:r>
              <w:drawing>
                <wp:inline>
                  <wp:extent cx="5943600" cy="3820885"/>
                  <wp:effectExtent b="0" l="0" r="0" t="0"/>
                  <wp:docPr descr="" title="" id="66" name="Picture"/>
                  <a:graphic>
                    <a:graphicData uri="http://schemas.openxmlformats.org/drawingml/2006/picture">
                      <pic:pic>
                        <pic:nvPicPr>
                          <pic:cNvPr descr="RPE_Paper_files/figure-docx/fig-accelerating-returns-1.png" id="67" name="Picture"/>
                          <pic:cNvPicPr>
                            <a:picLocks noChangeArrowheads="1" noChangeAspect="1"/>
                          </pic:cNvPicPr>
                        </pic:nvPicPr>
                        <pic:blipFill>
                          <a:blip r:embed="rId65"/>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8"/>
        </w:tc>
      </w:tr>
    </w:tbl>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69"/>
    <w:bookmarkStart w:id="74"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3" w:name="fig-obs-vs-pred"/>
          <w:p>
            <w:pPr>
              <w:pStyle w:val="Compact"/>
              <w:jc w:val="center"/>
            </w:pPr>
            <w:r>
              <w:drawing>
                <wp:inline>
                  <wp:extent cx="5943600" cy="7641771"/>
                  <wp:effectExtent b="0" l="0" r="0" t="0"/>
                  <wp:docPr descr="" title="" id="71" name="Picture"/>
                  <a:graphic>
                    <a:graphicData uri="http://schemas.openxmlformats.org/drawingml/2006/picture">
                      <pic:pic>
                        <pic:nvPicPr>
                          <pic:cNvPr descr="RPE_Paper_files/figure-docx/fig-obs-vs-pred-1.png" id="72" name="Picture"/>
                          <pic:cNvPicPr>
                            <a:picLocks noChangeArrowheads="1" noChangeAspect="1"/>
                          </pic:cNvPicPr>
                        </pic:nvPicPr>
                        <pic:blipFill>
                          <a:blip r:embed="rId70"/>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3"/>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4"/>
    <w:bookmarkStart w:id="80"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75"/>
      </w:r>
      <w:r>
        <w:t xml:space="preserve"> </w:t>
      </w:r>
      <w:r>
        <w:t xml:space="preserve">separates these elements.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79" w:name="fig-quadrant"/>
          <w:p>
            <w:pPr>
              <w:pStyle w:val="Compact"/>
              <w:jc w:val="center"/>
            </w:pPr>
            <w:r>
              <w:drawing>
                <wp:inline>
                  <wp:extent cx="5943600" cy="4245428"/>
                  <wp:effectExtent b="0" l="0" r="0" t="0"/>
                  <wp:docPr descr="" title="" id="77" name="Picture"/>
                  <a:graphic>
                    <a:graphicData uri="http://schemas.openxmlformats.org/drawingml/2006/picture">
                      <pic:pic>
                        <pic:nvPicPr>
                          <pic:cNvPr descr="RPE_Paper_files/figure-docx/fig-quadrant-1.png" id="78" name="Picture"/>
                          <pic:cNvPicPr>
                            <a:picLocks noChangeArrowheads="1" noChangeAspect="1"/>
                          </pic:cNvPicPr>
                        </pic:nvPicPr>
                        <pic:blipFill>
                          <a:blip r:embed="rId7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79"/>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80"/>
    <w:bookmarkEnd w:id="81"/>
    <w:bookmarkStart w:id="98" w:name="discussion"/>
    <w:p>
      <w:pPr>
        <w:pStyle w:val="Heading1"/>
      </w:pPr>
      <w:r>
        <w:t xml:space="preserve">6. Discussion</w:t>
      </w:r>
    </w:p>
    <w:bookmarkStart w:id="83"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2"/>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w:t>
      </w:r>
      <w:r>
        <w:t xml:space="preserve"> </w:t>
      </w:r>
      <w:r>
        <w:t xml:space="preserve">(Moore et al. 2026)</w:t>
      </w:r>
      <w:r>
        <w:t xml:space="preserve">.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83"/>
    <w:bookmarkStart w:id="8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84"/>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rPr>
          <w:rStyle w:val="FootnoteReference"/>
        </w:rPr>
        <w:footnoteReference w:id="8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86"/>
    <w:bookmarkStart w:id="90"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87"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87"/>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 - supported by Class Divide)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88"/>
      </w:r>
      <w:r>
        <w:t xml:space="preserve"> </w:t>
      </w:r>
      <w:r>
        <w:t xml:space="preserve">is unsurprising in the context of this analysis, but would have been surprising to anyone looking only at prior raw attainment and Ofsted ratings. 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90"/>
    <w:bookmarkStart w:id="92" w:name="viability-versus-attainment"/>
    <w:p>
      <w:pPr>
        <w:pStyle w:val="Heading2"/>
      </w:pPr>
      <w:r>
        <w:t xml:space="preserve">6.4 Viability versus attainment</w:t>
      </w:r>
    </w:p>
    <w:p>
      <w:pPr>
        <w:pStyle w:val="FirstParagraph"/>
      </w:pPr>
      <w:r>
        <w:t xml:space="preserve">The cabinet papers</w:t>
      </w:r>
      <w:r>
        <w:rPr>
          <w:rStyle w:val="FootnoteReference"/>
        </w:rPr>
        <w:footnoteReference w:id="91"/>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92"/>
    <w:bookmarkStart w:id="93"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§5.2 set out, however, this result is conditional on how the model treats absence, and the city’s attendance is so extreme that the conditioning does most of the work. Controlling for absence, the city’s schools rank 7th of 151 for disadvantaged attainment; without that control they rank 46th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1.3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its disadvantaged pupils do no better than the national average, and the raw attainment gap that motivated the consultation is real. What the consultation got wrong was the diagnosis. Presented with an attainment gap, it reached for the social composition of schools - one of the weakest levers our modelling identifies, and for disadvantaged pupils a lever that may point the wrong way (§4.3, §5.3) - 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is that identifying the sources of this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p>
    <w:bookmarkEnd w:id="93"/>
    <w:bookmarkStart w:id="9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should be candid that this gap is, in part, a structural consequence of policy since 2010. Academisation and sustained real-terms reductions in local authority central-services funding have substantially eroded the analytical capacity that once sat within LEAs, so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precisely: the council remains the admissions authority for a system it has limited capacity to analyse as a whole, while its two academies - central to the policy question - sit outside its analytical reach. The need, then, is less for every council to rebuild bespoke capacity than for the</w:t>
      </w:r>
      <w:r>
        <w:t xml:space="preserve"> </w:t>
      </w:r>
      <w:r>
        <w:rPr>
          <w:i/>
          <w:iCs/>
        </w:rPr>
        <w:t xml:space="preserve">system</w:t>
      </w:r>
      <w:r>
        <w:t xml:space="preserve"> </w:t>
      </w:r>
      <w:r>
        <w:t xml:space="preserve">to close a locality-level analytical gap, whether through central funding for local capacity or nationally maintained benchmarking tools that any locality can use.</w:t>
      </w:r>
    </w:p>
    <w:p>
      <w:pPr>
        <w:pStyle w:val="BodyText"/>
      </w:pPr>
      <w:r>
        <w:t xml:space="preserve">We have developed an interactive Policy Simulator tool,</w:t>
      </w:r>
      <w:r>
        <w:rPr>
          <w:rStyle w:val="FootnoteReference"/>
        </w:rPr>
        <w:footnoteReference w:id="94"/>
      </w:r>
      <w:r>
        <w:t xml:space="preserve"> </w:t>
      </w:r>
      <w:r>
        <w:t xml:space="preserve">underpinned by the models in this paper, as a prototype of exactly this kind of shared, locality-level infrastructure. The tool allows users to explore any school in England, compare against contextual expectations, and model the indicative impact of changes to key variables.</w:t>
      </w:r>
    </w:p>
    <w:bookmarkEnd w:id="96"/>
    <w:bookmarkStart w:id="9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7"/>
    <w:bookmarkEnd w:id="98"/>
    <w:bookmarkStart w:id="9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had the second-worst absence rate in England in 2024-25 - and its absence has failed to fall while it fell almost everywhere else -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99"/>
    <w:bookmarkStart w:id="10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0"/>
    <w:bookmarkStart w:id="10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101"/>
    <w:bookmarkStart w:id="200" w:name="references"/>
    <w:p>
      <w:pPr>
        <w:pStyle w:val="Heading1"/>
      </w:pPr>
      <w:r>
        <w:t xml:space="preserve">References</w:t>
      </w:r>
    </w:p>
    <w:bookmarkStart w:id="199" w:name="refs"/>
    <w:bookmarkStart w:id="103"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2">
        <w:r>
          <w:rPr>
            <w:rStyle w:val="Hyperlink"/>
          </w:rPr>
          <w:t xml:space="preserve">https://doi.org/10.1080/09645292.2017.1366425</w:t>
        </w:r>
      </w:hyperlink>
      <w:r>
        <w:t xml:space="preserve">.</w:t>
      </w:r>
    </w:p>
    <w:bookmarkEnd w:id="103"/>
    <w:bookmarkStart w:id="105"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04">
        <w:r>
          <w:rPr>
            <w:rStyle w:val="Hyperlink"/>
          </w:rPr>
          <w:t xml:space="preserve">https://doi.org/10.1111/j.1475-5661.2012.00511.x</w:t>
        </w:r>
      </w:hyperlink>
      <w:r>
        <w:t xml:space="preserve">.</w:t>
      </w:r>
    </w:p>
    <w:bookmarkEnd w:id="105"/>
    <w:bookmarkStart w:id="107"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6">
        <w:r>
          <w:rPr>
            <w:rStyle w:val="Hyperlink"/>
          </w:rPr>
          <w:t xml:space="preserve">https://doi.org/10.1080/0305764X.2024.2420611</w:t>
        </w:r>
      </w:hyperlink>
      <w:r>
        <w:t xml:space="preserve">.</w:t>
      </w:r>
    </w:p>
    <w:bookmarkEnd w:id="107"/>
    <w:bookmarkStart w:id="109"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08">
        <w:r>
          <w:rPr>
            <w:rStyle w:val="Hyperlink"/>
          </w:rPr>
          <w:t xml:space="preserve">https://www.urban.org/sites/default/files/publication/99027/time_to_school_and_student_outcomes_in_dc_1.pdf</w:t>
        </w:r>
      </w:hyperlink>
      <w:r>
        <w:t xml:space="preserve">.</w:t>
      </w:r>
    </w:p>
    <w:bookmarkEnd w:id="109"/>
    <w:bookmarkStart w:id="111"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0">
        <w:r>
          <w:rPr>
            <w:rStyle w:val="Hyperlink"/>
          </w:rPr>
          <w:t xml:space="preserve">https://doi.org/10.1177/0308518X18787820</w:t>
        </w:r>
      </w:hyperlink>
      <w:r>
        <w:t xml:space="preserve">.</w:t>
      </w:r>
    </w:p>
    <w:bookmarkEnd w:id="111"/>
    <w:bookmarkStart w:id="113"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2">
        <w:r>
          <w:rPr>
            <w:rStyle w:val="Hyperlink"/>
          </w:rPr>
          <w:t xml:space="preserve">https://doi.org/10.1016/j.econedurev.2023.102405</w:t>
        </w:r>
      </w:hyperlink>
      <w:r>
        <w:t xml:space="preserve">.</w:t>
      </w:r>
    </w:p>
    <w:bookmarkEnd w:id="113"/>
    <w:bookmarkStart w:id="11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14">
        <w:r>
          <w:rPr>
            <w:rStyle w:val="Hyperlink"/>
          </w:rPr>
          <w:t xml:space="preserve">https://doi.org/10.1371/journal.pone.0314687</w:t>
        </w:r>
      </w:hyperlink>
      <w:r>
        <w:t xml:space="preserve">.</w:t>
      </w:r>
    </w:p>
    <w:bookmarkEnd w:id="115"/>
    <w:bookmarkStart w:id="117"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16">
        <w:r>
          <w:rPr>
            <w:rStyle w:val="Hyperlink"/>
          </w:rPr>
          <w:t xml:space="preserve">https://committees.parliament.uk/committee/203/education-committee/news/156024/forgotten-white-workingclass-pupils-let-down-by-decades-of-neglect-mps-say/</w:t>
        </w:r>
      </w:hyperlink>
      <w:r>
        <w:t xml:space="preserve">.</w:t>
      </w:r>
    </w:p>
    <w:bookmarkEnd w:id="117"/>
    <w:bookmarkStart w:id="119"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18">
        <w:r>
          <w:rPr>
            <w:rStyle w:val="Hyperlink"/>
          </w:rPr>
          <w:t xml:space="preserve">https://doi.org/10.3102/01623737221092450</w:t>
        </w:r>
      </w:hyperlink>
      <w:r>
        <w:t xml:space="preserve">.</w:t>
      </w:r>
    </w:p>
    <w:bookmarkEnd w:id="119"/>
    <w:bookmarkStart w:id="12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0">
        <w:r>
          <w:rPr>
            <w:rStyle w:val="Hyperlink"/>
          </w:rPr>
          <w:t xml:space="preserve">https://explore-education-statistics.service.gov.uk/find-statistics/the-link-between-absence-and-attainment-at-ks2-and-ks4/2018-19</w:t>
        </w:r>
      </w:hyperlink>
      <w:r>
        <w:t xml:space="preserve">.</w:t>
      </w:r>
    </w:p>
    <w:bookmarkEnd w:id="121"/>
    <w:bookmarkStart w:id="12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2">
        <w:r>
          <w:rPr>
            <w:rStyle w:val="Hyperlink"/>
          </w:rPr>
          <w:t xml:space="preserve">https://www.gov.uk/government/publications/link-between-attendance-and-attainment</w:t>
        </w:r>
      </w:hyperlink>
      <w:r>
        <w:t xml:space="preserve">.</w:t>
      </w:r>
    </w:p>
    <w:bookmarkEnd w:id="123"/>
    <w:bookmarkStart w:id="12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24">
        <w:r>
          <w:rPr>
            <w:rStyle w:val="Hyperlink"/>
          </w:rPr>
          <w:t xml:space="preserve">https://explore-education-statistics.service.gov.uk/find-statistics/pupil-absence-in-schools-in-england/2024-25-autumn-and-spring-term</w:t>
        </w:r>
      </w:hyperlink>
      <w:r>
        <w:t xml:space="preserve">.</w:t>
      </w:r>
    </w:p>
    <w:bookmarkEnd w:id="125"/>
    <w:bookmarkStart w:id="12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26">
        <w:r>
          <w:rPr>
            <w:rStyle w:val="Hyperlink"/>
          </w:rPr>
          <w:t xml:space="preserve">https://www.gov.uk/government/publications/every-child-achieving-and-thriving/every-child-achieving-and-thriving-html-version</w:t>
        </w:r>
      </w:hyperlink>
      <w:r>
        <w:t xml:space="preserve">.</w:t>
      </w:r>
    </w:p>
    <w:bookmarkEnd w:id="127"/>
    <w:bookmarkStart w:id="129"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28">
        <w:r>
          <w:rPr>
            <w:rStyle w:val="Hyperlink"/>
          </w:rPr>
          <w:t xml:space="preserve">https://doi.org/10.1016/j.jth.2023.101605</w:t>
        </w:r>
      </w:hyperlink>
      <w:r>
        <w:t xml:space="preserve">.</w:t>
      </w:r>
    </w:p>
    <w:bookmarkEnd w:id="129"/>
    <w:bookmarkStart w:id="131"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0">
        <w:r>
          <w:rPr>
            <w:rStyle w:val="Hyperlink"/>
          </w:rPr>
          <w:t xml:space="preserve">https://doi.org/10.1002/berj.3992</w:t>
        </w:r>
      </w:hyperlink>
      <w:r>
        <w:t xml:space="preserve">.</w:t>
      </w:r>
    </w:p>
    <w:bookmarkEnd w:id="131"/>
    <w:bookmarkStart w:id="133"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2">
        <w:r>
          <w:rPr>
            <w:rStyle w:val="Hyperlink"/>
          </w:rPr>
          <w:t xml:space="preserve">https://doi.org/10.1093/ooec/odad029</w:t>
        </w:r>
      </w:hyperlink>
      <w:r>
        <w:t xml:space="preserve">.</w:t>
      </w:r>
    </w:p>
    <w:bookmarkEnd w:id="133"/>
    <w:bookmarkStart w:id="135"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34">
        <w:r>
          <w:rPr>
            <w:rStyle w:val="Hyperlink"/>
          </w:rPr>
          <w:t xml:space="preserve">https://doi.org/10.1186/1471-2458-13-1166</w:t>
        </w:r>
      </w:hyperlink>
      <w:r>
        <w:t xml:space="preserve">.</w:t>
      </w:r>
    </w:p>
    <w:bookmarkEnd w:id="135"/>
    <w:bookmarkStart w:id="137"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36">
        <w:r>
          <w:rPr>
            <w:rStyle w:val="Hyperlink"/>
          </w:rPr>
          <w:t xml:space="preserve">https://doi.org/10.1111/j.1467-8624.2004.00655.x</w:t>
        </w:r>
      </w:hyperlink>
      <w:r>
        <w:t xml:space="preserve">.</w:t>
      </w:r>
    </w:p>
    <w:bookmarkEnd w:id="137"/>
    <w:bookmarkStart w:id="139"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38">
        <w:r>
          <w:rPr>
            <w:rStyle w:val="Hyperlink"/>
          </w:rPr>
          <w:t xml:space="preserve">https://cep.lse.ac.uk/_new/publications/abstract.asp?index=5752</w:t>
        </w:r>
      </w:hyperlink>
      <w:r>
        <w:t xml:space="preserve">.</w:t>
      </w:r>
    </w:p>
    <w:bookmarkEnd w:id="139"/>
    <w:bookmarkStart w:id="141"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0">
        <w:r>
          <w:rPr>
            <w:rStyle w:val="Hyperlink"/>
          </w:rPr>
          <w:t xml:space="preserve">https://doi.org/10.1002/berj.3297</w:t>
        </w:r>
      </w:hyperlink>
      <w:r>
        <w:t xml:space="preserve">.</w:t>
      </w:r>
    </w:p>
    <w:bookmarkEnd w:id="141"/>
    <w:bookmarkStart w:id="143"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2">
        <w:r>
          <w:rPr>
            <w:rStyle w:val="Hyperlink"/>
          </w:rPr>
          <w:t xml:space="preserve">https://doi.org/10.1177/2158244018825171</w:t>
        </w:r>
      </w:hyperlink>
      <w:r>
        <w:t xml:space="preserve">.</w:t>
      </w:r>
    </w:p>
    <w:bookmarkEnd w:id="143"/>
    <w:bookmarkStart w:id="145"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44">
        <w:r>
          <w:rPr>
            <w:rStyle w:val="Hyperlink"/>
          </w:rPr>
          <w:t xml:space="preserve">https://doi.org/10.3390/educsci15010006</w:t>
        </w:r>
      </w:hyperlink>
      <w:r>
        <w:t xml:space="preserve">.</w:t>
      </w:r>
    </w:p>
    <w:bookmarkEnd w:id="145"/>
    <w:bookmarkStart w:id="147"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46">
        <w:r>
          <w:rPr>
            <w:rStyle w:val="Hyperlink"/>
          </w:rPr>
          <w:t xml:space="preserve">https://opendocs.ids.ac.uk/articles/report/The_Contribution_of_Education_to_Economic_Growth/26453986/1</w:t>
        </w:r>
      </w:hyperlink>
      <w:r>
        <w:t xml:space="preserve">.</w:t>
      </w:r>
    </w:p>
    <w:bookmarkEnd w:id="147"/>
    <w:bookmarkStart w:id="149"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48">
        <w:r>
          <w:rPr>
            <w:rStyle w:val="Hyperlink"/>
          </w:rPr>
          <w:t xml:space="preserve">https://doi.org/10.1186/s12889-025-22861-7</w:t>
        </w:r>
      </w:hyperlink>
      <w:r>
        <w:t xml:space="preserve">.</w:t>
      </w:r>
    </w:p>
    <w:bookmarkEnd w:id="149"/>
    <w:bookmarkStart w:id="151"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50">
        <w:r>
          <w:rPr>
            <w:rStyle w:val="Hyperlink"/>
          </w:rPr>
          <w:t xml:space="preserve">https://doi.org/10.1371/journal.pmed.1003031</w:t>
        </w:r>
      </w:hyperlink>
      <w:r>
        <w:t xml:space="preserve">.</w:t>
      </w:r>
    </w:p>
    <w:bookmarkEnd w:id="151"/>
    <w:bookmarkStart w:id="153"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2">
        <w:r>
          <w:rPr>
            <w:rStyle w:val="Hyperlink"/>
          </w:rPr>
          <w:t xml:space="preserve">https://doi.org/10.1016/j.psyneuen.2021.105371</w:t>
        </w:r>
      </w:hyperlink>
      <w:r>
        <w:t xml:space="preserve">.</w:t>
      </w:r>
    </w:p>
    <w:bookmarkEnd w:id="153"/>
    <w:bookmarkStart w:id="155"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54">
        <w:r>
          <w:rPr>
            <w:rStyle w:val="Hyperlink"/>
          </w:rPr>
          <w:t xml:space="preserve">https://www.nfer.ac.uk/publications/supporting-the-attainment-of-disadvantaged-pupils-articulating-success-and-good-practice/</w:t>
        </w:r>
      </w:hyperlink>
      <w:r>
        <w:t xml:space="preserve">.</w:t>
      </w:r>
    </w:p>
    <w:bookmarkEnd w:id="155"/>
    <w:bookmarkStart w:id="157"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56">
        <w:r>
          <w:rPr>
            <w:rStyle w:val="Hyperlink"/>
          </w:rPr>
          <w:t xml:space="preserve">https://doi.org/10.14324/LRE.21.1.20</w:t>
        </w:r>
      </w:hyperlink>
      <w:r>
        <w:t xml:space="preserve">.</w:t>
      </w:r>
    </w:p>
    <w:bookmarkEnd w:id="157"/>
    <w:bookmarkStart w:id="159" w:name="ref-Moore2026"/>
    <w:p>
      <w:pPr>
        <w:pStyle w:val="Bibliography"/>
      </w:pPr>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58">
        <w:r>
          <w:rPr>
            <w:rStyle w:val="Hyperlink"/>
          </w:rPr>
          <w:t xml:space="preserve">https://www.nfer.ac.uk/publications/understanding-the-relationship-between-attendance-wellbeing-and-sense-of-belonging/</w:t>
        </w:r>
      </w:hyperlink>
      <w:r>
        <w:t xml:space="preserve">.</w:t>
      </w:r>
    </w:p>
    <w:bookmarkEnd w:id="159"/>
    <w:bookmarkStart w:id="161"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60">
        <w:r>
          <w:rPr>
            <w:rStyle w:val="Hyperlink"/>
          </w:rPr>
          <w:t xml:space="preserve">https://doi.org/10.1098/rsif.2017.0213</w:t>
        </w:r>
      </w:hyperlink>
      <w:r>
        <w:t xml:space="preserve">.</w:t>
      </w:r>
    </w:p>
    <w:bookmarkEnd w:id="161"/>
    <w:bookmarkStart w:id="163"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62">
        <w:r>
          <w:rPr>
            <w:rStyle w:val="Hyperlink"/>
          </w:rPr>
          <w:t xml:space="preserve">https://doi.org/10.1111/j.2041-210x.2012.00261.x</w:t>
        </w:r>
      </w:hyperlink>
      <w:r>
        <w:t xml:space="preserve">.</w:t>
      </w:r>
    </w:p>
    <w:bookmarkEnd w:id="163"/>
    <w:bookmarkStart w:id="16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64">
        <w:r>
          <w:rPr>
            <w:rStyle w:val="Hyperlink"/>
          </w:rPr>
          <w:t xml:space="preserve">https://doi.org/10.1111/pcn.13714</w:t>
        </w:r>
      </w:hyperlink>
      <w:r>
        <w:t xml:space="preserve">.</w:t>
      </w:r>
    </w:p>
    <w:bookmarkEnd w:id="165"/>
    <w:bookmarkStart w:id="16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66">
        <w:r>
          <w:rPr>
            <w:rStyle w:val="Hyperlink"/>
          </w:rPr>
          <w:t xml:space="preserve">https://doi.org/10.1265/ehpm.25-00290</w:t>
        </w:r>
      </w:hyperlink>
      <w:r>
        <w:t xml:space="preserve">.</w:t>
      </w:r>
    </w:p>
    <w:bookmarkEnd w:id="167"/>
    <w:bookmarkStart w:id="16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68">
        <w:r>
          <w:rPr>
            <w:rStyle w:val="Hyperlink"/>
          </w:rPr>
          <w:t xml:space="preserve">https://doi.org/10.3109/07420528.2013.826238</w:t>
        </w:r>
      </w:hyperlink>
      <w:r>
        <w:t xml:space="preserve">.</w:t>
      </w:r>
    </w:p>
    <w:bookmarkEnd w:id="169"/>
    <w:bookmarkStart w:id="17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0">
        <w:r>
          <w:rPr>
            <w:rStyle w:val="Hyperlink"/>
          </w:rPr>
          <w:t xml:space="preserve">https://doi.org/10.1007/s41105-017-0091-0</w:t>
        </w:r>
      </w:hyperlink>
      <w:r>
        <w:t xml:space="preserve">.</w:t>
      </w:r>
    </w:p>
    <w:bookmarkEnd w:id="171"/>
    <w:bookmarkStart w:id="173"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72">
        <w:r>
          <w:rPr>
            <w:rStyle w:val="Hyperlink"/>
          </w:rPr>
          <w:t xml:space="preserve">https://doi.org/10.1111/jcpp.14082</w:t>
        </w:r>
      </w:hyperlink>
      <w:r>
        <w:t xml:space="preserve">.</w:t>
      </w:r>
    </w:p>
    <w:bookmarkEnd w:id="173"/>
    <w:bookmarkStart w:id="17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4">
        <w:r>
          <w:rPr>
            <w:rStyle w:val="Hyperlink"/>
          </w:rPr>
          <w:t xml:space="preserve">https://www.gov.uk/government/publications/against-the-odds</w:t>
        </w:r>
      </w:hyperlink>
      <w:r>
        <w:t xml:space="preserve">.</w:t>
      </w:r>
    </w:p>
    <w:bookmarkEnd w:id="175"/>
    <w:bookmarkStart w:id="17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76">
        <w:r>
          <w:rPr>
            <w:rStyle w:val="Hyperlink"/>
          </w:rPr>
          <w:t xml:space="preserve">https://www.gov.uk/government/publications/examining-the-london-advantage-in-attainment-evidence-from-lsype</w:t>
        </w:r>
      </w:hyperlink>
      <w:r>
        <w:t xml:space="preserve">.</w:t>
      </w:r>
    </w:p>
    <w:bookmarkEnd w:id="177"/>
    <w:bookmarkStart w:id="179"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78">
        <w:r>
          <w:rPr>
            <w:rStyle w:val="Hyperlink"/>
          </w:rPr>
          <w:t xml:space="preserve">https://knowledge.uchicago.edu/record/7216</w:t>
        </w:r>
      </w:hyperlink>
      <w:r>
        <w:t xml:space="preserve">.</w:t>
      </w:r>
    </w:p>
    <w:bookmarkEnd w:id="179"/>
    <w:bookmarkStart w:id="180"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0"/>
    <w:bookmarkStart w:id="182"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1">
        <w:r>
          <w:rPr>
            <w:rStyle w:val="Hyperlink"/>
          </w:rPr>
          <w:t xml:space="preserve">https://doi.org/10.3102/0013189X20949504</w:t>
        </w:r>
      </w:hyperlink>
      <w:r>
        <w:t xml:space="preserve">.</w:t>
      </w:r>
    </w:p>
    <w:bookmarkEnd w:id="182"/>
    <w:bookmarkStart w:id="184"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83">
        <w:r>
          <w:rPr>
            <w:rStyle w:val="Hyperlink"/>
          </w:rPr>
          <w:t xml:space="preserve">https://doi.org/10.1080/01425692.2025.2474040</w:t>
        </w:r>
      </w:hyperlink>
      <w:r>
        <w:t xml:space="preserve">.</w:t>
      </w:r>
    </w:p>
    <w:bookmarkEnd w:id="184"/>
    <w:bookmarkStart w:id="186"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85">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86"/>
    <w:bookmarkStart w:id="188"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87">
        <w:r>
          <w:rPr>
            <w:rStyle w:val="Hyperlink"/>
          </w:rPr>
          <w:t xml:space="preserve">https://doi.org/10.1007/978-3-031-98300-9_17</w:t>
        </w:r>
      </w:hyperlink>
      <w:r>
        <w:t xml:space="preserve">.</w:t>
      </w:r>
    </w:p>
    <w:bookmarkEnd w:id="188"/>
    <w:bookmarkStart w:id="190"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89">
        <w:r>
          <w:rPr>
            <w:rStyle w:val="Hyperlink"/>
          </w:rPr>
          <w:t xml:space="preserve">https://ffteducationdatalab.org.uk/2023/11/are-pupils-who-live-further-away-from-their-school-absent-more-often/</w:t>
        </w:r>
      </w:hyperlink>
      <w:r>
        <w:t xml:space="preserve">.</w:t>
      </w:r>
    </w:p>
    <w:bookmarkEnd w:id="190"/>
    <w:bookmarkStart w:id="192"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1">
        <w:r>
          <w:rPr>
            <w:rStyle w:val="Hyperlink"/>
          </w:rPr>
          <w:t xml:space="preserve">https://epi.org.uk/annual-report-2023/</w:t>
        </w:r>
      </w:hyperlink>
      <w:r>
        <w:t xml:space="preserve">.</w:t>
      </w:r>
    </w:p>
    <w:bookmarkEnd w:id="192"/>
    <w:bookmarkStart w:id="194"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93">
        <w:r>
          <w:rPr>
            <w:rStyle w:val="Hyperlink"/>
          </w:rPr>
          <w:t xml:space="preserve">https://doi.org/10.1177/0739456X17725148</w:t>
        </w:r>
      </w:hyperlink>
      <w:r>
        <w:t xml:space="preserve">.</w:t>
      </w:r>
    </w:p>
    <w:bookmarkEnd w:id="194"/>
    <w:bookmarkStart w:id="196"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95">
        <w:r>
          <w:rPr>
            <w:rStyle w:val="Hyperlink"/>
          </w:rPr>
          <w:t xml:space="preserve">https://doi.org/10.1016/j.sleep.2018.10.041</w:t>
        </w:r>
      </w:hyperlink>
      <w:r>
        <w:t xml:space="preserve">.</w:t>
      </w:r>
    </w:p>
    <w:bookmarkEnd w:id="196"/>
    <w:bookmarkStart w:id="19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97">
        <w:r>
          <w:rPr>
            <w:rStyle w:val="Hyperlink"/>
          </w:rPr>
          <w:t xml:space="preserve">https://epi.org.uk/publications-and-research/the-influence-of-headteachers-on-their-schools/</w:t>
        </w:r>
      </w:hyperlink>
      <w:r>
        <w:t xml:space="preserve">.</w:t>
      </w:r>
    </w:p>
    <w:bookmarkEnd w:id="198"/>
    <w:bookmarkEnd w:id="199"/>
    <w:bookmarkEnd w:id="200"/>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42">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3">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4">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7">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8">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9">
        <w:r>
          <w:rPr>
            <w:rStyle w:val="Hyperlink"/>
          </w:rPr>
          <w:t xml:space="preserve">https://democracy.brighton-hove.gov.uk/documents/s205834/School%20Admission%20Arrangements%202026-27.pdf</w:t>
        </w:r>
      </w:hyperlink>
      <w:r>
        <w:t xml:space="preserve">.</w:t>
      </w:r>
    </w:p>
  </w:footnote>
  <w:footnote w:id="5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1">
        <w:r>
          <w:rPr>
            <w:rStyle w:val="Hyperlink"/>
          </w:rPr>
          <w:t xml:space="preserve">https://yourvoice.brighton-hove.gov.uk/en-GB/projects/school-admission-arrangements-public-consultation/1</w:t>
        </w:r>
      </w:hyperlink>
      <w:r>
        <w:t xml:space="preserve">.</w:t>
      </w:r>
    </w:p>
  </w:footnote>
  <w:footnote w:id="52">
    <w:p>
      <w:pPr>
        <w:pStyle w:val="FootnoteText"/>
      </w:pPr>
      <w:r>
        <w:rPr>
          <w:rStyle w:val="FootnoteReference"/>
        </w:rPr>
        <w:footnoteRef/>
      </w:r>
      <w:r>
        <w:t xml:space="preserve"> </w:t>
      </w:r>
      <w:hyperlink r:id="rId53">
        <w:r>
          <w:rPr>
            <w:rStyle w:val="Hyperlink"/>
          </w:rPr>
          <w:t xml:space="preserve">https://www.brighton-hove.gov.uk/schools-and-learning/school-policies-reports-strategies-and-other-documents/better-outcomes-better-lives-brighton-hoves-strategy-tackling-educational-disadvantage</w:t>
        </w:r>
      </w:hyperlink>
    </w:p>
  </w:footnote>
  <w:footnote w:id="75">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82">
    <w:p>
      <w:pPr>
        <w:pStyle w:val="FootnoteText"/>
      </w:pPr>
      <w:r>
        <w:rPr>
          <w:rStyle w:val="FootnoteReference"/>
        </w:rPr>
        <w:footnoteRef/>
      </w:r>
      <w:r>
        <w:t xml:space="preserve"> </w:t>
      </w:r>
      <w:r>
        <w:t xml:space="preserve">Brighton and Hove Council 2024 Consultation Papers:</w:t>
      </w:r>
      <w:r>
        <w:t xml:space="preserve"> </w:t>
      </w:r>
      <w:hyperlink r:id="rId51">
        <w:r>
          <w:rPr>
            <w:rStyle w:val="Hyperlink"/>
          </w:rPr>
          <w:t xml:space="preserve">https://yourvoice.brighton-hove.gov.uk/en-GB/projects/school-admission-arrangements-public-consultation/1</w:t>
        </w:r>
      </w:hyperlink>
    </w:p>
  </w:footnote>
  <w:footnote w:id="84">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8">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9">
        <w:r>
          <w:rPr>
            <w:rStyle w:val="Hyperlink"/>
          </w:rPr>
          <w:t xml:space="preserve">https://democracy.brighton-hove.gov.uk/documents/s205834/School%20Admission%20Arrangements%202026-27.pdf</w:t>
        </w:r>
      </w:hyperlink>
      <w:r>
        <w:t xml:space="preserve">.</w:t>
      </w:r>
    </w:p>
  </w:footnote>
  <w:footnote w:id="8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1">
        <w:r>
          <w:rPr>
            <w:rStyle w:val="Hyperlink"/>
          </w:rPr>
          <w:t xml:space="preserve">https://yourvoice.brighton-hove.gov.uk/en-GB/projects/school-admission-arrangements-public-consultation/1</w:t>
        </w:r>
      </w:hyperlink>
      <w:r>
        <w:t xml:space="preserve">.</w:t>
      </w:r>
    </w:p>
  </w:footnote>
  <w:footnote w:id="88">
    <w:p>
      <w:pPr>
        <w:pStyle w:val="FootnoteText"/>
      </w:pPr>
      <w:r>
        <w:rPr>
          <w:rStyle w:val="FootnoteReference"/>
        </w:rPr>
        <w:footnoteRef/>
      </w:r>
      <w:r>
        <w:t xml:space="preserve"> </w:t>
      </w:r>
      <w:hyperlink r:id="rId89">
        <w:r>
          <w:rPr>
            <w:rStyle w:val="Hyperlink"/>
          </w:rPr>
          <w:t xml:space="preserve">https://reports.ofsted.gov.uk/provider/23/136164</w:t>
        </w:r>
      </w:hyperlink>
    </w:p>
  </w:footnote>
  <w:footnote w:id="9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8">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9">
        <w:r>
          <w:rPr>
            <w:rStyle w:val="Hyperlink"/>
          </w:rPr>
          <w:t xml:space="preserve">https://democracy.brighton-hove.gov.uk/documents/s205834/School%20Admission%20Arrangements%202026-27.pdf</w:t>
        </w:r>
      </w:hyperlink>
      <w:r>
        <w:t xml:space="preserve">.</w:t>
      </w:r>
    </w:p>
  </w:footnote>
  <w:footnote w:id="94">
    <w:p>
      <w:pPr>
        <w:pStyle w:val="FootnoteText"/>
      </w:pPr>
      <w:r>
        <w:rPr>
          <w:rStyle w:val="FootnoteReference"/>
        </w:rPr>
        <w:footnoteRef/>
      </w:r>
      <w:r>
        <w:t xml:space="preserve"> </w:t>
      </w:r>
      <w:r>
        <w:t xml:space="preserve">School Attainment Policy Simulator:</w:t>
      </w:r>
      <w:r>
        <w:t xml:space="preserve"> </w:t>
      </w:r>
      <w:hyperlink r:id="rId95">
        <w:r>
          <w:rPr>
            <w:rStyle w:val="Hyperlink"/>
          </w:rPr>
          <w:t xml:space="preserve">https://adam-dennett.shinyapps.io/School_Attainment_Policy_Simulator/</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38" Target="media/rId38.png" /><Relationship Type="http://schemas.openxmlformats.org/officeDocument/2006/relationships/hyperlink" Id="rId95" Target="https://adam-dennett.shinyapps.io/School_Attainment_Policy_Simulator/"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48" Target="https://democracy.brighton-hove.gov.uk/documents/s204040/School%20Admission%20Arrangements%202026-27.pdf" TargetMode="External" /><Relationship Type="http://schemas.openxmlformats.org/officeDocument/2006/relationships/hyperlink" Id="rId49" Target="https://democracy.brighton-hove.gov.uk/documents/s205834/School%20Admission%20Arrangements%202026-27.pdf"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87" Target="https://doi.org/10.1007/978-3-031-98300-9_17" TargetMode="External" /><Relationship Type="http://schemas.openxmlformats.org/officeDocument/2006/relationships/hyperlink" Id="rId170" Target="https://doi.org/10.1007/s41105-017-0091-0" TargetMode="External" /><Relationship Type="http://schemas.openxmlformats.org/officeDocument/2006/relationships/hyperlink" Id="rId112"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2" Target="https://doi.org/10.1016/j.psyneuen.2021.105371" TargetMode="External" /><Relationship Type="http://schemas.openxmlformats.org/officeDocument/2006/relationships/hyperlink" Id="rId195" Target="https://doi.org/10.1016/j.sleep.2018.10.041" TargetMode="External" /><Relationship Type="http://schemas.openxmlformats.org/officeDocument/2006/relationships/hyperlink" Id="rId183" Target="https://doi.org/10.1080/01425692.2025.2474040" TargetMode="External" /><Relationship Type="http://schemas.openxmlformats.org/officeDocument/2006/relationships/hyperlink" Id="rId106" Target="https://doi.org/10.1080/0305764X.2024.2420611" TargetMode="External" /><Relationship Type="http://schemas.openxmlformats.org/officeDocument/2006/relationships/hyperlink" Id="rId102"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60" Target="https://doi.org/10.1098/rsif.2017.0213" TargetMode="External" /><Relationship Type="http://schemas.openxmlformats.org/officeDocument/2006/relationships/hyperlink" Id="rId136" Target="https://doi.org/10.1111/j.1467-8624.2004.00655.x" TargetMode="External" /><Relationship Type="http://schemas.openxmlformats.org/officeDocument/2006/relationships/hyperlink" Id="rId104" Target="https://doi.org/10.1111/j.1475-5661.2012.00511.x" TargetMode="External" /><Relationship Type="http://schemas.openxmlformats.org/officeDocument/2006/relationships/hyperlink" Id="rId162" Target="https://doi.org/10.1111/j.2041-210x.2012.00261.x" TargetMode="External" /><Relationship Type="http://schemas.openxmlformats.org/officeDocument/2006/relationships/hyperlink" Id="rId172" Target="https://doi.org/10.1111/jcpp.14082" TargetMode="External" /><Relationship Type="http://schemas.openxmlformats.org/officeDocument/2006/relationships/hyperlink" Id="rId164" Target="https://doi.org/10.1111/pcn.13714" TargetMode="External" /><Relationship Type="http://schemas.openxmlformats.org/officeDocument/2006/relationships/hyperlink" Id="rId110" Target="https://doi.org/10.1177/0308518X18787820" TargetMode="External" /><Relationship Type="http://schemas.openxmlformats.org/officeDocument/2006/relationships/hyperlink" Id="rId193"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61-7" TargetMode="External" /><Relationship Type="http://schemas.openxmlformats.org/officeDocument/2006/relationships/hyperlink" Id="rId166" Target="https://doi.org/10.1265/ehpm.25-00290" TargetMode="External" /><Relationship Type="http://schemas.openxmlformats.org/officeDocument/2006/relationships/hyperlink" Id="rId150" Target="https://doi.org/10.1371/journal.pmed.1003031" TargetMode="External" /><Relationship Type="http://schemas.openxmlformats.org/officeDocument/2006/relationships/hyperlink" Id="rId114" Target="https://doi.org/10.1371/journal.pone.0314687" TargetMode="External" /><Relationship Type="http://schemas.openxmlformats.org/officeDocument/2006/relationships/hyperlink" Id="rId156" Target="https://doi.org/10.14324/LRE.21.1.20" TargetMode="External" /><Relationship Type="http://schemas.openxmlformats.org/officeDocument/2006/relationships/hyperlink" Id="rId181" Target="https://doi.org/10.3102/0013189X20949504" TargetMode="External" /><Relationship Type="http://schemas.openxmlformats.org/officeDocument/2006/relationships/hyperlink" Id="rId118" Target="https://doi.org/10.3102/01623737221092450" TargetMode="External" /><Relationship Type="http://schemas.openxmlformats.org/officeDocument/2006/relationships/hyperlink" Id="rId168"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191" Target="https://epi.org.uk/annual-report-2023/" TargetMode="External" /><Relationship Type="http://schemas.openxmlformats.org/officeDocument/2006/relationships/hyperlink" Id="rId197"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89" Target="https://ffteducationdatalab.org.uk/2023/11/are-pupils-who-live-further-away-from-their-school-absent-more-often/" TargetMode="External" /><Relationship Type="http://schemas.openxmlformats.org/officeDocument/2006/relationships/hyperlink" Id="rId178" Target="https://knowledge.uchicago.edu/record/7216"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89" Target="https://reports.ofsted.gov.uk/provider/23/136164" TargetMode="External" /><Relationship Type="http://schemas.openxmlformats.org/officeDocument/2006/relationships/hyperlink" Id="rId53"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7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8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4" Target="https://www.nfer.ac.uk/publications/supporting-the-attainment-of-disadvantaged-pupils-articulating-success-and-good-practice/" TargetMode="External" /><Relationship Type="http://schemas.openxmlformats.org/officeDocument/2006/relationships/hyperlink" Id="rId158" Target="https://www.nfer.ac.uk/publications/understanding-the-relationship-between-attendance-wellbeing-and-sense-of-belonging/" TargetMode="External" /><Relationship Type="http://schemas.openxmlformats.org/officeDocument/2006/relationships/hyperlink" Id="rId108" Target="https://www.urban.org/sites/default/files/publication/99027/time_to_school_and_student_outcomes_in_dc_1.pdf" TargetMode="External" /><Relationship Type="http://schemas.openxmlformats.org/officeDocument/2006/relationships/hyperlink" Id="rId51"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95" Target="https://adam-dennett.shinyapps.io/School_Attainment_Policy_Simulator/"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48" Target="https://democracy.brighton-hove.gov.uk/documents/s204040/School%20Admission%20Arrangements%202026-27.pdf" TargetMode="External" /><Relationship Type="http://schemas.openxmlformats.org/officeDocument/2006/relationships/hyperlink" Id="rId49" Target="https://democracy.brighton-hove.gov.uk/documents/s205834/School%20Admission%20Arrangements%202026-27.pdf"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87" Target="https://doi.org/10.1007/978-3-031-98300-9_17" TargetMode="External" /><Relationship Type="http://schemas.openxmlformats.org/officeDocument/2006/relationships/hyperlink" Id="rId170" Target="https://doi.org/10.1007/s41105-017-0091-0" TargetMode="External" /><Relationship Type="http://schemas.openxmlformats.org/officeDocument/2006/relationships/hyperlink" Id="rId112"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2" Target="https://doi.org/10.1016/j.psyneuen.2021.105371" TargetMode="External" /><Relationship Type="http://schemas.openxmlformats.org/officeDocument/2006/relationships/hyperlink" Id="rId195" Target="https://doi.org/10.1016/j.sleep.2018.10.041" TargetMode="External" /><Relationship Type="http://schemas.openxmlformats.org/officeDocument/2006/relationships/hyperlink" Id="rId183" Target="https://doi.org/10.1080/01425692.2025.2474040" TargetMode="External" /><Relationship Type="http://schemas.openxmlformats.org/officeDocument/2006/relationships/hyperlink" Id="rId106" Target="https://doi.org/10.1080/0305764X.2024.2420611" TargetMode="External" /><Relationship Type="http://schemas.openxmlformats.org/officeDocument/2006/relationships/hyperlink" Id="rId102"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60" Target="https://doi.org/10.1098/rsif.2017.0213" TargetMode="External" /><Relationship Type="http://schemas.openxmlformats.org/officeDocument/2006/relationships/hyperlink" Id="rId136" Target="https://doi.org/10.1111/j.1467-8624.2004.00655.x" TargetMode="External" /><Relationship Type="http://schemas.openxmlformats.org/officeDocument/2006/relationships/hyperlink" Id="rId104" Target="https://doi.org/10.1111/j.1475-5661.2012.00511.x" TargetMode="External" /><Relationship Type="http://schemas.openxmlformats.org/officeDocument/2006/relationships/hyperlink" Id="rId162" Target="https://doi.org/10.1111/j.2041-210x.2012.00261.x" TargetMode="External" /><Relationship Type="http://schemas.openxmlformats.org/officeDocument/2006/relationships/hyperlink" Id="rId172" Target="https://doi.org/10.1111/jcpp.14082" TargetMode="External" /><Relationship Type="http://schemas.openxmlformats.org/officeDocument/2006/relationships/hyperlink" Id="rId164" Target="https://doi.org/10.1111/pcn.13714" TargetMode="External" /><Relationship Type="http://schemas.openxmlformats.org/officeDocument/2006/relationships/hyperlink" Id="rId110" Target="https://doi.org/10.1177/0308518X18787820" TargetMode="External" /><Relationship Type="http://schemas.openxmlformats.org/officeDocument/2006/relationships/hyperlink" Id="rId193"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61-7" TargetMode="External" /><Relationship Type="http://schemas.openxmlformats.org/officeDocument/2006/relationships/hyperlink" Id="rId166" Target="https://doi.org/10.1265/ehpm.25-00290" TargetMode="External" /><Relationship Type="http://schemas.openxmlformats.org/officeDocument/2006/relationships/hyperlink" Id="rId150" Target="https://doi.org/10.1371/journal.pmed.1003031" TargetMode="External" /><Relationship Type="http://schemas.openxmlformats.org/officeDocument/2006/relationships/hyperlink" Id="rId114" Target="https://doi.org/10.1371/journal.pone.0314687" TargetMode="External" /><Relationship Type="http://schemas.openxmlformats.org/officeDocument/2006/relationships/hyperlink" Id="rId156" Target="https://doi.org/10.14324/LRE.21.1.20" TargetMode="External" /><Relationship Type="http://schemas.openxmlformats.org/officeDocument/2006/relationships/hyperlink" Id="rId181" Target="https://doi.org/10.3102/0013189X20949504" TargetMode="External" /><Relationship Type="http://schemas.openxmlformats.org/officeDocument/2006/relationships/hyperlink" Id="rId118" Target="https://doi.org/10.3102/01623737221092450" TargetMode="External" /><Relationship Type="http://schemas.openxmlformats.org/officeDocument/2006/relationships/hyperlink" Id="rId168"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191" Target="https://epi.org.uk/annual-report-2023/" TargetMode="External" /><Relationship Type="http://schemas.openxmlformats.org/officeDocument/2006/relationships/hyperlink" Id="rId197"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89" Target="https://ffteducationdatalab.org.uk/2023/11/are-pupils-who-live-further-away-from-their-school-absent-more-often/" TargetMode="External" /><Relationship Type="http://schemas.openxmlformats.org/officeDocument/2006/relationships/hyperlink" Id="rId178" Target="https://knowledge.uchicago.edu/record/7216"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89" Target="https://reports.ofsted.gov.uk/provider/23/136164" TargetMode="External" /><Relationship Type="http://schemas.openxmlformats.org/officeDocument/2006/relationships/hyperlink" Id="rId53"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7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8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4" Target="https://www.nfer.ac.uk/publications/supporting-the-attainment-of-disadvantaged-pupils-articulating-success-and-good-practice/" TargetMode="External" /><Relationship Type="http://schemas.openxmlformats.org/officeDocument/2006/relationships/hyperlink" Id="rId158" Target="https://www.nfer.ac.uk/publications/understanding-the-relationship-between-attendance-wellbeing-and-sense-of-belonging/" TargetMode="External" /><Relationship Type="http://schemas.openxmlformats.org/officeDocument/2006/relationships/hyperlink" Id="rId108" Target="https://www.urban.org/sites/default/files/publication/99027/time_to_school_and_student_outcomes_in_dc_1.pdf" TargetMode="External" /><Relationship Type="http://schemas.openxmlformats.org/officeDocument/2006/relationships/hyperlink" Id="rId51"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2026-08-19T15:22:08Z</dcterms:created>
  <dcterms:modified xsi:type="dcterms:W3CDTF">2026-08-19T15:22:08Z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2026-08-19</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