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50.png" ContentType="image/png"/>
  <Override PartName="/word/media/rId55.png" ContentType="image/png"/>
  <Override PartName="/word/media/rId6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Pulling the Wrong Lever: School Attainment, Open Data Analytics and Local Education Policy in England</w:t>
      </w:r>
    </w:p>
    <w:p>
      <w:pPr>
        <w:pStyle w:val="Subtitle"/>
      </w:pPr>
      <w:r>
        <w:t xml:space="preserve">Lessons from Brighton and Hove</w:t>
      </w:r>
    </w:p>
    <w:p>
      <w:pPr>
        <w:pStyle w:val="Author"/>
      </w:pPr>
      <w:r>
        <w:t xml:space="preserve">Adam Dennett</w:t>
      </w:r>
    </w:p>
    <w:p>
      <w:pPr>
        <w:pStyle w:val="Author"/>
      </w:pPr>
      <w:r>
        <w:t xml:space="preserve">Natasha Priest</w:t>
      </w:r>
    </w:p>
    <w:p>
      <w:pPr>
        <w:pStyle w:val="Author"/>
      </w:pPr>
      <w:r>
        <w:t xml:space="preserve">Tom Harrison</w:t>
      </w:r>
    </w:p>
    <w:p>
      <w:pPr>
        <w:pStyle w:val="Author"/>
      </w:pPr>
      <w:r>
        <w:t xml:space="preserve">Dan Campbell-Meiklejohn</w:t>
      </w:r>
    </w:p>
    <w:p>
      <w:pPr>
        <w:pStyle w:val="Date"/>
      </w:pPr>
      <w:r>
        <w:t xml:space="preserve">2026-04-07</w:t>
      </w:r>
    </w:p>
    <w:p>
      <w:pPr>
        <w:pStyle w:val="AbstractTitle"/>
      </w:pPr>
      <w:r>
        <w:t xml:space="preserve">Abstract</w:t>
      </w:r>
    </w:p>
    <w:p>
      <w:pPr>
        <w:pStyle w:val="Abstract"/>
      </w:pPr>
      <w:r>
        <w:t xml:space="preserve">The UK Government’s 2026 schools white paper sets ambitious targets including halving the disadvantage attainment gap. Achieving improvements in disadvantaged student attainment requires local education authorities to understand their local situations and the specific drivers in their areas. But it is all to easy to pull the wrong policy lever when information and intelligence is incomplete. Recent experiences in Brighton and Hove have highlighted the gap between open data and actionable intelligence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was</w:t>
      </w:r>
      <w:r>
        <w:t xml:space="preserve"> </w:t>
      </w:r>
      <w:r>
        <w:t xml:space="preserve">‘driven by economic advantage’</w:t>
      </w:r>
      <w:r>
        <w:t xml:space="preserve">. Our analysis reveals that the city ranks among the highest-performing local authorities once structural factors are accounted for, but has the second worst absence rate in England. The policy as designed was pulling a lever with relatively little mechanical advantage while ignoring one with considerably more. We argue that the Department for Education’s open data provides the raw materials for better local policy making, but a crucial gap exists between available data and accessible, contextualised intelligence - a gap we address with a new Policy Simulator tool.</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of attainment in their areas and choose interventions accordingly.</w:t>
      </w:r>
    </w:p>
    <w:p>
      <w:pPr>
        <w:pStyle w:val="BodyText"/>
      </w:pPr>
      <w:r>
        <w:t xml:space="preserve">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secondary school admissions policy proposals in 2024–25 were designed around a flawed understanding of local attainment drivers.</w:t>
      </w:r>
    </w:p>
    <w:p>
      <w:pPr>
        <w:pStyle w:val="BodyText"/>
      </w:pPr>
      <w:r>
        <w:t xml:space="preserve">Brighton and Hove provides a particularly instructive case. The city already has a distinctive and progressive admissions landscape featuring catchment areas with a lottery tie-break for oversubscribed schools, introduced following a secondary school closure in 2005</w:t>
      </w:r>
      <w:r>
        <w:t xml:space="preserve"> </w:t>
      </w:r>
      <w:r>
        <w:t xml:space="preserve">(Allen et al. 2013)</w:t>
      </w:r>
      <w:r>
        <w:t xml:space="preserve"> </w:t>
      </w:r>
      <w:r>
        <w:t xml:space="preserve">and an admissions priority for those on Free School Meals in all of its community schools. In 2024, the council launched proposals to shake things up even further by reducing Published Admission Numbers at popular central-catchment schools (and keeping them higher at less popular under-subscribed schools), reserving a number of places for out-of-catchment children in central catchments, ahead of in-catchment children and altering the catchment areas in the city. These new policy proposals were premised on the belief that attainment in the city was</w:t>
      </w:r>
      <w:r>
        <w:t xml:space="preserve"> </w:t>
      </w:r>
      <w:r>
        <w:t xml:space="preserve">‘driven by economic advantage’</w:t>
      </w:r>
      <w:r>
        <w:t xml:space="preserve"> </w:t>
      </w:r>
      <w:r>
        <w:t xml:space="preserve">and that redistributing pupils would narrow the attainment gap. Or at least this was how it was presented to parents in the city at public meetings ahead of the statutory consultation. The response to the consultation was overwhelmingly negative from parents and schools alike, yet many did not have the tools to effectively challenge the council’s narrative and the core policy direction persisted - albeit eventually slightly watered down from the initial proposals.</w:t>
      </w:r>
    </w:p>
    <w:p>
      <w:pPr>
        <w:pStyle w:val="BodyText"/>
      </w:pPr>
      <w:r>
        <w:t xml:space="preserve">Detailed data and analytics about the particular local situation were not available at the time and could not be used to contribute to the debate. Some rapidly produced analysis was put into the public domain by some of the authors of this paper</w:t>
      </w:r>
      <w:r>
        <w:rPr>
          <w:rStyle w:val="FootnoteReference"/>
        </w:rPr>
        <w:footnoteReference w:id="20"/>
      </w:r>
      <w:r>
        <w:t xml:space="preserve">, but this was too little too late and produced as a response to, rather than contributing to, the creation of policy. We (the citizens of Brighton and Hove, including the local councillors developing policy) didn’t know it at the time, but the City is one of the best performing Local Education Authorities in the Country for both disadvantaged (7th out of 152) and non-disadvantaged (5th out of 152) GCSE attainment, once you account for the factors we know influence that attainment. Raw data on the attainment gap, without context, was used as partial justification for the radical policies proposed and the city was painted by policy makers as a failure. However, the question they should have been asking, was</w:t>
      </w:r>
      <w:r>
        <w:t xml:space="preserve"> </w:t>
      </w:r>
      <w:r>
        <w:t xml:space="preserve">“what is the city doing right?”</w:t>
      </w:r>
      <w:r>
        <w:t xml:space="preserve"> </w:t>
      </w:r>
      <w:r>
        <w:t xml:space="preserve">While we can’t know if open, accessible, location-specific analysis and this kind of insight would have resulted in a change of policy direction, it would have certainly facilitated a more informed discussion prior to and during the consultation.</w:t>
      </w:r>
    </w:p>
    <w:p>
      <w:pPr>
        <w:pStyle w:val="BodyText"/>
      </w:pPr>
      <w:r>
        <w:t xml:space="preserve">The authors are residents of Brighton and Hove with direct experience of the effects of these proposals on their families and community. Some are academics, some experienced in policy making, some involved in school governance, and some simply parents. This diverse positionality motivates the analysis: we argue that better analytical tools, applied to readily available open data, could have substantially improved the quality of the policy debate and may have resulted in better policy formation.</w:t>
      </w:r>
    </w:p>
    <w:p>
      <w:pPr>
        <w:pStyle w:val="BodyText"/>
      </w:pPr>
      <w:r>
        <w:t xml:space="preserve">We are not claiming that the model outlined in this paper is the best possible or that our variable selection is optimal. Our intention is to show that with open, freely available data and variables that are along the right lines, it is possible to build a model explaining over 80% of the variation in school-level attainment with just a handful of predictors. When we know the vast majority of influences on attainment and how they interact in different local contexts, we can answer questions such as:</w:t>
      </w:r>
      <w:r>
        <w:t xml:space="preserve"> </w:t>
      </w:r>
      <w:r>
        <w:t xml:space="preserve">‘is changing the social mix in schools likely to improve disadvantaged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w:t>
      </w:r>
    </w:p>
    <w:p>
      <w:pPr>
        <w:pStyle w:val="BodyText"/>
      </w:pPr>
      <w:r>
        <w:t xml:space="preserve">We are also acutely aware that statistical analysis does not always translate effectively into accessible policy relevant intelligence. While the reporting of standard deviation improvements is more statistically sound, trying to translate such an effect into a tangible outcome would be a challenge for most. Therefore in this paper we try to present the effects we observe in more readily understandable GCSE points so that they have more real-world meaning and potentially more resonance with policy makers.</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6" w:name="literature-review"/>
    <w:p>
      <w:pPr>
        <w:pStyle w:val="Heading1"/>
      </w:pPr>
      <w:r>
        <w:t xml:space="preserve">2. Literature review</w:t>
      </w:r>
    </w:p>
    <w:bookmarkStart w:id="23"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A crucial dimension is that inequalities in outcomes between disadvantaged and non-disadvantaged students at GCSE level are substantially mediated by prior attainment at Key Stage 2 (KS2). Prior attainment at KS2 reflects accumulated inequalities from before secondary school</w:t>
      </w:r>
      <w:r>
        <w:t xml:space="preserve"> </w:t>
      </w:r>
      <w:r>
        <w:t xml:space="preserve">(Stopforth and Gayle 2025)</w:t>
      </w:r>
      <w:r>
        <w:t xml:space="preserve">, and</w:t>
      </w:r>
      <w:r>
        <w:t xml:space="preserve"> </w:t>
      </w:r>
      <w:r>
        <w:t xml:space="preserve">Gorard and Siddiqui (2019)</w:t>
      </w:r>
      <w:r>
        <w:t xml:space="preserve"> </w:t>
      </w:r>
      <w:r>
        <w:t xml:space="preserve">show that the duration of disadvantage is a stronger predictor than disadvantage at any single point. We will return to this later in the paper, however</w:t>
      </w:r>
      <w:r>
        <w:t xml:space="preserve"> </w:t>
      </w:r>
      <w:r>
        <w:t xml:space="preserve">Gorard and Siddiqui (2019)</w:t>
      </w:r>
      <w:r>
        <w:t xml:space="preserve"> </w:t>
      </w:r>
      <w:r>
        <w:t xml:space="preserve">take their focus on disadvantage further and also propose that pupils do worse in schools with higher concentrations of disadvantage, estimating improvements in grades of 0.05–0.15 standard deviations from greater social mixing. While they don’t translate this effect, it works out at approximately one GCSE grade in one subject. One crucial and seductive policy point they make in their paper is that additional mixing can be achieved at</w:t>
      </w:r>
      <w:r>
        <w:t xml:space="preserve"> </w:t>
      </w:r>
      <w:r>
        <w:t xml:space="preserve">‘almost no cost’</w:t>
      </w:r>
      <w:r>
        <w:t xml:space="preserve">. However this is a conjecture that overlooks the real-world consequences for communities, particularly where local social geographies might mean that de-concentration might require children travelling long distances, either by choice or because they are no longer able to attend their most local school.</w:t>
      </w:r>
    </w:p>
    <w:bookmarkEnd w:id="23"/>
    <w:bookmarkStart w:id="24"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bookmarkEnd w:id="24"/>
    <w:bookmarkStart w:id="25"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Simon 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(Simon Burgess et al. 2023; S. Burgess et al. 2022)</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It’s clear from the review above that the factors affecting attainment are multifaceted, complex and interrelated. The research is extensive and many of the drivers well-established and evidenced through high-quality studies on thousands of pupils over long periods of time. As such, with so much evidence on the various different drivers of attainment it can be challenging for anyone comparing different studies to make a judgement on which driver(s) might be most relevant or important in a particular context. To do this, what is required is an analysis which is able to combine as many of these drivers at the same time so that their relative influences and interactions can be assessed concurrently — which is where we now turn.</w:t>
      </w:r>
    </w:p>
    <w:bookmarkEnd w:id="25"/>
    <w:bookmarkEnd w:id="26"/>
    <w:bookmarkStart w:id="33" w:name="data-and-methods"/>
    <w:p>
      <w:pPr>
        <w:pStyle w:val="Heading1"/>
      </w:pPr>
      <w:r>
        <w:t xml:space="preserve">3. Data and methods</w:t>
      </w:r>
    </w:p>
    <w:bookmarkStart w:id="29"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7"/>
      </w:r>
      <w:r>
        <w:t xml:space="preserve"> </w:t>
      </w:r>
      <w:r>
        <w:t xml:space="preserve">The full panel comprises 13,419 school-year observations from 3,523 academies and maintained schools across 152 LEAs. Independent schools, colleges and special schools are excluded. After listwise exclusion of cases with missing predictor values required for the log-linear specification (principally missing workforce or Ofsted data), the analysis sample used in the models is approximately 12,200 observations. All data are school-level aggregates; interpretations relate to this level of aggregation.</w:t>
      </w:r>
    </w:p>
    <w:bookmarkEnd w:id="29"/>
    <w:bookmarkStart w:id="32"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log(% overall absence), log(% pupils with English not first language), % low prior attainment at KS2,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0"/>
      </w:r>
      <w:r>
        <w:t xml:space="preserve">.</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REML estimation.</w:t>
      </w:r>
    </w:p>
    <w:bookmarkEnd w:id="32"/>
    <w:bookmarkEnd w:id="33"/>
    <w:bookmarkStart w:id="49" w:name="results"/>
    <w:p>
      <w:pPr>
        <w:pStyle w:val="Heading1"/>
      </w:pPr>
      <w:r>
        <w:t xml:space="preserve">4. Results</w:t>
      </w:r>
    </w:p>
    <w:bookmarkStart w:id="34" w:name="model-fit"/>
    <w:p>
      <w:pPr>
        <w:pStyle w:val="Heading2"/>
      </w:pPr>
      <w:r>
        <w:t xml:space="preserve">4.1 Model fit</w:t>
      </w:r>
    </w:p>
    <w:p>
      <w:pPr>
        <w:pStyle w:val="FirstParagraph"/>
      </w:pPr>
      <w:r>
        <w:t xml:space="preserve">The models explain a substantial proportion of variance in school-level Attainment 8. For all pupils, the conditional</w:t>
      </w:r>
      <w:r>
        <w:t xml:space="preserve"> </w:t>
      </w:r>
      <m:oMath>
        <m:sSup>
          <m:e>
            <m:r>
              <m:t>R</m:t>
            </m:r>
          </m:e>
          <m:sup>
            <m:r>
              <m:t>2</m:t>
            </m:r>
          </m:sup>
        </m:sSup>
      </m:oMath>
      <w:r>
        <w:t xml:space="preserve"> </w:t>
      </w:r>
      <w:r>
        <w:t xml:space="preserve">(fixed plus random effects) is 0.77, with marginal</w:t>
      </w:r>
      <w:r>
        <w:t xml:space="preserve"> </w:t>
      </w:r>
      <m:oMath>
        <m:sSup>
          <m:e>
            <m:r>
              <m:t>R</m:t>
            </m:r>
          </m:e>
          <m:sup>
            <m:r>
              <m:t>2</m:t>
            </m:r>
          </m:sup>
        </m:sSup>
      </m:oMath>
      <w:r>
        <w:t xml:space="preserve"> </w:t>
      </w:r>
      <w:r>
        <w:t xml:space="preserve">(fixed effects alone) of 0.63. For disadvantaged pupils the conditional</w:t>
      </w:r>
      <w:r>
        <w:t xml:space="preserve"> </w:t>
      </w:r>
      <m:oMath>
        <m:sSup>
          <m:e>
            <m:r>
              <m:t>R</m:t>
            </m:r>
          </m:e>
          <m:sup>
            <m:r>
              <m:t>2</m:t>
            </m:r>
          </m:sup>
        </m:sSup>
      </m:oMath>
      <w:r>
        <w:t xml:space="preserve"> </w:t>
      </w:r>
      <w:r>
        <w:t xml:space="preserve">is 0.73; for non-disadvantaged pupils, 0.79. School-level attainment is remarkably predictable from these structural factors, which makes them very useful for exploring the effectiveness of local policy levers.</w:t>
      </w:r>
    </w:p>
    <w:bookmarkEnd w:id="34"/>
    <w:bookmarkStart w:id="36"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5" w:name="tbl-stepwise"/>
          <w:p>
            <w:pPr>
              <w:jc w:val="center"/>
            </w:pPr>
            <w:pPr>
              <w:jc w:val="left"/>
              <w:spacing w:before="200"/>
              <w:pStyle w:val="ImageCaption"/>
            </w:pPr>
            <w:r>
              <w:t xml:space="preserve">Table 1: Stepwise progression to the full multilevel model for overall Attainment 8.</w:t>
            </w:r>
          </w:p>
          <w:bookmarkEnd w:id="35"/>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w:t>
      </w:r>
    </w:p>
    <w:bookmarkEnd w:id="36"/>
    <w:bookmarkStart w:id="48"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0" w:name="fig-standardised-coefficients"/>
          <w:p>
            <w:pPr>
              <w:pStyle w:val="Compact"/>
              <w:jc w:val="center"/>
            </w:pPr>
            <w:r>
              <w:drawing>
                <wp:inline>
                  <wp:extent cx="5334000" cy="3810000"/>
                  <wp:effectExtent b="0" l="0" r="0" t="0"/>
                  <wp:docPr descr="" title="" id="38" name="Picture"/>
                  <a:graphic>
                    <a:graphicData uri="http://schemas.openxmlformats.org/drawingml/2006/picture">
                      <pic:pic>
                        <pic:nvPicPr>
                          <pic:cNvPr descr="JEP_Paper_files/figure-docx/fig-standardised-coefficients-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0"/>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1"/>
      </w:r>
      <w:r>
        <w:t xml:space="preserve"> </w:t>
      </w:r>
      <w:r>
        <w:t xml:space="preserve">across all three pupil groups (all pupils, disadvantaged pupils and non-disadvantaged pupils - full model outputs available in the supplementary materials</w:t>
      </w:r>
      <w:r>
        <w:rPr>
          <w:rStyle w:val="FootnoteReference"/>
        </w:rPr>
        <w:footnoteReference w:id="42"/>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r>
        <w:t xml:space="preserve">The most contentious finding in our analysis concerns concentrations of disadvantage.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4"/>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For non-disadvantaged pupils, the effects of higher disadvantage concentrations are more clearly negative. Even after controlling for attendance and prior scores, being in a higher-disadvantage school depresses Attainment 8 for this group — a possible peer effect or curriculum-resourcing dynamic. Both of these findings are contentious in the Brighton and Hove context as they challenge the</w:t>
      </w:r>
      <w:r>
        <w:t xml:space="preserve"> </w:t>
      </w:r>
      <w:r>
        <w:t xml:space="preserve">‘no cost’</w:t>
      </w:r>
      <w:r>
        <w:t xml:space="preserve"> </w:t>
      </w:r>
      <w:r>
        <w:t xml:space="preserve">conjecture, but perhaps most importantly suggest that policy efforts to make the schools in the city more mixed than they already are (Brighton and Hove’s schools are already in the top third for integration of disadvantaged and non-disadvantaged students when using the Gorard Segregation index</w:t>
      </w:r>
      <w:r>
        <w:rPr>
          <w:rStyle w:val="FootnoteReference"/>
        </w:rPr>
        <w:footnoteReference w:id="46"/>
      </w:r>
      <w:r>
        <w:t xml:space="preserve">) might actually be counter productive as a policy to improve disadvantaged attainment.</w:t>
      </w:r>
    </w:p>
    <w:p>
      <w:pPr>
        <w:pStyle w:val="BodyText"/>
      </w:pPr>
      <w:r>
        <w:t xml:space="preserve">Absence remains consistently the biggest predictor across all groups and is even more important for disadvantaged pupils. Nearly half of the difference in school-level performance for disadvantaged pupils is explained simply by whether they attend. Disadvantaged pupils lack the safety net of engaged parents, private tutors or revision resources that some less disadvantaged students have, making them more reliant on classroom instruction. In this sense, attendance is the ultimate equity lever.</w:t>
      </w:r>
    </w:p>
    <w:p>
      <w:pPr>
        <w:pStyle w:val="BodyText"/>
      </w:pPr>
      <w:r>
        <w:t xml:space="preserve">These outcomes do not mean that advocate for concentrating disadvantaged pupils. We do not. However, where the social and spatial composition of LEAs means that disadvantaged and non-disadvantaged students are not evenly spread across schools, deconcentration policies premised on the assumption that disadvantaged pupils inevitably fare worse in schools with lower concentrations of disadvantage are not supported by this evidence. And where such policies require longer journeys that risk increasing absence</w:t>
      </w:r>
      <w:r>
        <w:t xml:space="preserve"> </w:t>
      </w:r>
      <w:r>
        <w:t xml:space="preserve">(Thomson 2023)</w:t>
      </w:r>
      <w:r>
        <w:t xml:space="preserve">, they could be actively counter-productive given how much more negatively impactful absence is.</w:t>
      </w:r>
    </w:p>
    <w:bookmarkEnd w:id="48"/>
    <w:bookmarkEnd w:id="49"/>
    <w:bookmarkStart w:id="70" w:name="brighton-and-hove-case-study"/>
    <w:p>
      <w:pPr>
        <w:pStyle w:val="Heading1"/>
      </w:pPr>
      <w:r>
        <w:t xml:space="preserve">5. Brighton and Hove case study</w:t>
      </w:r>
    </w:p>
    <w:bookmarkStart w:id="54"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Following the 2023 local elections, the Labour Party took overall control and implemented a Leader and Cabinet system, concentrating decision-making power. In October 2024, the council launched proposals to reduce Published Admission Numbers at popular central schools, redraw catchment boundaries, and reserve 20% of places in some schools for out-of-catchment children. The stated aims were to improve educational outcomes for disadvantaged pupils and ensure financial viability of under-subscribed peripheral schools. Underpinning the proposals was an assertion that attainment in the city was</w:t>
      </w:r>
      <w:r>
        <w:t xml:space="preserve"> </w:t>
      </w:r>
      <w:r>
        <w:t xml:space="preserve">‘driven by economic advantage’</w:t>
      </w:r>
      <w:r>
        <w:t xml:space="preserve"> </w:t>
      </w:r>
      <w:r>
        <w:t xml:space="preserve">and that redistributing disadvantaged pupils would narrow the attainment gap, drawing on the work of</w:t>
      </w:r>
      <w:r>
        <w:t xml:space="preserve"> </w:t>
      </w:r>
      <w:r>
        <w:t xml:space="preserve">Gorard and Siddiqui (2019)</w:t>
      </w:r>
      <w:r>
        <w:t xml:space="preserve"> </w:t>
      </w:r>
      <w:r>
        <w:t xml:space="preserve">on school segregation.</w:t>
      </w:r>
    </w:p>
    <w:p>
      <w:pPr>
        <w:pStyle w:val="BodyText"/>
      </w:pPr>
      <w:r>
        <w:t xml:space="preserve">The public response was overwhelmingly negative, with the council’s own feedback summary from the pre-consultation engagement exercise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attend schools at the periphery of the city, potentially requiring over two hours of daily commuting.</w:t>
      </w:r>
    </w:p>
    <w:p>
      <w:pPr>
        <w:pStyle w:val="BodyText"/>
      </w:pPr>
      <w:r>
        <w:t xml:space="preserve">From the papers accompanying the proposals and the content of the scrutiny committee meetings, it was clear the council had settled on affecting increased social mixing — beyond levels already in the top third nationally — in the belief this would raise disadvantaged attainment. This was in addition to a 2023 policy giving FSM-eligible pupils priority in admissions, which was already affecting further mixing without opposition. That the central catchments were perceived as more</w:t>
      </w:r>
      <w:r>
        <w:t xml:space="preserve"> </w:t>
      </w:r>
      <w:r>
        <w:t xml:space="preserve">‘middle-class’</w:t>
      </w:r>
      <w:r>
        <w:t xml:space="preserve"> </w:t>
      </w:r>
      <w:r>
        <w:t xml:space="preserve">and the peripheral schools, particularly in the east of the city, as more</w:t>
      </w:r>
      <w:r>
        <w:t xml:space="preserve"> </w:t>
      </w:r>
      <w:r>
        <w:t xml:space="preserve">‘working-class’</w:t>
      </w:r>
      <w:r>
        <w:t xml:space="preserve">, may have factored into this design.</w:t>
      </w:r>
    </w:p>
    <w:p>
      <w:pPr>
        <w:pStyle w:val="BodyText"/>
      </w:pPr>
      <w:r>
        <w:t xml:space="preserve">Whether the availability of better evidence would have changed the political outcome is unknowable. But having been on the side of the city responding to proposals rather than generating them, we can say that accessible evidence</w:t>
      </w:r>
      <w:r>
        <w:t xml:space="preserve"> </w:t>
      </w:r>
      <w:r>
        <w:rPr>
          <w:i/>
          <w:iCs/>
        </w:rPr>
        <w:t xml:space="preserve">would</w:t>
      </w:r>
      <w:r>
        <w:t xml:space="preserve"> </w:t>
      </w:r>
      <w:r>
        <w:t xml:space="preserve">have enabled earlier and more constructive engagement. The compressed consultation timeline left wholly inadequate time to assemble and present counter-evidence for the complexity of the issues at stake. What follows is an attempt to demonstrate what that evidence looks like.</w:t>
      </w:r>
    </w:p>
    <w:tbl>
      <w:tblPr>
        <w:tblStyle w:val="Table"/>
        <w:tblW w:type="pct" w:w="5000"/>
        <w:tblLayout w:type="fixed"/>
        <w:tblLook w:firstRow="0" w:lastRow="0" w:firstColumn="0" w:lastColumn="0" w:noHBand="0" w:noVBand="0" w:val="0000"/>
      </w:tblPr>
      <w:tblGrid>
        <w:gridCol w:w="7920"/>
      </w:tblGrid>
      <w:tr>
        <w:tc>
          <w:tcPr/>
          <w:bookmarkStart w:id="53" w:name="fig-catchments"/>
          <w:p>
            <w:pPr>
              <w:pStyle w:val="Compact"/>
              <w:jc w:val="center"/>
            </w:pPr>
            <w:r>
              <w:drawing>
                <wp:inline>
                  <wp:extent cx="5334000" cy="4572000"/>
                  <wp:effectExtent b="0" l="0" r="0" t="0"/>
                  <wp:docPr descr="" title="" id="51" name="Picture"/>
                  <a:graphic>
                    <a:graphicData uri="http://schemas.openxmlformats.org/drawingml/2006/picture">
                      <pic:pic>
                        <pic:nvPicPr>
                          <pic:cNvPr descr="JEP_Paper_files/figure-docx/fig-catchments-1.png" id="52" name="Picture"/>
                          <pic:cNvPicPr>
                            <a:picLocks noChangeArrowheads="1" noChangeAspect="1"/>
                          </pic:cNvPicPr>
                        </pic:nvPicPr>
                        <pic:blipFill>
                          <a:blip r:embed="rId50"/>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53"/>
        </w:tc>
      </w:tr>
    </w:tbl>
    <w:bookmarkEnd w:id="54"/>
    <w:bookmarkStart w:id="59"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58" w:name="fig-caterpillar"/>
          <w:p>
            <w:pPr>
              <w:pStyle w:val="Compact"/>
              <w:jc w:val="center"/>
            </w:pPr>
            <w:r>
              <w:drawing>
                <wp:inline>
                  <wp:extent cx="5334000" cy="4572000"/>
                  <wp:effectExtent b="0" l="0" r="0" t="0"/>
                  <wp:docPr descr="" title="" id="56" name="Picture"/>
                  <a:graphic>
                    <a:graphicData uri="http://schemas.openxmlformats.org/drawingml/2006/picture">
                      <pic:pic>
                        <pic:nvPicPr>
                          <pic:cNvPr descr="JEP_Paper_files/figure-docx/fig-caterpillar-1.png" id="57" name="Picture"/>
                          <pic:cNvPicPr>
                            <a:picLocks noChangeArrowheads="1" noChangeAspect="1"/>
                          </pic:cNvPicPr>
                        </pic:nvPicPr>
                        <pic:blipFill>
                          <a:blip r:embed="rId55"/>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58"/>
        </w:tc>
      </w:tr>
    </w:tbl>
    <w:p>
      <w:pPr>
        <w:pStyle w:val="BodyText"/>
      </w:pPr>
      <w:hyperlink w:anchor="fig-caterpillar">
        <w:r>
          <w:rPr>
            <w:rStyle w:val="Hyperlink"/>
          </w:rPr>
          <w:t xml:space="preserve">Figure 3</w:t>
        </w:r>
      </w:hyperlink>
      <w:r>
        <w:t xml:space="preserve"> </w:t>
      </w:r>
      <w:r>
        <w:t xml:space="preserve">shows that Brighton and Hove ranks 7th out of 152 LEAs for disadvantaged attainment once structural factors are accounted for in the multilevel model presented earlier. For non-disadvantaged pupils it ranks 5th; for all pupils, 4th. The positive random intercept of approximately +0.06 translates to around a 6% uplift in Attainment 8 — roughly 2 GCSE points above what structural factors would predict. This was unknown at the time of the 2024 consultation and entirely absent from the public narrative, which was framed around a premise of failure.</w:t>
      </w:r>
    </w:p>
    <w:bookmarkEnd w:id="59"/>
    <w:bookmarkStart w:id="64"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63" w:name="fig-accelerating-returns"/>
          <w:p>
            <w:pPr>
              <w:pStyle w:val="Compact"/>
              <w:jc w:val="center"/>
            </w:pPr>
            <w:r>
              <w:drawing>
                <wp:inline>
                  <wp:extent cx="5334000" cy="3429000"/>
                  <wp:effectExtent b="0" l="0" r="0" t="0"/>
                  <wp:docPr descr="" title="" id="61" name="Picture"/>
                  <a:graphic>
                    <a:graphicData uri="http://schemas.openxmlformats.org/drawingml/2006/picture">
                      <pic:pic>
                        <pic:nvPicPr>
                          <pic:cNvPr descr="JEP_Paper_files/figure-docx/fig-accelerating-returns-1.png" id="62" name="Picture"/>
                          <pic:cNvPicPr>
                            <a:picLocks noChangeArrowheads="1" noChangeAspect="1"/>
                          </pic:cNvPicPr>
                        </pic:nvPicPr>
                        <pic:blipFill>
                          <a:blip r:embed="rId60"/>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63"/>
        </w:tc>
      </w:tr>
    </w:tbl>
    <w:p>
      <w:pPr>
        <w:pStyle w:val="BodyText"/>
      </w:pPr>
      <w:r>
        <w:t xml:space="preserve">Three features are immediately visible. First, the absence curve sits above the FSM curve at every starting level. Second, the gap</w:t>
      </w:r>
      <w:r>
        <w:t xml:space="preserve"> </w:t>
      </w:r>
      <w:r>
        <w:rPr>
          <w:i/>
          <w:iCs/>
        </w:rPr>
        <w:t xml:space="preserve">widens</w:t>
      </w:r>
      <w:r>
        <w:t xml:space="preserve"> </w:t>
      </w:r>
      <w:r>
        <w:t xml:space="preserve">as values improve. Third, Brighton and Hove schools cluster in the flatter right-hand portion for both variables, but the city’s position is far more extreme on absence.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2.6 times as important as FSM for predicting attainment.</w:t>
      </w:r>
    </w:p>
    <w:p>
      <w:pPr>
        <w:pStyle w:val="BodyText"/>
      </w:pPr>
      <w:r>
        <w:t xml:space="preserve">Bringing schools above the national average for absence down to it would produce predicted gains averaging +2.9 Attainment 8 points per school, with gains for disadvantaged pupils averaging +3.3 points. Even dramatic FSM reductions would yield gains closer to 1 point. The policy was pulling a lever with relatively little mechanical advantage while ignoring one with considerably more.</w:t>
      </w:r>
    </w:p>
    <w:bookmarkEnd w:id="64"/>
    <w:bookmarkStart w:id="69"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68" w:name="fig-obs-vs-pred"/>
          <w:p>
            <w:pPr>
              <w:pStyle w:val="Compact"/>
              <w:jc w:val="center"/>
            </w:pPr>
            <w:r>
              <w:drawing>
                <wp:inline>
                  <wp:extent cx="5334000" cy="6858000"/>
                  <wp:effectExtent b="0" l="0" r="0" t="0"/>
                  <wp:docPr descr="" title="" id="66" name="Picture"/>
                  <a:graphic>
                    <a:graphicData uri="http://schemas.openxmlformats.org/drawingml/2006/picture">
                      <pic:pic>
                        <pic:nvPicPr>
                          <pic:cNvPr descr="JEP_Paper_files/figure-docx/fig-obs-vs-pred-1.png" id="67" name="Picture"/>
                          <pic:cNvPicPr>
                            <a:picLocks noChangeArrowheads="1" noChangeAspect="1"/>
                          </pic:cNvPicPr>
                        </pic:nvPicPr>
                        <pic:blipFill>
                          <a:blip r:embed="rId65"/>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68"/>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69"/>
    <w:bookmarkEnd w:id="70"/>
    <w:bookmarkStart w:id="92" w:name="discussion"/>
    <w:p>
      <w:pPr>
        <w:pStyle w:val="Heading1"/>
      </w:pPr>
      <w:r>
        <w:t xml:space="preserve">6. Discussion</w:t>
      </w:r>
    </w:p>
    <w:bookmarkStart w:id="73" w:name="Xd3364b35d543c93770b334c5dc736f1edb746ee"/>
    <w:p>
      <w:pPr>
        <w:pStyle w:val="Heading2"/>
      </w:pPr>
      <w:r>
        <w:t xml:space="preserve">6.1 The danger of single-lever policy thinking</w:t>
      </w:r>
    </w:p>
    <w:p>
      <w:pPr>
        <w:pStyle w:val="FirstParagraph"/>
      </w:pPr>
      <w:r>
        <w:t xml:space="preserve">The Brighton and Hove experience illustrates what happens when policy makers latch onto a single causal narrative. The council’s 2024 proposals were built almost entirely on the premise that redistributing disadvantaged pupils would narrow the attainment gap. In the consultation papers released to the public</w:t>
      </w:r>
      <w:r>
        <w:rPr>
          <w:rStyle w:val="FootnoteReference"/>
        </w:rPr>
        <w:footnoteReference w:id="71"/>
      </w:r>
      <w:r>
        <w:t xml:space="preserve">, it was stated</w:t>
      </w:r>
      <w:r>
        <w:t xml:space="preserve"> </w:t>
      </w: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r>
        <w:t xml:space="preserve"> </w:t>
      </w:r>
      <w:r>
        <w:t xml:space="preserve">Our analysis suggests this was at best a flawed understanding and at worst a policy with many losers and few clear winners. Concentrations of disadvantage are one of the weaker available levers, and for disadvantaged pupils specifically, the direction of the effect runs in the opposite direction to the policy assumptions. Reducing absence to the national average at the worst-affected schools could yield gains of 3–5 GCSE points; even dramatic FSM reductions would yield closer to 1–2 points and possibly only for the non-disadvantaged students.</w:t>
      </w:r>
    </w:p>
    <w:p>
      <w:pPr>
        <w:pStyle w:val="BodyText"/>
      </w:pPr>
      <w:r>
        <w:t xml:space="preserve">Furthermore, the chosen lever carried its own risks. Longer journeys imposed by redistribution policies are associated with higher absence</w:t>
      </w:r>
      <w:r>
        <w:t xml:space="preserve"> </w:t>
      </w:r>
      <w:r>
        <w:t xml:space="preserve">(Thomson 2023)</w:t>
      </w:r>
      <w:r>
        <w:t xml:space="preserve"> </w:t>
      </w:r>
      <w:r>
        <w:t xml:space="preserve">— precisely the factor that most drags on attainment and the biggest problem already besetting Brighton and Hove. The council could be imposing policies that actively make the outcomes for disadvantaged children much worse through failing to engage with the evidence properly. The claim that social mixing can be achieved at</w:t>
      </w:r>
      <w:r>
        <w:t xml:space="preserve"> </w:t>
      </w:r>
      <w:r>
        <w:t xml:space="preserve">‘almost no cost’</w:t>
      </w:r>
      <w:r>
        <w:t xml:space="preserve"> </w:t>
      </w:r>
      <w:r>
        <w:t xml:space="preserve">(Gorard and Siddiqui 2019)</w:t>
      </w:r>
      <w:r>
        <w:t xml:space="preserve"> </w:t>
      </w:r>
      <w:r>
        <w:t xml:space="preserve">overlooks these second-order effects and could be the kind of comment that without context, could do a lot of damage.</w:t>
      </w:r>
    </w:p>
    <w:bookmarkEnd w:id="73"/>
    <w:bookmarkStart w:id="76" w:name="absence-as-the-primary-policy-lever"/>
    <w:p>
      <w:pPr>
        <w:pStyle w:val="Heading2"/>
      </w:pPr>
      <w:r>
        <w:t xml:space="preserve">6.2 Absence as the primary policy lever</w:t>
      </w:r>
    </w:p>
    <w:p>
      <w:pPr>
        <w:pStyle w:val="FirstParagraph"/>
      </w:pPr>
      <w:r>
        <w:t xml:space="preserve">Perhaps the most striking finding is the complete absence of absence from the policy narrative. The city had the second worst absence rate in England in 2024–25 and has been consistently among the worst in England. Yet absence was not part of the policy conversation. It was not mentioned in any of the presentation slides in the initial engagement</w:t>
      </w:r>
      <w:r>
        <w:rPr>
          <w:rStyle w:val="FootnoteReference"/>
        </w:rPr>
        <w:footnoteReference w:id="74"/>
      </w:r>
      <w:r>
        <w:t xml:space="preserve"> </w:t>
      </w:r>
      <w:r>
        <w:t xml:space="preserve">or any of the published materials accompanying the consultations. The irony is considerable: the city ranks best 7th for disadvantaged attainment after structural adjustments, but this strong underlying performance is being dragged down by an extreme absence problem.</w:t>
      </w:r>
    </w:p>
    <w:p>
      <w:pPr>
        <w:pStyle w:val="BodyText"/>
      </w:pPr>
      <w:r>
        <w:t xml:space="preserve">Brighton and Hove’s absence rates are not a necessary consequence of its intake composition. The city has near-average FSM levels but near-worst absence, suggesting the problem is driven by local factors — attendance culture, enforcement practices, or community dynamics — rather than being an unavoidable correlate of disadvantage.</w:t>
      </w:r>
    </w:p>
    <w:bookmarkEnd w:id="76"/>
    <w:bookmarkStart w:id="84" w:name="X3fc496a95cceb2f31de10765d345b6860b0e78e"/>
    <w:p>
      <w:pPr>
        <w:pStyle w:val="Heading2"/>
      </w:pPr>
      <w:r>
        <w:t xml:space="preserve">6.3 The BACA paradox and contextualised benchmarking</w:t>
      </w:r>
    </w:p>
    <w:p>
      <w:pPr>
        <w:pStyle w:val="FirstParagraph"/>
      </w:pPr>
      <w:r>
        <w:t xml:space="preserve">The case of Brighton Alridge Community Academy (BACA) offers a particularly sharp illustration of the damage done when school quality is assessed through crude metrics and policy narratives are misleading.</w:t>
      </w:r>
    </w:p>
    <w:tbl>
      <w:tblPr>
        <w:tblStyle w:val="Table"/>
        <w:tblW w:type="pct" w:w="5000"/>
        <w:tblLayout w:type="fixed"/>
        <w:tblLook w:firstRow="0" w:lastRow="0" w:firstColumn="0" w:lastColumn="0" w:noHBand="0" w:noVBand="0" w:val="0000"/>
      </w:tblPr>
      <w:tblGrid>
        <w:gridCol w:w="7920"/>
      </w:tblGrid>
      <w:tr>
        <w:tc>
          <w:tcPr/>
          <w:bookmarkStart w:id="77" w:name="tbl-league"/>
          <w:p>
            <w:pPr>
              <w:jc w:val="center"/>
            </w:pPr>
            <w:pPr>
              <w:jc w:val="left"/>
              <w:spacing w:before="200"/>
              <w:pStyle w:val="ImageCaption"/>
            </w:pPr>
            <w:r>
              <w:t xml:space="preserve">Table 2: Value-added rankings for Brighton and Hove schools (panel model residuals by year, in Attainment 8 points).</w:t>
            </w:r>
          </w:p>
          <w:bookmarkEnd w:id="77"/>
        </w:tc>
      </w:tr>
    </w:tbl>
    <w:p>
      <w:pPr>
        <w:pStyle w:val="BodyText"/>
      </w:pPr>
      <w:r>
        <w:t xml:space="preserve">In the period of the 2024 consultation the public debate in the city shifted slightly, away from how the council’s proposals were going to improve disadvantaged attainment to how they were facilitating parental choice. Choice in this instance was largely to do with parents perceiving their local options to be poor and wanting access to alternatives. An activist group (Equity in Education</w:t>
      </w:r>
      <w:r>
        <w:rPr>
          <w:rStyle w:val="FootnoteReference"/>
        </w:rPr>
        <w:footnoteReference w:id="78"/>
      </w:r>
      <w:r>
        <w:t xml:space="preserve"> </w:t>
      </w:r>
      <w:r>
        <w:t xml:space="preserve">— supported by another more established activist group — Class Divide</w:t>
      </w:r>
      <w:r>
        <w:rPr>
          <w:rStyle w:val="FootnoteReference"/>
        </w:rPr>
        <w:footnoteReference w:id="80"/>
      </w:r>
      <w:r>
        <w:t xml:space="preserve">) emerged from within the BACA catchment advocating for parents to have more options available to</w:t>
      </w:r>
      <w:r>
        <w:t xml:space="preserve"> </w:t>
      </w:r>
      <w:r>
        <w:rPr>
          <w:i/>
          <w:iCs/>
        </w:rPr>
        <w:t xml:space="preserve">not</w:t>
      </w:r>
      <w:r>
        <w:t xml:space="preserve"> </w:t>
      </w:r>
      <w:r>
        <w:t xml:space="preserve">send their children to that school. At the time BACAs Ofsted rating was</w:t>
      </w:r>
      <w:r>
        <w:t xml:space="preserve"> </w:t>
      </w:r>
      <w:r>
        <w:t xml:space="preserve">‘requires improvement’</w:t>
      </w:r>
      <w:r>
        <w:t xml:space="preserve"> </w:t>
      </w:r>
      <w:r>
        <w:t xml:space="preserve">and its raw attainment scores were some of the lowest in the city — creating an impression of that school being a poor option.</w:t>
      </w:r>
    </w:p>
    <w:p>
      <w:pPr>
        <w:pStyle w:val="BodyText"/>
      </w:pPr>
      <w:r>
        <w:t xml:space="preserve">One of the outcomes that emerged from the vocal public debate, was a considerable number of parents from the BACA catchment opting to send their children to Patcham School (in the neighbouring catchment — see</w:t>
      </w:r>
      <w:r>
        <w:t xml:space="preserve"> </w:t>
      </w:r>
      <w:hyperlink w:anchor="fig-catchments">
        <w:r>
          <w:rPr>
            <w:rStyle w:val="Hyperlink"/>
          </w:rPr>
          <w:t xml:space="preserve">Figure 2</w:t>
        </w:r>
      </w:hyperlink>
      <w:r>
        <w:t xml:space="preserve">) for entry in 2025 and 2026 — a school rated</w:t>
      </w:r>
      <w:r>
        <w:t xml:space="preserve"> </w:t>
      </w:r>
      <w:r>
        <w:t xml:space="preserve">‘Good’</w:t>
      </w:r>
      <w:r>
        <w:t xml:space="preserve"> </w:t>
      </w:r>
      <w:r>
        <w:t xml:space="preserve">by Ofsted and with raw attainment scores placing somewhere mid-table in the city. However, if we move beyond the raw attainment scores and blunt single-word Ofsted ratings, a very different picture of the two schools emerges. BACA is situated in one of the most economically deprived parts of Brighton and Hove, Patcham, one of the more economically prosperous. BACAs absence rates have been in excess of the very high city average. Patcham is one of two schools in the City with absence rates below the national average. The number of pupils entitled to Free School Meals attending BACA is around 50%, at Patcham it is around 25%. Around 30% of the pupils attending BACA have low prior attainment, at Patcham it is around 16%. When we account for these stark cohort differences in our model, a very different picture of school effectiveness occurs.</w:t>
      </w:r>
    </w:p>
    <w:p>
      <w:pPr>
        <w:pStyle w:val="BodyText"/>
      </w:pPr>
      <w:r>
        <w:t xml:space="preserve">As the league tables in</w:t>
      </w:r>
      <w:r>
        <w:t xml:space="preserve"> </w:t>
      </w:r>
      <w:hyperlink w:anchor="tbl-league">
        <w:r>
          <w:rPr>
            <w:rStyle w:val="Hyperlink"/>
          </w:rPr>
          <w:t xml:space="preserve">Table 2</w:t>
        </w:r>
      </w:hyperlink>
      <w:r>
        <w:t xml:space="preserve">, derived from</w:t>
      </w:r>
      <w:r>
        <w:t xml:space="preserve"> </w:t>
      </w:r>
      <w:hyperlink w:anchor="fig-obs-vs-pred">
        <w:r>
          <w:rPr>
            <w:rStyle w:val="Hyperlink"/>
          </w:rPr>
          <w:t xml:space="preserve">Figure 5</w:t>
        </w:r>
      </w:hyperlink>
      <w:r>
        <w:t xml:space="preserve"> </w:t>
      </w:r>
      <w:r>
        <w:t xml:space="preserve">in above reveal, in 2024-25, a disadvantaged pupil attending BACA and taking their GSCEs would have, on average, left that school with GCSEs 5-points higher than if they’d attended a similar school with a similar profile elsewhere in England. Over the last 4 years, this would have averaged around 3 points higher. This is a boost way in excess of the fraction of a point differences that might be expected from altering the disadvantage mix in schools. BACA is doing incredibly well for its disadvantaged students and indeed out-performs every other school in the city by some margin — even those which in the popular imagination are viewed as the</w:t>
      </w:r>
      <w:r>
        <w:t xml:space="preserve"> </w:t>
      </w:r>
      <w:r>
        <w:t xml:space="preserve">‘best’</w:t>
      </w:r>
      <w:r>
        <w:t xml:space="preserve"> </w:t>
      </w:r>
      <w:r>
        <w:t xml:space="preserve">or most desirable schools in the city, e.g. Varndean, Cardinal Newman. BACA in some ways is the case study that illuminates the findings in the national data earlier in this paper which showed that disadvantaged attainment is higher in schools with bigger concentrations of disadvantaged students and in direct contradiction to the statement in Brighton and Hove City Council’s consultation materials. In April 2025, BACA received a new Ofsted report which rated it</w:t>
      </w:r>
      <w:r>
        <w:t xml:space="preserve"> </w:t>
      </w:r>
      <w:r>
        <w:t xml:space="preserve">‘Good’</w:t>
      </w:r>
      <w:r>
        <w:t xml:space="preserve"> </w:t>
      </w:r>
      <w:r>
        <w:t xml:space="preserve">in all 5 areas of provision</w:t>
      </w:r>
      <w:r>
        <w:rPr>
          <w:rStyle w:val="FootnoteReference"/>
        </w:rPr>
        <w:footnoteReference w:id="82"/>
      </w:r>
      <w:r>
        <w:t xml:space="preserve"> </w:t>
      </w:r>
      <w:r>
        <w:t xml:space="preserve">— a result unsurprising in the context of this data analysis, but probably more surprising to anyone just looking at raw prior attainment and previous Ofsted report.</w:t>
      </w:r>
    </w:p>
    <w:p>
      <w:pPr>
        <w:pStyle w:val="BodyText"/>
      </w:pPr>
      <w:r>
        <w:t xml:space="preserve">If we contrast BACA — the school popular narrative discouraged parents from sending their children to — with Patcham — the school many from BACA catchment in the end opted for, the differences on this alternative league table are stark. Disadvantaged pupils attending Patcham on average over the last 4 years and compared to other disadvantaged pupils attending schools with similar profiles elsewhere in England, would leave with around 2.6 GCSE points fewer than they might be expected to compared to similar schools elsewhere in England. In 2023-24, the difference was in double figures. These differences have been hidden from view amongst the comfortable mid-table position, in raw attainment terms, the school has enjoyed. Now, of course, there might be many reasons why parents would want to opt for Patcham High School over BACA, but the nuance afforded to the effectiveness of these schools by the modelling in this paper might have provided an alternative view that could have made some of parents from BACA catchment who opted to send their children to Patcham, make a different decision.</w:t>
      </w:r>
    </w:p>
    <w:p>
      <w:pPr>
        <w:pStyle w:val="BodyText"/>
      </w:pPr>
      <w:r>
        <w:t xml:space="preserve">One thing other schools in the city certainly could learn from Patcham High School is in how to improve attendance rates. The school is one of only two in the city with attendance better than the national average. This is an actionable policy lever at the school-level. Without a deeper dive into attendance issues at the different schools in the city. Indeed, given we now know where the real problems in Brighton and Hove lie at the LEA level, one useful policy focus at the city level could well be exploring how schools like Patcham are able to keep attendance relatively high, while then allowing more school-level investigations into where under-performance might be occurring given our new knowledge of interacting structural drivers within the city.</w:t>
      </w:r>
    </w:p>
    <w:bookmarkEnd w:id="84"/>
    <w:bookmarkStart w:id="85" w:name="X40b1884cedc541d2941047d67c0b6e8ce71c267"/>
    <w:p>
      <w:pPr>
        <w:pStyle w:val="Heading2"/>
      </w:pPr>
      <w:r>
        <w:t xml:space="preserve">6.4 Conflicting incentives: viability versus attainment</w:t>
      </w:r>
    </w:p>
    <w:p>
      <w:pPr>
        <w:pStyle w:val="FirstParagraph"/>
      </w:pPr>
      <w:r>
        <w:t xml:space="preserve">It is worth acknowledging what was only partially articulated during the consultation: that a significant driver of the proposals was financial rather than educational. Reducing PANs at popular schools and creating out-of-catchment priority places were designed, at least in part, to redirect pupil flows toward under-subscribed peripheral schools. Keeping such schools financially viable is a legitimate concern. However, there is an inherent tension between optimising for financial sustainability and optimising for educational outcomes. If the net effect is to move children from schools adding more value to schools adding less, the aggregate impact on city-wide attainment could be negative. The financial and educational cases needed to be weighed transparently, and it is not clear this trade-off was adequately acknowledged.</w:t>
      </w:r>
    </w:p>
    <w:p>
      <w:pPr>
        <w:pStyle w:val="BodyText"/>
      </w:pPr>
      <w:r>
        <w:t xml:space="preserve">Following widespread opposition and appeals to the Schools Adjudicator, the proposed PAN reductions were rejected and the 20% out-of-catchment priority was reduced to 5%. While displacement was minimised, the policy reverberations continued through the choices expressed by parents already influenced by the preceding debate.</w:t>
      </w:r>
    </w:p>
    <w:bookmarkEnd w:id="85"/>
    <w:bookmarkStart w:id="87" w:name="the-cost-of-speed-over-evidence"/>
    <w:p>
      <w:pPr>
        <w:pStyle w:val="Heading2"/>
      </w:pPr>
      <w:r>
        <w:t xml:space="preserve">6.5 The cost of speed over evidence</w:t>
      </w:r>
    </w:p>
    <w:p>
      <w:pPr>
        <w:pStyle w:val="FirstParagraph"/>
      </w:pPr>
      <w:r>
        <w:t xml:space="preserve">The institutional context deserves reflection. The shift to a Leader and Cabinet system concentrated decision-making power and enabled policy to be enacted through a whipped voting system. The consultation was compressed in timeline and limited in scope for deliberative engagement. This matters because the evidence base for school attainment is complex — the factors are multiple, interacting, non-linear and context-dependent. Institutional structures that compress deliberation timelines are particularly dangerous when the evidence requires careful handling and its implications are counterintuitive. Had the analysis presented here been available at the outset, the quality of public scrutiny would have been substantially higher, even if the political outcome had remained the same.</w:t>
      </w:r>
    </w:p>
    <w:bookmarkStart w:id="86" w:name="X6c85e6b131c00160602066b25667ec048f9fb77"/>
    <w:p>
      <w:pPr>
        <w:pStyle w:val="Heading3"/>
      </w:pPr>
      <w:r>
        <w:t xml:space="preserve">6.5.1 What Is Driving the Brighton and Hove’s Over-Achievement? And What We Don’t Yet Know</w:t>
      </w:r>
    </w:p>
    <w:p>
      <w:pPr>
        <w:pStyle w:val="FirstParagraph"/>
      </w:pPr>
      <w:r>
        <w:t xml:space="preserve">The LEA random effect for Brighton and Hove is large and statistically significant across all three attainment groups. After accounting for the structural factors in the model — disadvantage, absence, prior attainment, workforce characteristics, selectivity and segregation — schools in the city consistently outperform what the national picture would predict. For disadvantaged pupils, the city ranks 7th; for non-disadvantaged pupils, 5th; for all pupils, 4th in England.</w:t>
      </w:r>
    </w:p>
    <w:p>
      <w:pPr>
        <w:pStyle w:val="BodyText"/>
      </w:pPr>
      <w:r>
        <w:t xml:space="preserve">This is a genuinely important finding that should re-frame the policy conversation. The starting point for the 2024 consultation was a narrative of failure — the city was presented as uniquely failing its disadvantaged students, sitting on a vast attainment gap, with radical structural reform required to address the problem. The evidence suggests the opposite: Brighton and Hove is one of the highest-performing LEAs in the country once we account for the factors that we know drive attainment. Rather than asking what the city is doing wrong, the more productive question is what it is doing right — and how that can be protected and extended?</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Identifying the sources of this over-performance is an important research question in its own right, and one that could require additional qualitative investigation or access to pupil-level data that goes beyond what is publicly available. What is clear, however, is that policy interventions which risk disrupting a well-functioning system without understanding what makes it function well carry substantial downside risk.</w:t>
      </w:r>
    </w:p>
    <w:bookmarkEnd w:id="86"/>
    <w:bookmarkEnd w:id="87"/>
    <w:bookmarkStart w:id="90"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have developed an interactive Policy Simulator tool,</w:t>
      </w:r>
      <w:r>
        <w:rPr>
          <w:rStyle w:val="FootnoteReference"/>
        </w:rPr>
        <w:footnoteReference w:id="88"/>
      </w:r>
      <w:r>
        <w:t xml:space="preserve"> </w:t>
      </w:r>
      <w:r>
        <w:t xml:space="preserve">underpinned by the models in this paper, to begin bridging that gap. The tool allows users to explore any school in England, compare against contextual expectations, and model the indicative impact of changes to key variables.</w:t>
      </w:r>
    </w:p>
    <w:bookmarkEnd w:id="90"/>
    <w:bookmarkStart w:id="91"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91"/>
    <w:bookmarkEnd w:id="92"/>
    <w:bookmarkStart w:id="93"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School-level Attainment 8 is remarkably predictable from a small number of variables, and that predictability creates opportunities for better-informed local policy. The Brighton and Hove case study — motivated by the authors’ direct experience of a flawed consultation process — provides a cautionary illustration of what happens when policy is anchored to a single causal narrative without adequate regard for the full evidence base.</w:t>
      </w:r>
    </w:p>
    <w:p>
      <w:pPr>
        <w:pStyle w:val="BodyText"/>
      </w:pPr>
      <w:r>
        <w:t xml:space="preserve">Our recommendations are directed at three audiences. For the DfE: invest in analytical infrastructure at the local level and consider how contextualised benchmarking tools might be developed at scale. For LEAs: resist single causal narratives and create institutional space for genuine deliberation before irreversible decisions. The factors affecting attainment are multiple, interacting, non-linear and context-dependent. For schools, governors and parents: contextualised benchmarking offers a fairer basis for understanding school quality than raw scores or single-word Ofsted ratings.</w:t>
      </w:r>
    </w:p>
    <w:p>
      <w:pPr>
        <w:pStyle w:val="BodyText"/>
      </w:pPr>
      <w:r>
        <w:t xml:space="preserve">The challenge is to ensure that this understanding reaches decision makers in a usable form</w:t>
      </w:r>
      <w:r>
        <w:t xml:space="preserve"> </w:t>
      </w:r>
      <w:r>
        <w:rPr>
          <w:i/>
          <w:iCs/>
        </w:rPr>
        <w:t xml:space="preserve">before</w:t>
      </w:r>
      <w:r>
        <w:t xml:space="preserve"> </w:t>
      </w:r>
      <w:r>
        <w:t xml:space="preserve">decisions are made — not after. The raw materials already exist. What is needed is the analytical capacity and institutional willingness to use them.</w:t>
      </w:r>
    </w:p>
    <w:bookmarkEnd w:id="93"/>
    <w:bookmarkStart w:id="94" w:name="acknowledgements"/>
    <w:p>
      <w:pPr>
        <w:pStyle w:val="Heading1"/>
      </w:pPr>
      <w:r>
        <w:t xml:space="preserve">Acknowledgements</w:t>
      </w:r>
    </w:p>
    <w:p>
      <w:pPr>
        <w:pStyle w:val="FirstParagraph"/>
      </w:pPr>
      <w:r>
        <w:t xml:space="preserve">Development of the Policy Simulator tool was substantially accelerated by large language model assistance (Anthropic’s Claude) as part of work supported by the UKRI National AI Research Hub for Collective Intelligence (AI4CI).</w:t>
      </w:r>
    </w:p>
    <w:bookmarkEnd w:id="94"/>
    <w:bookmarkStart w:id="95" w:name="declaration-of-interest"/>
    <w:p>
      <w:pPr>
        <w:pStyle w:val="Heading1"/>
      </w:pPr>
      <w:r>
        <w:t xml:space="preserve">Declaration of interest</w:t>
      </w:r>
    </w:p>
    <w:p>
      <w:pPr>
        <w:pStyle w:val="FirstParagraph"/>
      </w:pPr>
      <w:r>
        <w:t xml:space="preserve">The authors are residents of Brighton and Hove with lived experience of the effects of the admissions policy process described. Some authors are involved in local school governance. No financial conflicts of interest exist.</w:t>
      </w:r>
    </w:p>
    <w:bookmarkEnd w:id="95"/>
    <w:bookmarkStart w:id="150" w:name="references"/>
    <w:p>
      <w:pPr>
        <w:pStyle w:val="Heading1"/>
      </w:pPr>
      <w:r>
        <w:t xml:space="preserve">References</w:t>
      </w:r>
    </w:p>
    <w:bookmarkStart w:id="149" w:name="refs"/>
    <w:bookmarkStart w:id="97"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96">
        <w:r>
          <w:rPr>
            <w:rStyle w:val="Hyperlink"/>
          </w:rPr>
          <w:t xml:space="preserve">https://doi.org/10.1080/09645292.2017.1366425</w:t>
        </w:r>
      </w:hyperlink>
      <w:r>
        <w:t xml:space="preserve">.</w:t>
      </w:r>
    </w:p>
    <w:bookmarkEnd w:id="97"/>
    <w:bookmarkStart w:id="99"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98">
        <w:r>
          <w:rPr>
            <w:rStyle w:val="Hyperlink"/>
          </w:rPr>
          <w:t xml:space="preserve">https://doi.org/10.1111/j.1475-5661.2012.00511.x</w:t>
        </w:r>
      </w:hyperlink>
      <w:r>
        <w:t xml:space="preserve">.</w:t>
      </w:r>
    </w:p>
    <w:bookmarkEnd w:id="99"/>
    <w:bookmarkStart w:id="101"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00">
        <w:r>
          <w:rPr>
            <w:rStyle w:val="Hyperlink"/>
          </w:rPr>
          <w:t xml:space="preserve">https://doi.org/10.1080/0305764X.2024.2420611</w:t>
        </w:r>
      </w:hyperlink>
      <w:r>
        <w:t xml:space="preserve">.</w:t>
      </w:r>
    </w:p>
    <w:bookmarkEnd w:id="101"/>
    <w:bookmarkStart w:id="103"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02">
        <w:r>
          <w:rPr>
            <w:rStyle w:val="Hyperlink"/>
          </w:rPr>
          <w:t xml:space="preserve">https://doi.org/10.1177/0308518X18787820</w:t>
        </w:r>
      </w:hyperlink>
      <w:r>
        <w:t xml:space="preserve">.</w:t>
      </w:r>
    </w:p>
    <w:bookmarkEnd w:id="103"/>
    <w:bookmarkStart w:id="105"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04">
        <w:r>
          <w:rPr>
            <w:rStyle w:val="Hyperlink"/>
          </w:rPr>
          <w:t xml:space="preserve">https://doi.org/10.1016/j.econedurev.2023.102405</w:t>
        </w:r>
      </w:hyperlink>
      <w:r>
        <w:t xml:space="preserve">.</w:t>
      </w:r>
    </w:p>
    <w:bookmarkEnd w:id="105"/>
    <w:bookmarkStart w:id="107" w:name="ref-Burgess2022"/>
    <w:p>
      <w:pPr>
        <w:pStyle w:val="Bibliography"/>
      </w:pPr>
      <w:r>
        <w:t xml:space="preserve">Burgess, S., S. Rawal, and E. Taylor. 2022.</w:t>
      </w:r>
      <w:r>
        <w:t xml:space="preserve"> </w:t>
      </w:r>
      <w:r>
        <w:rPr>
          <w:i/>
          <w:iCs/>
        </w:rPr>
        <w:t xml:space="preserve">Characterising Effective Teaching</w:t>
      </w:r>
      <w:r>
        <w:t xml:space="preserve">. Nuffield Foundation.</w:t>
      </w:r>
      <w:r>
        <w:t xml:space="preserve"> </w:t>
      </w:r>
      <w:hyperlink r:id="rId106">
        <w:r>
          <w:rPr>
            <w:rStyle w:val="Hyperlink"/>
          </w:rPr>
          <w:t xml:space="preserve">https://www.nuffieldfoundation.org/project/characterising-effective-teaching-2</w:t>
        </w:r>
      </w:hyperlink>
      <w:r>
        <w:t xml:space="preserve">.</w:t>
      </w:r>
    </w:p>
    <w:bookmarkEnd w:id="107"/>
    <w:bookmarkStart w:id="109"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08">
        <w:r>
          <w:rPr>
            <w:rStyle w:val="Hyperlink"/>
          </w:rPr>
          <w:t xml:space="preserve">https://committees.parliament.uk/committee/203/education-committee/news/156024/forgotten-white-workingclass-pupils-let-down-by-decades-of-neglect-mps-say/</w:t>
        </w:r>
      </w:hyperlink>
      <w:r>
        <w:t xml:space="preserve">.</w:t>
      </w:r>
    </w:p>
    <w:bookmarkEnd w:id="109"/>
    <w:bookmarkStart w:id="111"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10">
        <w:r>
          <w:rPr>
            <w:rStyle w:val="Hyperlink"/>
          </w:rPr>
          <w:t xml:space="preserve">https://explore-education-statistics.service.gov.uk/find-statistics/the-link-between-absence-and-attainment-at-ks2-and-ks4/2018-19</w:t>
        </w:r>
      </w:hyperlink>
      <w:r>
        <w:t xml:space="preserve">.</w:t>
      </w:r>
    </w:p>
    <w:bookmarkEnd w:id="111"/>
    <w:bookmarkStart w:id="113"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12">
        <w:r>
          <w:rPr>
            <w:rStyle w:val="Hyperlink"/>
          </w:rPr>
          <w:t xml:space="preserve">https://www.gov.uk/government/publications/link-between-attendance-and-attainment</w:t>
        </w:r>
      </w:hyperlink>
      <w:r>
        <w:t xml:space="preserve">.</w:t>
      </w:r>
    </w:p>
    <w:bookmarkEnd w:id="113"/>
    <w:bookmarkStart w:id="115"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14">
        <w:r>
          <w:rPr>
            <w:rStyle w:val="Hyperlink"/>
          </w:rPr>
          <w:t xml:space="preserve">https://explore-education-statistics.service.gov.uk/find-statistics/pupil-absence-in-schools-in-england/2024-25-autumn-and-spring-term</w:t>
        </w:r>
      </w:hyperlink>
      <w:r>
        <w:t xml:space="preserve">.</w:t>
      </w:r>
    </w:p>
    <w:bookmarkEnd w:id="115"/>
    <w:bookmarkStart w:id="117"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16">
        <w:r>
          <w:rPr>
            <w:rStyle w:val="Hyperlink"/>
          </w:rPr>
          <w:t xml:space="preserve">https://www.gov.uk/government/publications/every-child-achieving-and-thriving/every-child-achieving-and-thriving-html-version</w:t>
        </w:r>
      </w:hyperlink>
      <w:r>
        <w:t xml:space="preserve">.</w:t>
      </w:r>
    </w:p>
    <w:bookmarkEnd w:id="117"/>
    <w:bookmarkStart w:id="119"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18">
        <w:r>
          <w:rPr>
            <w:rStyle w:val="Hyperlink"/>
          </w:rPr>
          <w:t xml:space="preserve">https://doi.org/10.1002/berj.3992</w:t>
        </w:r>
      </w:hyperlink>
      <w:r>
        <w:t xml:space="preserve">.</w:t>
      </w:r>
    </w:p>
    <w:bookmarkEnd w:id="119"/>
    <w:bookmarkStart w:id="121"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20">
        <w:r>
          <w:rPr>
            <w:rStyle w:val="Hyperlink"/>
          </w:rPr>
          <w:t xml:space="preserve">https://doi.org/10.1093/ooec/odad029</w:t>
        </w:r>
      </w:hyperlink>
      <w:r>
        <w:t xml:space="preserve">.</w:t>
      </w:r>
    </w:p>
    <w:bookmarkEnd w:id="121"/>
    <w:bookmarkStart w:id="123"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22">
        <w:r>
          <w:rPr>
            <w:rStyle w:val="Hyperlink"/>
          </w:rPr>
          <w:t xml:space="preserve">https://cep.lse.ac.uk/_new/publications/abstract.asp?index=5752</w:t>
        </w:r>
      </w:hyperlink>
      <w:r>
        <w:t xml:space="preserve">.</w:t>
      </w:r>
    </w:p>
    <w:bookmarkEnd w:id="123"/>
    <w:bookmarkStart w:id="125"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24">
        <w:r>
          <w:rPr>
            <w:rStyle w:val="Hyperlink"/>
          </w:rPr>
          <w:t xml:space="preserve">https://doi.org/10.1002/berj.3297</w:t>
        </w:r>
      </w:hyperlink>
      <w:r>
        <w:t xml:space="preserve">.</w:t>
      </w:r>
    </w:p>
    <w:bookmarkEnd w:id="125"/>
    <w:bookmarkStart w:id="127"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26">
        <w:r>
          <w:rPr>
            <w:rStyle w:val="Hyperlink"/>
          </w:rPr>
          <w:t xml:space="preserve">https://doi.org/10.1177/2158244018825171</w:t>
        </w:r>
      </w:hyperlink>
      <w:r>
        <w:t xml:space="preserve">.</w:t>
      </w:r>
    </w:p>
    <w:bookmarkEnd w:id="127"/>
    <w:bookmarkStart w:id="129"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28">
        <w:r>
          <w:rPr>
            <w:rStyle w:val="Hyperlink"/>
          </w:rPr>
          <w:t xml:space="preserve">https://doi.org/10.3390/educsci15010006</w:t>
        </w:r>
      </w:hyperlink>
      <w:r>
        <w:t xml:space="preserve">.</w:t>
      </w:r>
    </w:p>
    <w:bookmarkEnd w:id="129"/>
    <w:bookmarkStart w:id="131"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30">
        <w:r>
          <w:rPr>
            <w:rStyle w:val="Hyperlink"/>
          </w:rPr>
          <w:t xml:space="preserve">https://opendocs.ids.ac.uk/articles/report/The_Contribution_of_Education_to_Economic_Growth/26453986/1</w:t>
        </w:r>
      </w:hyperlink>
      <w:r>
        <w:t xml:space="preserve">.</w:t>
      </w:r>
    </w:p>
    <w:bookmarkEnd w:id="131"/>
    <w:bookmarkStart w:id="133"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32">
        <w:r>
          <w:rPr>
            <w:rStyle w:val="Hyperlink"/>
          </w:rPr>
          <w:t xml:space="preserve">https://doi.org/10.14324/LRE.21.1.20</w:t>
        </w:r>
      </w:hyperlink>
      <w:r>
        <w:t xml:space="preserve">.</w:t>
      </w:r>
    </w:p>
    <w:bookmarkEnd w:id="133"/>
    <w:bookmarkStart w:id="135"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34">
        <w:r>
          <w:rPr>
            <w:rStyle w:val="Hyperlink"/>
          </w:rPr>
          <w:t xml:space="preserve">https://www.gov.uk/government/publications/against-the-odds</w:t>
        </w:r>
      </w:hyperlink>
      <w:r>
        <w:t xml:space="preserve">.</w:t>
      </w:r>
    </w:p>
    <w:bookmarkEnd w:id="135"/>
    <w:bookmarkStart w:id="137"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36">
        <w:r>
          <w:rPr>
            <w:rStyle w:val="Hyperlink"/>
          </w:rPr>
          <w:t xml:space="preserve">https://www.gov.uk/government/publications/examining-the-london-advantage-in-attainment-evidence-from-lsype</w:t>
        </w:r>
      </w:hyperlink>
      <w:r>
        <w:t xml:space="preserve">.</w:t>
      </w:r>
    </w:p>
    <w:bookmarkEnd w:id="137"/>
    <w:bookmarkStart w:id="138"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38"/>
    <w:bookmarkStart w:id="140"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39">
        <w:r>
          <w:rPr>
            <w:rStyle w:val="Hyperlink"/>
          </w:rPr>
          <w:t xml:space="preserve">https://doi.org/10.1080/01425692.2025.2474040</w:t>
        </w:r>
      </w:hyperlink>
      <w:r>
        <w:t xml:space="preserve">.</w:t>
      </w:r>
    </w:p>
    <w:bookmarkEnd w:id="140"/>
    <w:bookmarkStart w:id="142"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41">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42"/>
    <w:bookmarkStart w:id="144"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43">
        <w:r>
          <w:rPr>
            <w:rStyle w:val="Hyperlink"/>
          </w:rPr>
          <w:t xml:space="preserve">https://ffteducationdatalab.org.uk/2023/11/are-pupils-who-live-further-away-from-their-school-absent-more-often/</w:t>
        </w:r>
      </w:hyperlink>
      <w:r>
        <w:t xml:space="preserve">.</w:t>
      </w:r>
    </w:p>
    <w:bookmarkEnd w:id="144"/>
    <w:bookmarkStart w:id="146"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45">
        <w:r>
          <w:rPr>
            <w:rStyle w:val="Hyperlink"/>
          </w:rPr>
          <w:t xml:space="preserve">https://epi.org.uk/annual-report-2023/</w:t>
        </w:r>
      </w:hyperlink>
      <w:r>
        <w:t xml:space="preserve">.</w:t>
      </w:r>
    </w:p>
    <w:bookmarkEnd w:id="146"/>
    <w:bookmarkStart w:id="148"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47">
        <w:r>
          <w:rPr>
            <w:rStyle w:val="Hyperlink"/>
          </w:rPr>
          <w:t xml:space="preserve">https://epi.org.uk/publications-and-research/the-influence-of-headteachers-on-their-schools/</w:t>
        </w:r>
      </w:hyperlink>
      <w:r>
        <w:t xml:space="preserve">.</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https://adamdennett.github.io/BH_Schools_Consultation/about.html</w:t>
        </w:r>
      </w:hyperlink>
    </w:p>
  </w:footnote>
  <w:footnote w:id="27">
    <w:p>
      <w:pPr>
        <w:pStyle w:val="FootnoteText"/>
      </w:pPr>
      <w:r>
        <w:rPr>
          <w:rStyle w:val="FootnoteReference"/>
        </w:rPr>
        <w:footnoteRef/>
      </w:r>
      <w:r>
        <w:t xml:space="preserve"> </w:t>
      </w:r>
      <w:r>
        <w:t xml:space="preserve">Supplementary material:</w:t>
      </w:r>
      <w:r>
        <w:t xml:space="preserve"> </w:t>
      </w:r>
      <w:hyperlink r:id="rId28">
        <w:r>
          <w:rPr>
            <w:rStyle w:val="Hyperlink"/>
          </w:rPr>
          <w:t xml:space="preserve">https://adamdennett.github.io/school_attainment_tool/</w:t>
        </w:r>
      </w:hyperlink>
    </w:p>
  </w:footnote>
  <w:footnote w:id="30">
    <w:p>
      <w:pPr>
        <w:pStyle w:val="FootnoteText"/>
      </w:pPr>
      <w:r>
        <w:rPr>
          <w:rStyle w:val="FootnoteReference"/>
        </w:rPr>
        <w:footnoteRef/>
      </w:r>
      <w:r>
        <w:t xml:space="preserve"> </w:t>
      </w:r>
      <w:r>
        <w:t xml:space="preserve">See data overview for details</w:t>
      </w:r>
      <w:r>
        <w:t xml:space="preserve"> </w:t>
      </w:r>
      <w:hyperlink r:id="rId31">
        <w:r>
          <w:rPr>
            <w:rStyle w:val="Hyperlink"/>
          </w:rPr>
          <w:t xml:space="preserve">https://adamdennett.github.io/school_attainment_tool/data_overview.html</w:t>
        </w:r>
      </w:hyperlink>
    </w:p>
  </w:footnote>
  <w:footnote w:id="41">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2">
    <w:p>
      <w:pPr>
        <w:pStyle w:val="FootnoteText"/>
      </w:pPr>
      <w:r>
        <w:rPr>
          <w:rStyle w:val="FootnoteReference"/>
        </w:rPr>
        <w:footnoteRef/>
      </w:r>
      <w:r>
        <w:t xml:space="preserve"> </w:t>
      </w:r>
      <w:r>
        <w:t xml:space="preserve">Stepwise Models for all pupil groups</w:t>
      </w:r>
      <w:r>
        <w:t xml:space="preserve"> </w:t>
      </w:r>
      <w:hyperlink r:id="rId43">
        <w:r>
          <w:rPr>
            <w:rStyle w:val="Hyperlink"/>
          </w:rPr>
          <w:t xml:space="preserve">https://adamdennett.github.io/school_attainment_tool/model_results.html#stepwise-model-building</w:t>
        </w:r>
      </w:hyperlink>
    </w:p>
  </w:footnote>
  <w:footnote w:id="44">
    <w:p>
      <w:pPr>
        <w:pStyle w:val="FootnoteText"/>
      </w:pPr>
      <w:r>
        <w:rPr>
          <w:rStyle w:val="FootnoteReference"/>
        </w:rPr>
        <w:footnoteRef/>
      </w:r>
      <w:r>
        <w:t xml:space="preserve"> </w:t>
      </w:r>
      <w:r>
        <w:t xml:space="preserve">See supplementary material for robustness checks:</w:t>
      </w:r>
      <w:r>
        <w:t xml:space="preserve"> </w:t>
      </w:r>
      <w:hyperlink r:id="rId45">
        <w:r>
          <w:rPr>
            <w:rStyle w:val="Hyperlink"/>
          </w:rPr>
          <w:t xml:space="preserve">https://adamdennett.github.io/school_attainment_tool/model_experiments.html</w:t>
        </w:r>
      </w:hyperlink>
    </w:p>
  </w:footnote>
  <w:footnote w:id="46">
    <w:p>
      <w:pPr>
        <w:pStyle w:val="FootnoteText"/>
      </w:pPr>
      <w:r>
        <w:rPr>
          <w:rStyle w:val="FootnoteReference"/>
        </w:rPr>
        <w:footnoteRef/>
      </w:r>
      <w:r>
        <w:t xml:space="preserve"> </w:t>
      </w:r>
      <w:r>
        <w:t xml:space="preserve">Gorard Segregation was calculated for all LEAs in 2022-23 and shown visually in this piece</w:t>
      </w:r>
      <w:r>
        <w:t xml:space="preserve"> </w:t>
      </w:r>
      <w:hyperlink r:id="rId47">
        <w:r>
          <w:rPr>
            <w:rStyle w:val="Hyperlink"/>
          </w:rPr>
          <w:t xml:space="preserve">https://adamdennett.github.io/BH_Schools_Consultation/absence.html#trick-or-treatment</w:t>
        </w:r>
      </w:hyperlink>
    </w:p>
  </w:footnote>
  <w:footnote w:id="71">
    <w:p>
      <w:pPr>
        <w:pStyle w:val="FootnoteText"/>
      </w:pPr>
      <w:r>
        <w:rPr>
          <w:rStyle w:val="FootnoteReference"/>
        </w:rPr>
        <w:footnoteRef/>
      </w:r>
      <w:r>
        <w:t xml:space="preserve"> </w:t>
      </w:r>
      <w:r>
        <w:t xml:space="preserve">Brighton and Hove Council 2024 Consultation Papers can be downloaded from here:</w:t>
      </w:r>
      <w:r>
        <w:t xml:space="preserve"> </w:t>
      </w:r>
      <w:hyperlink r:id="rId72">
        <w:r>
          <w:rPr>
            <w:rStyle w:val="Hyperlink"/>
          </w:rPr>
          <w:t xml:space="preserve">https://yourvoice.brighton-hove.gov.uk/en-GB/projects/school-admission-arrangements-public-consultation/1</w:t>
        </w:r>
      </w:hyperlink>
    </w:p>
  </w:footnote>
  <w:footnote w:id="74">
    <w:p>
      <w:pPr>
        <w:pStyle w:val="FootnoteText"/>
      </w:pPr>
      <w:r>
        <w:rPr>
          <w:rStyle w:val="FootnoteReference"/>
        </w:rPr>
        <w:footnoteRef/>
      </w:r>
      <w:r>
        <w:t xml:space="preserve"> </w:t>
      </w:r>
      <w:r>
        <w:t xml:space="preserve">Slides available on the Brighton and Hove City Council Website here</w:t>
      </w:r>
      <w:r>
        <w:t xml:space="preserve"> </w:t>
      </w:r>
      <w:hyperlink r:id="rId75">
        <w:r>
          <w:rPr>
            <w:rStyle w:val="Hyperlink"/>
          </w:rPr>
          <w:t xml:space="preserve">https://yourvoice.brighton-hove.gov.uk/en-GB/projects/secondary-school-engagement-exercise/1</w:t>
        </w:r>
      </w:hyperlink>
    </w:p>
  </w:footnote>
  <w:footnote w:id="78">
    <w:p>
      <w:pPr>
        <w:pStyle w:val="FootnoteText"/>
      </w:pPr>
      <w:r>
        <w:rPr>
          <w:rStyle w:val="FootnoteReference"/>
        </w:rPr>
        <w:footnoteRef/>
      </w:r>
      <w:r>
        <w:t xml:space="preserve"> </w:t>
      </w:r>
      <w:hyperlink r:id="rId79">
        <w:r>
          <w:rPr>
            <w:rStyle w:val="Hyperlink"/>
          </w:rPr>
          <w:t xml:space="preserve">https://educationequity.kit.com/</w:t>
        </w:r>
      </w:hyperlink>
    </w:p>
  </w:footnote>
  <w:footnote w:id="80">
    <w:p>
      <w:pPr>
        <w:pStyle w:val="FootnoteText"/>
      </w:pPr>
      <w:r>
        <w:rPr>
          <w:rStyle w:val="FootnoteReference"/>
        </w:rPr>
        <w:footnoteRef/>
      </w:r>
      <w:r>
        <w:t xml:space="preserve"> </w:t>
      </w:r>
      <w:hyperlink r:id="rId81">
        <w:r>
          <w:rPr>
            <w:rStyle w:val="Hyperlink"/>
          </w:rPr>
          <w:t xml:space="preserve">https://www.classdivide.co.uk/</w:t>
        </w:r>
      </w:hyperlink>
    </w:p>
  </w:footnote>
  <w:footnote w:id="82">
    <w:p>
      <w:pPr>
        <w:pStyle w:val="FootnoteText"/>
      </w:pPr>
      <w:r>
        <w:rPr>
          <w:rStyle w:val="FootnoteReference"/>
        </w:rPr>
        <w:footnoteRef/>
      </w:r>
      <w:r>
        <w:t xml:space="preserve"> </w:t>
      </w:r>
      <w:hyperlink r:id="rId83">
        <w:r>
          <w:rPr>
            <w:rStyle w:val="Hyperlink"/>
          </w:rPr>
          <w:t xml:space="preserve">https://reports.ofsted.gov.uk/provider/23/136164</w:t>
        </w:r>
      </w:hyperlink>
    </w:p>
  </w:footnote>
  <w:footnote w:id="88">
    <w:p>
      <w:pPr>
        <w:pStyle w:val="FootnoteText"/>
      </w:pPr>
      <w:r>
        <w:rPr>
          <w:rStyle w:val="FootnoteReference"/>
        </w:rPr>
        <w:footnoteRef/>
      </w:r>
      <w:r>
        <w:t xml:space="preserve"> </w:t>
      </w:r>
      <w:r>
        <w:t xml:space="preserve">School Attainment Policy Simulator:</w:t>
      </w:r>
      <w:r>
        <w:t xml:space="preserve"> </w:t>
      </w:r>
      <w:hyperlink r:id="rId89">
        <w:r>
          <w:rPr>
            <w:rStyle w:val="Hyperlink"/>
          </w:rPr>
          <w:t xml:space="preserve">https://adam-dennett.shinyapps.io/School_Attainment_Policy_Simulator/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37" Target="media/rId37.png" /><Relationship Type="http://schemas.openxmlformats.org/officeDocument/2006/relationships/hyperlink" Id="rId89"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47" Target="https://adamdennett.github.io/BH_Schools_Consultation/absence.html#trick-or-treatment" TargetMode="External" /><Relationship Type="http://schemas.openxmlformats.org/officeDocument/2006/relationships/hyperlink" Id="rId28" Target="https://adamdennett.github.io/school_attainment_tool/" TargetMode="External" /><Relationship Type="http://schemas.openxmlformats.org/officeDocument/2006/relationships/hyperlink" Id="rId31" Target="https://adamdennett.github.io/school_attainment_tool/data_overview.html" TargetMode="External" /><Relationship Type="http://schemas.openxmlformats.org/officeDocument/2006/relationships/hyperlink" Id="rId45" Target="https://adamdennett.github.io/school_attainment_tool/model_experiments.html" TargetMode="External" /><Relationship Type="http://schemas.openxmlformats.org/officeDocument/2006/relationships/hyperlink" Id="rId43" Target="https://adamdennett.github.io/school_attainment_tool/model_results.html#stepwise-model-building" TargetMode="External" /><Relationship Type="http://schemas.openxmlformats.org/officeDocument/2006/relationships/hyperlink" Id="rId122" Target="https://cep.lse.ac.uk/_new/publications/abstract.asp?index=5752" TargetMode="External" /><Relationship Type="http://schemas.openxmlformats.org/officeDocument/2006/relationships/hyperlink" Id="rId108" Target="https://committees.parliament.uk/committee/203/education-committee/news/156024/forgotten-white-workingclass-pupils-let-down-by-decades-of-neglect-mps-say/" TargetMode="External" /><Relationship Type="http://schemas.openxmlformats.org/officeDocument/2006/relationships/hyperlink" Id="rId124" Target="https://doi.org/10.1002/berj.3297" TargetMode="External" /><Relationship Type="http://schemas.openxmlformats.org/officeDocument/2006/relationships/hyperlink" Id="rId118" Target="https://doi.org/10.1002/berj.3992" TargetMode="External" /><Relationship Type="http://schemas.openxmlformats.org/officeDocument/2006/relationships/hyperlink" Id="rId104" Target="https://doi.org/10.1016/j.econedurev.2023.102405" TargetMode="External" /><Relationship Type="http://schemas.openxmlformats.org/officeDocument/2006/relationships/hyperlink" Id="rId139" Target="https://doi.org/10.1080/01425692.2025.2474040" TargetMode="External" /><Relationship Type="http://schemas.openxmlformats.org/officeDocument/2006/relationships/hyperlink" Id="rId100" Target="https://doi.org/10.1080/0305764X.2024.2420611" TargetMode="External" /><Relationship Type="http://schemas.openxmlformats.org/officeDocument/2006/relationships/hyperlink" Id="rId96" Target="https://doi.org/10.1080/09645292.2017.1366425" TargetMode="External" /><Relationship Type="http://schemas.openxmlformats.org/officeDocument/2006/relationships/hyperlink" Id="rId120" Target="https://doi.org/10.1093/ooec/odad029" TargetMode="External" /><Relationship Type="http://schemas.openxmlformats.org/officeDocument/2006/relationships/hyperlink" Id="rId98" Target="https://doi.org/10.1111/j.1475-5661.2012.00511.x" TargetMode="External" /><Relationship Type="http://schemas.openxmlformats.org/officeDocument/2006/relationships/hyperlink" Id="rId102" Target="https://doi.org/10.1177/0308518X18787820" TargetMode="External" /><Relationship Type="http://schemas.openxmlformats.org/officeDocument/2006/relationships/hyperlink" Id="rId126" Target="https://doi.org/10.1177/2158244018825171" TargetMode="External" /><Relationship Type="http://schemas.openxmlformats.org/officeDocument/2006/relationships/hyperlink" Id="rId132" Target="https://doi.org/10.14324/LRE.21.1.20" TargetMode="External" /><Relationship Type="http://schemas.openxmlformats.org/officeDocument/2006/relationships/hyperlink" Id="rId128" Target="https://doi.org/10.3390/educsci15010006" TargetMode="External" /><Relationship Type="http://schemas.openxmlformats.org/officeDocument/2006/relationships/hyperlink" Id="rId79" Target="https://educationequity.kit.com/" TargetMode="External" /><Relationship Type="http://schemas.openxmlformats.org/officeDocument/2006/relationships/hyperlink" Id="rId145" Target="https://epi.org.uk/annual-report-2023/" TargetMode="External" /><Relationship Type="http://schemas.openxmlformats.org/officeDocument/2006/relationships/hyperlink" Id="rId147" Target="https://epi.org.uk/publications-and-research/the-influence-of-headteachers-on-their-schools/" TargetMode="External" /><Relationship Type="http://schemas.openxmlformats.org/officeDocument/2006/relationships/hyperlink" Id="rId114" Target="https://explore-education-statistics.service.gov.uk/find-statistics/pupil-absence-in-schools-in-england/2024-25-autumn-and-spring-term" TargetMode="External" /><Relationship Type="http://schemas.openxmlformats.org/officeDocument/2006/relationships/hyperlink" Id="rId110" Target="https://explore-education-statistics.service.gov.uk/find-statistics/the-link-between-absence-and-attainment-at-ks2-and-ks4/2018-19" TargetMode="External" /><Relationship Type="http://schemas.openxmlformats.org/officeDocument/2006/relationships/hyperlink" Id="rId143" Target="https://ffteducationdatalab.org.uk/2023/11/are-pupils-who-live-further-away-from-their-school-absent-more-often/" TargetMode="External" /><Relationship Type="http://schemas.openxmlformats.org/officeDocument/2006/relationships/hyperlink" Id="rId130" Target="https://opendocs.ids.ac.uk/articles/report/The_Contribution_of_Education_to_Economic_Growth/26453986/1" TargetMode="External" /><Relationship Type="http://schemas.openxmlformats.org/officeDocument/2006/relationships/hyperlink" Id="rId83" Target="https://reports.ofsted.gov.uk/provider/23/136164" TargetMode="External" /><Relationship Type="http://schemas.openxmlformats.org/officeDocument/2006/relationships/hyperlink" Id="rId81" Target="https://www.classdivide.co.uk/" TargetMode="External" /><Relationship Type="http://schemas.openxmlformats.org/officeDocument/2006/relationships/hyperlink" Id="rId134" Target="https://www.gov.uk/government/publications/against-the-odds" TargetMode="External" /><Relationship Type="http://schemas.openxmlformats.org/officeDocument/2006/relationships/hyperlink" Id="rId116" Target="https://www.gov.uk/government/publications/every-child-achieving-and-thriving/every-child-achieving-and-thriving-html-version" TargetMode="External" /><Relationship Type="http://schemas.openxmlformats.org/officeDocument/2006/relationships/hyperlink" Id="rId136" Target="https://www.gov.uk/government/publications/examining-the-london-advantage-in-attainment-evidence-from-lsype" TargetMode="External" /><Relationship Type="http://schemas.openxmlformats.org/officeDocument/2006/relationships/hyperlink" Id="rId112" Target="https://www.gov.uk/government/publications/link-between-attendance-and-attainment" TargetMode="External" /><Relationship Type="http://schemas.openxmlformats.org/officeDocument/2006/relationships/hyperlink" Id="rId141"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106" Target="https://www.nuffieldfoundation.org/project/characterising-effective-teaching-2" TargetMode="External" /><Relationship Type="http://schemas.openxmlformats.org/officeDocument/2006/relationships/hyperlink" Id="rId72" Target="https://yourvoice.brighton-hove.gov.uk/en-GB/projects/school-admission-arrangements-public-consultation/1" TargetMode="External" /><Relationship Type="http://schemas.openxmlformats.org/officeDocument/2006/relationships/hyperlink" Id="rId75" Target="https://yourvoice.brighton-hove.gov.uk/en-GB/projects/secondary-school-engagement-exercise/1" TargetMode="External" /></Relationships>
</file>

<file path=word/_rels/footnotes.xml.rels><?xml version="1.0" encoding="UTF-8"?><Relationships xmlns="http://schemas.openxmlformats.org/package/2006/relationships"><Relationship Type="http://schemas.openxmlformats.org/officeDocument/2006/relationships/hyperlink" Id="rId89"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47" Target="https://adamdennett.github.io/BH_Schools_Consultation/absence.html#trick-or-treatment" TargetMode="External" /><Relationship Type="http://schemas.openxmlformats.org/officeDocument/2006/relationships/hyperlink" Id="rId28" Target="https://adamdennett.github.io/school_attainment_tool/" TargetMode="External" /><Relationship Type="http://schemas.openxmlformats.org/officeDocument/2006/relationships/hyperlink" Id="rId31" Target="https://adamdennett.github.io/school_attainment_tool/data_overview.html" TargetMode="External" /><Relationship Type="http://schemas.openxmlformats.org/officeDocument/2006/relationships/hyperlink" Id="rId45" Target="https://adamdennett.github.io/school_attainment_tool/model_experiments.html" TargetMode="External" /><Relationship Type="http://schemas.openxmlformats.org/officeDocument/2006/relationships/hyperlink" Id="rId43" Target="https://adamdennett.github.io/school_attainment_tool/model_results.html#stepwise-model-building" TargetMode="External" /><Relationship Type="http://schemas.openxmlformats.org/officeDocument/2006/relationships/hyperlink" Id="rId122" Target="https://cep.lse.ac.uk/_new/publications/abstract.asp?index=5752" TargetMode="External" /><Relationship Type="http://schemas.openxmlformats.org/officeDocument/2006/relationships/hyperlink" Id="rId108" Target="https://committees.parliament.uk/committee/203/education-committee/news/156024/forgotten-white-workingclass-pupils-let-down-by-decades-of-neglect-mps-say/" TargetMode="External" /><Relationship Type="http://schemas.openxmlformats.org/officeDocument/2006/relationships/hyperlink" Id="rId124" Target="https://doi.org/10.1002/berj.3297" TargetMode="External" /><Relationship Type="http://schemas.openxmlformats.org/officeDocument/2006/relationships/hyperlink" Id="rId118" Target="https://doi.org/10.1002/berj.3992" TargetMode="External" /><Relationship Type="http://schemas.openxmlformats.org/officeDocument/2006/relationships/hyperlink" Id="rId104" Target="https://doi.org/10.1016/j.econedurev.2023.102405" TargetMode="External" /><Relationship Type="http://schemas.openxmlformats.org/officeDocument/2006/relationships/hyperlink" Id="rId139" Target="https://doi.org/10.1080/01425692.2025.2474040" TargetMode="External" /><Relationship Type="http://schemas.openxmlformats.org/officeDocument/2006/relationships/hyperlink" Id="rId100" Target="https://doi.org/10.1080/0305764X.2024.2420611" TargetMode="External" /><Relationship Type="http://schemas.openxmlformats.org/officeDocument/2006/relationships/hyperlink" Id="rId96" Target="https://doi.org/10.1080/09645292.2017.1366425" TargetMode="External" /><Relationship Type="http://schemas.openxmlformats.org/officeDocument/2006/relationships/hyperlink" Id="rId120" Target="https://doi.org/10.1093/ooec/odad029" TargetMode="External" /><Relationship Type="http://schemas.openxmlformats.org/officeDocument/2006/relationships/hyperlink" Id="rId98" Target="https://doi.org/10.1111/j.1475-5661.2012.00511.x" TargetMode="External" /><Relationship Type="http://schemas.openxmlformats.org/officeDocument/2006/relationships/hyperlink" Id="rId102" Target="https://doi.org/10.1177/0308518X18787820" TargetMode="External" /><Relationship Type="http://schemas.openxmlformats.org/officeDocument/2006/relationships/hyperlink" Id="rId126" Target="https://doi.org/10.1177/2158244018825171" TargetMode="External" /><Relationship Type="http://schemas.openxmlformats.org/officeDocument/2006/relationships/hyperlink" Id="rId132" Target="https://doi.org/10.14324/LRE.21.1.20" TargetMode="External" /><Relationship Type="http://schemas.openxmlformats.org/officeDocument/2006/relationships/hyperlink" Id="rId128" Target="https://doi.org/10.3390/educsci15010006" TargetMode="External" /><Relationship Type="http://schemas.openxmlformats.org/officeDocument/2006/relationships/hyperlink" Id="rId79" Target="https://educationequity.kit.com/" TargetMode="External" /><Relationship Type="http://schemas.openxmlformats.org/officeDocument/2006/relationships/hyperlink" Id="rId145" Target="https://epi.org.uk/annual-report-2023/" TargetMode="External" /><Relationship Type="http://schemas.openxmlformats.org/officeDocument/2006/relationships/hyperlink" Id="rId147" Target="https://epi.org.uk/publications-and-research/the-influence-of-headteachers-on-their-schools/" TargetMode="External" /><Relationship Type="http://schemas.openxmlformats.org/officeDocument/2006/relationships/hyperlink" Id="rId114" Target="https://explore-education-statistics.service.gov.uk/find-statistics/pupil-absence-in-schools-in-england/2024-25-autumn-and-spring-term" TargetMode="External" /><Relationship Type="http://schemas.openxmlformats.org/officeDocument/2006/relationships/hyperlink" Id="rId110" Target="https://explore-education-statistics.service.gov.uk/find-statistics/the-link-between-absence-and-attainment-at-ks2-and-ks4/2018-19" TargetMode="External" /><Relationship Type="http://schemas.openxmlformats.org/officeDocument/2006/relationships/hyperlink" Id="rId143" Target="https://ffteducationdatalab.org.uk/2023/11/are-pupils-who-live-further-away-from-their-school-absent-more-often/" TargetMode="External" /><Relationship Type="http://schemas.openxmlformats.org/officeDocument/2006/relationships/hyperlink" Id="rId130" Target="https://opendocs.ids.ac.uk/articles/report/The_Contribution_of_Education_to_Economic_Growth/26453986/1" TargetMode="External" /><Relationship Type="http://schemas.openxmlformats.org/officeDocument/2006/relationships/hyperlink" Id="rId83" Target="https://reports.ofsted.gov.uk/provider/23/136164" TargetMode="External" /><Relationship Type="http://schemas.openxmlformats.org/officeDocument/2006/relationships/hyperlink" Id="rId81" Target="https://www.classdivide.co.uk/" TargetMode="External" /><Relationship Type="http://schemas.openxmlformats.org/officeDocument/2006/relationships/hyperlink" Id="rId134" Target="https://www.gov.uk/government/publications/against-the-odds" TargetMode="External" /><Relationship Type="http://schemas.openxmlformats.org/officeDocument/2006/relationships/hyperlink" Id="rId116" Target="https://www.gov.uk/government/publications/every-child-achieving-and-thriving/every-child-achieving-and-thriving-html-version" TargetMode="External" /><Relationship Type="http://schemas.openxmlformats.org/officeDocument/2006/relationships/hyperlink" Id="rId136" Target="https://www.gov.uk/government/publications/examining-the-london-advantage-in-attainment-evidence-from-lsype" TargetMode="External" /><Relationship Type="http://schemas.openxmlformats.org/officeDocument/2006/relationships/hyperlink" Id="rId112" Target="https://www.gov.uk/government/publications/link-between-attendance-and-attainment" TargetMode="External" /><Relationship Type="http://schemas.openxmlformats.org/officeDocument/2006/relationships/hyperlink" Id="rId141"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106" Target="https://www.nuffieldfoundation.org/project/characterising-effective-teaching-2" TargetMode="External" /><Relationship Type="http://schemas.openxmlformats.org/officeDocument/2006/relationships/hyperlink" Id="rId72" Target="https://yourvoice.brighton-hove.gov.uk/en-GB/projects/school-admission-arrangements-public-consultation/1" TargetMode="External" /><Relationship Type="http://schemas.openxmlformats.org/officeDocument/2006/relationships/hyperlink" Id="rId75" Target="https://yourvoice.brighton-hove.gov.uk/en-GB/projects/secondary-school-engagement-exercis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Pulling the Wrong Lever: School Attainment, Open Data Analytics and Local Education Policy in England</dc:title>
  <dc:creator>Adam Dennett; Natasha Priest; Tom Harrison; Dan Campbell-Meiklejohn</dc:creator>
  <cp:keywords>school attainment, education policy, school absence, disadvantage gap, multilevel modelling, open data</cp:keywords>
  <dcterms:created xsi:type="dcterms:W3CDTF">2026-04-07T21:45:11Z</dcterms:created>
  <dcterms:modified xsi:type="dcterms:W3CDTF">2026-04-07T21:45:11Z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UK Government’s 2026 schools white paper sets ambitious targets including halving the disadvantage attainment gap. Achieving improvements in disadvantaged student attainment requires local education authorities to understand their local situations and the specific drivers in their areas. But it is all to easy to pull the wrong policy lever when information and intelligence is incomplete. Recent experiences in Brighton and Hove have highlighted the gap between open data and actionable intelligence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was ‘driven by economic advantage’. Our analysis reveals that the city ranks among the highest-performing local authorities once structural factors are accounted for, but has the second worst absence rate in England. The policy as designed was pulling a lever with relatively little mechanical advantage while ignoring one with considerably more. We argue that the Department for Education’s open data provides the raw materials for better local policy making, but a crucial gap exists between available data and accessible, contextualised intelligence - a gap we address with a new Policy Simulator tool.</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2026-04-07</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Lessons from Brighton and Hove</vt:lpwstr>
  </property>
  <property fmtid="{D5CDD505-2E9C-101B-9397-08002B2CF9AE}" pid="18" name="toc-title">
    <vt:lpwstr>Table of contents</vt:lpwstr>
  </property>
</Properties>
</file>