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53.png" ContentType="image/png"/>
  <Override PartName="/word/media/rId58.png" ContentType="image/png"/>
  <Override PartName="/word/media/rId68.png" ContentType="image/png"/>
  <Override PartName="/word/media/rId7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Date"/>
      </w:pPr>
      <w:r>
        <w:t xml:space="preserve">2026-04-30</w:t>
      </w:r>
    </w:p>
    <w:p>
      <w:pPr>
        <w:pStyle w:val="AbstractTitle"/>
      </w:pPr>
      <w:r>
        <w:t xml:space="preserve">Abstract</w:t>
      </w:r>
    </w:p>
    <w:p>
      <w:pPr>
        <w:pStyle w:val="Abstract"/>
      </w:pPr>
      <w:r>
        <w:t xml:space="preserve">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could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promoted to the public as premised on the assumption that attainment in the city was</w:t>
      </w:r>
      <w:r>
        <w:t xml:space="preserve"> </w:t>
      </w:r>
      <w:r>
        <w:t xml:space="preserve">‘driven by economic advantage’</w:t>
      </w:r>
      <w:r>
        <w:t xml:space="preserve"> </w:t>
      </w:r>
      <w:r>
        <w:t xml:space="preserve">and that redistributing pupils around the city would narrow the attainment gap. The response to the consultation was overwhelmingly negative from parents and schools alike, yet many did not have the tools to effectively challenge the proposal and the core policy direction persisted - albeit eventually slightly watered down from the initial proposals.</w:t>
      </w:r>
    </w:p>
    <w:p>
      <w:pPr>
        <w:pStyle w:val="BodyText"/>
      </w:pPr>
      <w:r>
        <w:t xml:space="preserve">Raw data on the attainment gap, without context, was presented to the city along with statements about the correlation between concentrations of disadvantage in schools and lower attainment. The attainment gap was painted by the policy makers as a unique failure in need of urgent action to counter the assumed impact of economic advantage on school attainment. Such was the dominance of the narrative around economic advantage, the second-order impacts of the policy interventions, for example longer school journeys to schools outside of local communities affecting safety, attainment, environment and the well-being of affected children, were not scrutinised in depth. It is our proposal that detailed data and analytics about the local situation would have led to a different framing of the city’s situation. Some rapidly produced analysis was put into the public domain by some of the authors of this paper</w:t>
      </w:r>
      <w:r>
        <w:rPr>
          <w:rStyle w:val="FootnoteReference"/>
        </w:rPr>
        <w:footnoteReference w:id="20"/>
      </w:r>
      <w:r>
        <w:t xml:space="preserve">, but this was produced as a response to, rather than contributing to, the creation of the policy. Consistent with the national picture, there is an attainment gap in Brighton and Hove. However, what we (the citizens of Brighton and Hove, including the local councillors developing policy) didn’t know at the time, was prior to the policy proposals, Brighton and Hove was one of the best performing Local Education Authorities in the Country for both disadvantaged (7th out of 152) and non-disadvantaged (5th out of 152) GCSE attainment, once you account for the factors we know influence that attainment. With this knowledge, the approach to improving outcomes for disadvantaged pupils could have been more effective by asking, for example,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While we can’t know if open, accessible, location-specific analysis would have resulted in a change of policy direction, it would have facilitated far more informed policy debate.</w:t>
      </w:r>
    </w:p>
    <w:p>
      <w:pPr>
        <w:pStyle w:val="BodyText"/>
      </w:pPr>
      <w:r>
        <w:t xml:space="preserve">The discussions that led to this paper took place over an 18 month period spanning the 2024 and 2025 secondary school admissions consultation in the city with a wide group of parents and stakeholders. Some were academics, some experienced in national policy making, some involved in school governance and teaching, others worked for the council in different capacities and others would simply identify as concerned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or indeed novel (the variables and effects are very similar to those reported by</w:t>
      </w:r>
      <w:r>
        <w:t xml:space="preserve"> </w:t>
      </w:r>
      <w:r>
        <w:t xml:space="preserve">Macleod et al. (2015)</w:t>
      </w:r>
      <w:r>
        <w:t xml:space="preserve"> </w:t>
      </w:r>
      <w:r>
        <w:t xml:space="preserve">over 10 years ago). Our intention is to show that with open, freely available data and variables that are along the right lines, it is possible to build a model explaining over 80% of the variation in school-level attainment with just a handful of predictors. Then, when we know the vast majority of influences on attainment and how they interact in different local contexts, we can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literature-review"/>
    <w:p>
      <w:pPr>
        <w:pStyle w:val="Heading1"/>
      </w:pPr>
      <w:r>
        <w:t xml:space="preserve">2. Literature review</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National Curriculum Key Stage 2 (KS2 - the latter stages of Primary School from ages 7 to 11</w:t>
      </w:r>
      <w:r>
        <w:rPr>
          <w:rStyle w:val="FootnoteReference"/>
        </w:rPr>
        <w:footnoteReference w:id="23"/>
      </w:r>
      <w:r>
        <w:t xml:space="preserve">).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(most students take around 8-10 GCSE subjects in total). One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7"/>
    <w:bookmarkEnd w:id="28"/>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31"/>
    <w:bookmarkStart w:id="34"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4"/>
    <w:bookmarkEnd w:id="35"/>
    <w:bookmarkStart w:id="51" w:name="results"/>
    <w:p>
      <w:pPr>
        <w:pStyle w:val="Heading1"/>
      </w:pPr>
      <w:r>
        <w:t xml:space="preserve">4. Results</w:t>
      </w:r>
    </w:p>
    <w:bookmarkStart w:id="36"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6"/>
    <w:bookmarkStart w:id="38"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7"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7"/>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8"/>
    <w:bookmarkStart w:id="50"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2" w:name="fig-standardised-coefficients"/>
          <w:p>
            <w:pPr>
              <w:pStyle w:val="Compact"/>
              <w:jc w:val="center"/>
            </w:pPr>
            <w:r>
              <w:drawing>
                <wp:inline>
                  <wp:extent cx="5334000" cy="3810000"/>
                  <wp:effectExtent b="0" l="0" r="0" t="0"/>
                  <wp:docPr descr="" title="" id="40" name="Picture"/>
                  <a:graphic>
                    <a:graphicData uri="http://schemas.openxmlformats.org/drawingml/2006/picture">
                      <pic:pic>
                        <pic:nvPicPr>
                          <pic:cNvPr descr="JEP_Paper_files/figure-docx/fig-standardised-coefficients-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2"/>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3"/>
      </w:r>
      <w:r>
        <w:t xml:space="preserve"> </w:t>
      </w:r>
      <w:r>
        <w:t xml:space="preserve">across all three pupil groups (all pupils, disadvantaged pupils and non-disadvantaged pupils - full model outputs available in the supplementary materials</w:t>
      </w:r>
      <w:r>
        <w:rPr>
          <w:rStyle w:val="FootnoteReference"/>
        </w:rPr>
        <w:footnoteReference w:id="44"/>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6"/>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possibly due to a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8"/>
      </w:r>
      <w:r>
        <w:t xml:space="preserve"> </w:t>
      </w:r>
      <w:r>
        <w:t xml:space="preserve">– a fact that emerged during the 2024 consultation, but not one that on its own moved the dial)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regularly attend. Disadvantaged pupils may lack the safety net of engaged parents, private tutors or revision resources that some less disadvantaged students have, which could be a factor in making classroom instruction more important for them. In this sense, attendance is the ultimate equity lever.</w:t>
      </w:r>
    </w:p>
    <w:p>
      <w:pPr>
        <w:pStyle w:val="BodyText"/>
      </w:pPr>
      <w:r>
        <w:t xml:space="preserve">These outcomes do not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remediating policies require longer journeys that risk increasing absence</w:t>
      </w:r>
      <w:r>
        <w:t xml:space="preserve"> </w:t>
      </w:r>
      <w:r>
        <w:t xml:space="preserve">(Thomson 2023)</w:t>
      </w:r>
      <w:r>
        <w:t xml:space="preserve">, they could be actively counter-productive given how much more negatively impactful absence is.</w:t>
      </w:r>
    </w:p>
    <w:bookmarkEnd w:id="50"/>
    <w:bookmarkEnd w:id="51"/>
    <w:bookmarkStart w:id="80" w:name="brighton-and-hove-case-study"/>
    <w:p>
      <w:pPr>
        <w:pStyle w:val="Heading1"/>
      </w:pPr>
      <w:r>
        <w:t xml:space="preserve">5. Brighton and Hove case study</w:t>
      </w:r>
    </w:p>
    <w:bookmarkStart w:id="57"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It’s worth noting that prior to the new administration taking control, the city council had in place a comprehensive strategy for tacking educational disadvantage [^old_strategy] which included a section on attendance, alongside leadership and governance and targeted support. However in October 2024, under the new administration the council launched proposals to amend the secondary school admissions process with the intention of improving disadvantaged attainment. This earlier action plan was not referenced. The proposals were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schools located at the geographic periphery of the city. Underpinning the proposals was an assertion that attainment in the city was</w:t>
      </w:r>
      <w:r>
        <w:t xml:space="preserve"> </w:t>
      </w:r>
      <w:r>
        <w:t xml:space="preserve">‘driven by economic advantage’</w:t>
      </w:r>
      <w:r>
        <w:t xml:space="preserve"> </w:t>
      </w:r>
      <w:r>
        <w:t xml:space="preserve">(e.g. housing costs near better performing schools - another common misconception empirically disproven in Brighton and Hove</w:t>
      </w:r>
      <w:r>
        <w:t xml:space="preserve"> </w:t>
      </w:r>
      <w:r>
        <w:t xml:space="preserve">Tan and Dennett (2025)</w:t>
      </w:r>
      <w:r>
        <w:t xml:space="preserve">) 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[^old_strategy]</w:t>
      </w:r>
      <w:hyperlink r:id="rId52">
        <w:r>
          <w:rPr>
            <w:rStyle w:val="Hyperlink"/>
          </w:rPr>
          <w:t xml:space="preserve">https://www.brighton-hove.gov.uk/schools-and-learning/school-policies-reports-strategies-and-other-documents/better-outcomes-better-lives-brighton-hoves-strategy-tackling-educational-disadvantage</w:t>
        </w:r>
      </w:hyperlink>
    </w:p>
    <w:p>
      <w:pPr>
        <w:pStyle w:val="BodyText"/>
      </w:pPr>
      <w:r>
        <w:t xml:space="preserve">The public response was overwhelmingly negative, with the council’s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school commuting for many pupils.</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narrow the attainment gap (presumably by raising disadvantaged attainment). This was in addition to a 2023 policy giving FSM-eligible pupils priority in admissions in schools with below the city average (30%) levels of FSM eligible pupils. This was already affecting further social mixing with flows from peripheral to more popular central catchments -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and this may have factored into the policy design.</w:t>
      </w:r>
    </w:p>
    <w:p>
      <w:pPr>
        <w:pStyle w:val="BodyText"/>
      </w:pPr>
      <w:r>
        <w:t xml:space="preserve">Whether the availability of better evidence would have changed the political outcome is unknowable. But with lived experience of responding to the council’s proposals, we can say that accessible evidence</w:t>
      </w:r>
      <w:r>
        <w:t xml:space="preserve"> </w:t>
      </w:r>
      <w:r>
        <w:rPr>
          <w:i/>
          <w:iCs/>
        </w:rPr>
        <w:t xml:space="preserve">would</w:t>
      </w:r>
      <w:r>
        <w:t xml:space="preserve"> </w:t>
      </w:r>
      <w:r>
        <w:t xml:space="preserve">have enabled earlier and more constructive engagement. Without ease of data access, the compressed consultation timeline left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6" w:name="fig-catchments"/>
          <w:p>
            <w:pPr>
              <w:pStyle w:val="Compact"/>
              <w:jc w:val="center"/>
            </w:pPr>
            <w:r>
              <w:drawing>
                <wp:inline>
                  <wp:extent cx="5334000" cy="4572000"/>
                  <wp:effectExtent b="0" l="0" r="0" t="0"/>
                  <wp:docPr descr="" title="" id="54" name="Picture"/>
                  <a:graphic>
                    <a:graphicData uri="http://schemas.openxmlformats.org/drawingml/2006/picture">
                      <pic:pic>
                        <pic:nvPicPr>
                          <pic:cNvPr descr="JEP_Paper_files/figure-docx/fig-catchments-1.png" id="55" name="Picture"/>
                          <pic:cNvPicPr>
                            <a:picLocks noChangeArrowheads="1" noChangeAspect="1"/>
                          </pic:cNvPicPr>
                        </pic:nvPicPr>
                        <pic:blipFill>
                          <a:blip r:embed="rId53"/>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6"/>
        </w:tc>
      </w:tr>
    </w:tbl>
    <w:bookmarkEnd w:id="57"/>
    <w:bookmarkStart w:id="62"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1" w:name="fig-caterpillar"/>
          <w:p>
            <w:pPr>
              <w:pStyle w:val="Compact"/>
              <w:jc w:val="center"/>
            </w:pPr>
            <w:r>
              <w:drawing>
                <wp:inline>
                  <wp:extent cx="5334000" cy="4572000"/>
                  <wp:effectExtent b="0" l="0" r="0" t="0"/>
                  <wp:docPr descr="" title="" id="59" name="Picture"/>
                  <a:graphic>
                    <a:graphicData uri="http://schemas.openxmlformats.org/drawingml/2006/picture">
                      <pic:pic>
                        <pic:nvPicPr>
                          <pic:cNvPr descr="JEP_Paper_files/figure-docx/fig-caterpillar-1.png" id="60" name="Picture"/>
                          <pic:cNvPicPr>
                            <a:picLocks noChangeArrowheads="1" noChangeAspect="1"/>
                          </pic:cNvPicPr>
                        </pic:nvPicPr>
                        <pic:blipFill>
                          <a:blip r:embed="rId58"/>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1"/>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limited analysis.</w:t>
      </w:r>
    </w:p>
    <w:bookmarkEnd w:id="62"/>
    <w:bookmarkStart w:id="67"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6" w:name="fig-accelerating-returns"/>
          <w:p>
            <w:pPr>
              <w:pStyle w:val="Compact"/>
              <w:jc w:val="center"/>
            </w:pPr>
            <w:r>
              <w:drawing>
                <wp:inline>
                  <wp:extent cx="5334000" cy="3429000"/>
                  <wp:effectExtent b="0" l="0" r="0" t="0"/>
                  <wp:docPr descr="" title="" id="64" name="Picture"/>
                  <a:graphic>
                    <a:graphicData uri="http://schemas.openxmlformats.org/drawingml/2006/picture">
                      <pic:pic>
                        <pic:nvPicPr>
                          <pic:cNvPr descr="JEP_Paper_files/figure-docx/fig-accelerating-returns-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6"/>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7"/>
    <w:bookmarkStart w:id="72"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1" w:name="fig-obs-vs-pred"/>
          <w:p>
            <w:pPr>
              <w:pStyle w:val="Compact"/>
              <w:jc w:val="center"/>
            </w:pPr>
            <w:r>
              <w:drawing>
                <wp:inline>
                  <wp:extent cx="5334000" cy="6858000"/>
                  <wp:effectExtent b="0" l="0" r="0" t="0"/>
                  <wp:docPr descr="" title="" id="69" name="Picture"/>
                  <a:graphic>
                    <a:graphicData uri="http://schemas.openxmlformats.org/drawingml/2006/picture">
                      <pic:pic>
                        <pic:nvPicPr>
                          <pic:cNvPr descr="JEP_Paper_files/figure-docx/fig-obs-vs-pred-1.png" id="70" name="Picture"/>
                          <pic:cNvPicPr>
                            <a:picLocks noChangeArrowheads="1" noChangeAspect="1"/>
                          </pic:cNvPicPr>
                        </pic:nvPicPr>
                        <pic:blipFill>
                          <a:blip r:embed="rId68"/>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1"/>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2"/>
    <w:bookmarkStart w:id="79"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we should make explicit. Our headline model treats school-level absence as a single regressor on the same footing as the school’s intake variables, but absence is not a single causal entity. Some of school-level absence is exogenous to the school: driven by family circumstances, area health, deprivation patterns, the SEN profile of the catchment and other features of the intake the school inherits but cannot directly choose. Some of it is produced by the school: through pastoral systems, attendance officers, parental engagement and the broader ethos around getting children into class. When we control for raw absence in our headline model, both components are absorbed together — the school-level residual we have just been calling</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73"/>
      </w:r>
      <w:r>
        <w:t xml:space="preserve"> </w:t>
      </w:r>
      <w:r>
        <w:t xml:space="preserve">separates these. First, we fit an absence model in which school-level absence is regressed only on the variables we treat as exogenous to the school (FSM, EAL, low prior attainment, segregation, plus place and year random effects). This yields two derived quantities for every school-year: an</w:t>
      </w:r>
      <w:r>
        <w:t xml:space="preserve"> </w:t>
      </w:r>
      <w:r>
        <w:rPr>
          <w:i/>
          <w:iCs/>
        </w:rPr>
        <w:t xml:space="preserve">expected absence</w:t>
      </w:r>
      <w:r>
        <w:t xml:space="preserve"> </w:t>
      </w:r>
      <w:r>
        <w:t xml:space="preserve">(the part the intake predicts) and a</w:t>
      </w:r>
      <w:r>
        <w:t xml:space="preserve"> </w:t>
      </w:r>
      <w:r>
        <w:rPr>
          <w:i/>
          <w:iCs/>
        </w:rPr>
        <w:t xml:space="preserve">residual absence</w:t>
      </w:r>
      <w:r>
        <w:t xml:space="preserve"> </w:t>
      </w:r>
      <w:r>
        <w:t xml:space="preserve">(what is left over — broadly, the school-controllable component). Second, we refit the attainment model with the intake-predicted absence in place of raw absence, and we drop the workforce predictors. The school-level residual from this refitted attainment model is a more honest value-added measure: it gives credit for what the school adds to attainment over and above its intake,</w:t>
      </w:r>
      <w:r>
        <w:t xml:space="preserve"> </w:t>
      </w:r>
      <w:r>
        <w:rPr>
          <w:i/>
          <w:iCs/>
        </w:rPr>
        <w:t xml:space="preserve">with</w:t>
      </w:r>
      <w:r>
        <w:t xml:space="preserve"> </w:t>
      </w:r>
      <w:r>
        <w:t xml:space="preserve">attendance management already counted as part of the school’s contribution rather than stripped away as a control.</w:t>
      </w:r>
    </w:p>
    <w:p>
      <w:pPr>
        <w:pStyle w:val="BodyText"/>
      </w:pPr>
      <w:r>
        <w:t xml:space="preserve">The national-level picture this paints is informative. Most of the school-year variation in absence is explained by the intake-only first stage — absence at school level is dominated by intake and place-level structural factors. The school-controllable residual is the smaller share, and a model that fits expected absence and residual absence as separate regressors confirms that the marginal contribution of residual absence to attainment is modest at population level once intake-driven absence is already accounted for. This does not mean attendance management is unimportant. It means</w:t>
      </w:r>
      <w:r>
        <w:t xml:space="preserve"> </w:t>
      </w:r>
      <w:r>
        <w:rPr>
          <w:b/>
          <w:bCs/>
        </w:rPr>
        <w:t xml:space="preserve">the headline raw-absence coefficient borrows much of its statistical force from the structural component</w:t>
      </w:r>
      <w:r>
        <w:t xml:space="preserve">. The lever is real, but the school-only portion of it is smaller than the single coefficient implies. For local education authorities this has direct policy consequences: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are dealing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78" w:name="fig-quadrant"/>
          <w:p>
            <w:pPr>
              <w:pStyle w:val="Compact"/>
              <w:jc w:val="center"/>
            </w:pPr>
            <w:r>
              <w:drawing>
                <wp:inline>
                  <wp:extent cx="5334000" cy="3810000"/>
                  <wp:effectExtent b="0" l="0" r="0" t="0"/>
                  <wp:docPr descr="" title="" id="76" name="Picture"/>
                  <a:graphic>
                    <a:graphicData uri="http://schemas.openxmlformats.org/drawingml/2006/picture">
                      <pic:pic>
                        <pic:nvPicPr>
                          <pic:cNvPr descr="JEP_Paper_files/figure-docx/fig-quadrant-1.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78"/>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runs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w:t>
      </w:r>
      <w:r>
        <w:t xml:space="preserve"> </w:t>
      </w:r>
      <w:r>
        <w:rPr>
          <w:b/>
          <w:bCs/>
        </w:rPr>
        <w:t xml:space="preserve">BACA</w:t>
      </w:r>
      <w:r>
        <w:t xml:space="preserve"> </w:t>
      </w:r>
      <w:r>
        <w:t xml:space="preserve">sits firmly in Q2: the school is delivering attainment well above what its intake would predict and is doing so while running more absence than its intake-driven absence model expects. The pedagogical work happening at BACA is the more impressive for it; closing the school’s residual-absence gap would compound directly onto an already-strong value-added signal.</w:t>
      </w:r>
      <w:r>
        <w:t xml:space="preserve"> </w:t>
      </w:r>
      <w:r>
        <w:rPr>
          <w:b/>
          <w:bCs/>
        </w:rPr>
        <w:t xml:space="preserve">Patcham</w:t>
      </w:r>
      <w:r>
        <w:t xml:space="preserve">, by contrast, sits in Q4: its attendance management is genuinely strong, but once intake is properly accounted for its attainment outcomes fall short of what its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 Reporting</w:t>
      </w:r>
      <w:r>
        <w:t xml:space="preserve"> </w:t>
      </w:r>
      <w:r>
        <w:rPr>
          <w:b/>
          <w:bCs/>
        </w:rPr>
        <w:t xml:space="preserve">value-added alongside residual absence</w:t>
      </w:r>
      <w:r>
        <w:t xml:space="preserve">, with explicit uncertainty intervals, is a more honest framing than the single number that conventional benchmarking produces, and would help align local policy conversation with what the data can support.</w:t>
      </w:r>
    </w:p>
    <w:bookmarkEnd w:id="79"/>
    <w:bookmarkEnd w:id="80"/>
    <w:bookmarkStart w:id="102" w:name="discussion"/>
    <w:p>
      <w:pPr>
        <w:pStyle w:val="Heading1"/>
      </w:pPr>
      <w:r>
        <w:t xml:space="preserve">6. Discussion</w:t>
      </w:r>
    </w:p>
    <w:bookmarkStart w:id="83"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81"/>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While this premise is false in the context of</w:t>
      </w:r>
      <w:r>
        <w:t xml:space="preserve"> </w:t>
      </w:r>
      <w:r>
        <w:t xml:space="preserve">Macleod et al. (2015)</w:t>
      </w:r>
      <w:r>
        <w:t xml:space="preserve">’s analysis for the DfE, our more up-to-date modelling confirms this was, at best, a flawed understanding;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Of the many negative impacts of longer journeys that may be required by redistribution policies - e.g.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including stress</w:t>
      </w:r>
      <w:r>
        <w:t xml:space="preserve"> </w:t>
      </w:r>
      <w:r>
        <w:t xml:space="preserve">(Karan et al. 2021)</w:t>
      </w:r>
      <w:r>
        <w:t xml:space="preserve"> </w:t>
      </w:r>
      <w:r>
        <w:t xml:space="preserve">and general wellbeing</w:t>
      </w:r>
      <w:r>
        <w:t xml:space="preserve"> </w:t>
      </w:r>
      <w:r>
        <w:t xml:space="preserve">(Ding et al. 2023)</w:t>
      </w:r>
      <w:r>
        <w:t xml:space="preserve"> </w:t>
      </w:r>
      <w:r>
        <w:t xml:space="preserve">- they are also associated with higher absence in many countries</w:t>
      </w:r>
      <w:r>
        <w:t xml:space="preserve"> </w:t>
      </w:r>
      <w:r>
        <w:t xml:space="preserve">(Otsuka et al. 2025; Cordes et al. 2022; Blagg et al. 2018)</w:t>
      </w:r>
      <w:r>
        <w:t xml:space="preserve"> </w:t>
      </w:r>
      <w:r>
        <w:t xml:space="preserve">including England</w:t>
      </w:r>
      <w:r>
        <w:t xml:space="preserve"> </w:t>
      </w:r>
      <w:r>
        <w:t xml:space="preserve">(Thomson 2023)</w:t>
      </w:r>
      <w:r>
        <w:t xml:space="preserve"> </w:t>
      </w:r>
      <w:r>
        <w:t xml:space="preserve">— precisely the factor that most drags on attainment and the biggest problem already besetting Brighton and Hove. Without considering these impacts, a well-intentioned council can impose policies that actively make the outcomes for disadvantaged children worse.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w:t>
      </w:r>
    </w:p>
    <w:bookmarkEnd w:id="83"/>
    <w:bookmarkStart w:id="86" w:name="X7b02c639a05fbe633837d0e0e5f324b227d5713"/>
    <w:p>
      <w:pPr>
        <w:pStyle w:val="Heading2"/>
      </w:pPr>
      <w:r>
        <w:t xml:space="preserve">6.2 Absence as the most effective policy lever</w:t>
      </w:r>
    </w:p>
    <w:p>
      <w:pPr>
        <w:pStyle w:val="FirstParagraph"/>
      </w:pPr>
      <w:r>
        <w:t xml:space="preserve">Given our analysis and the earlier acknowledgement of absence in the educational disadvantage strategy prior to the change in administration in 2023, perhaps the most confusing feature of the 2024 consultation is the absence of absence. The city had the second worst absence rate in England in 2024–25 and has been consistently among the worst in England. Yet it was not mentioned in any of the presentation slides in the initial public facing engagement</w:t>
      </w:r>
      <w:r>
        <w:rPr>
          <w:rStyle w:val="FootnoteReference"/>
        </w:rPr>
        <w:footnoteReference w:id="84"/>
      </w:r>
      <w:r>
        <w:t xml:space="preserve"> </w:t>
      </w:r>
      <w:r>
        <w:t xml:space="preserve">or any of the published materials accompanying the consultations. The irony is considerable: the city ranks 7th best for disadvantaged attainment after structural adjustments, but this strong underlying performance is still likely being dragged down by an extreme absence problem.</w:t>
      </w:r>
    </w:p>
    <w:p>
      <w:pPr>
        <w:pStyle w:val="BodyText"/>
      </w:pPr>
      <w:r>
        <w:t xml:space="preserve">We can’t say whether or not behind the scenes the council was still working on this challenge, it might have been. However, given the important interactions with the policies being proposed, that is was not mentioned by the council during the consultation when improving disadvantaged attainment was the stated goal and only be viewed at best as a crucial oversight.</w:t>
      </w:r>
    </w:p>
    <w:p>
      <w:pPr>
        <w:pStyle w:val="BodyText"/>
      </w:pPr>
      <w:r>
        <w:t xml:space="preserve">Brighton and Hove’s absence rates are not a necessary consequence of its intake composition. The city has near-average FSM eligibility levels but near-worst absence, suggesting the problem is likely driven by local factors — attendance culture, enforcement practices, or community dynamics — rather than being an unavoidable correlate of disadvantage.</w:t>
      </w:r>
    </w:p>
    <w:bookmarkEnd w:id="86"/>
    <w:bookmarkStart w:id="94"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w:t>
      </w:r>
    </w:p>
    <w:tbl>
      <w:tblPr>
        <w:tblStyle w:val="Table"/>
        <w:tblW w:type="pct" w:w="5000"/>
        <w:tblLayout w:type="fixed"/>
        <w:tblLook w:firstRow="0" w:lastRow="0" w:firstColumn="0" w:lastColumn="0" w:noHBand="0" w:noVBand="0" w:val="0000"/>
      </w:tblPr>
      <w:tblGrid>
        <w:gridCol w:w="7920"/>
      </w:tblGrid>
      <w:tr>
        <w:tc>
          <w:tcPr/>
          <w:bookmarkStart w:id="87"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87"/>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88"/>
      </w:r>
      <w:r>
        <w:t xml:space="preserve"> </w:t>
      </w:r>
      <w:r>
        <w:t xml:space="preserve">— supported by another more established activist group — Class Divide</w:t>
      </w:r>
      <w:r>
        <w:rPr>
          <w:rStyle w:val="FootnoteReference"/>
        </w:rPr>
        <w:footnoteReference w:id="90"/>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As a family deciding on where to send their child, they can decide based on how the school performs overall, or where a school increases attainment beyond the structural disadvantage faced by their pupils (over which they have little control). These do not always lead to the same answer. In Brighton and Hove, 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These are, of course, school-level observations and difficult to translate into predictions about whether Pupil A will be better-off attending school X or school Y, but they do correspond to an average expected situation. 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92"/>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There might be many reasons why parents would want to opt for Patcham High School over BACA - some may reasonably ask why it would be better to send a child to a school doing well</w:t>
      </w:r>
      <w:r>
        <w:t xml:space="preserve"> </w:t>
      </w:r>
      <w:r>
        <w:t xml:space="preserve">“considering”</w:t>
      </w:r>
      <w:r>
        <w:t xml:space="preserve"> </w:t>
      </w:r>
      <w:r>
        <w:t xml:space="preserve">vs doing well in raw terms? The answer is that at the school-level, those statistics reflect ALL children (including all of those who, for example, missed a lot of school and consequently did poorly in their exams). The</w:t>
      </w:r>
      <w:r>
        <w:t xml:space="preserve"> </w:t>
      </w:r>
      <w:r>
        <w:t xml:space="preserve">“considering”</w:t>
      </w:r>
      <w:r>
        <w:t xml:space="preserve"> </w:t>
      </w:r>
      <w:r>
        <w:t xml:space="preserve">element of this analysis and the nuance nuance it affords to the effectiveness of these schools by showing the value added in the face of (in our example) high levels of absence, reveals the underlying positive features of the school that will benefit all pupils. The modelling in this paper helps provide this alternative view that might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it’s impossible to know what the drivers of this issue are. But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94"/>
    <w:bookmarkStart w:id="95"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schools at the periphery of the city. Complicating things further, the closure of a school in an economically deprived area of the city in the mid 2000s has meant that students in this area were already forced to make long journeys to school to these under-subscribed schools on the outskirts of the city. Due to the effects of having large proportions of disadvantaged students in these peripheral schools captured by our model, this can cause lower raw score results and can further reduce applications to attend those schools. Since schools receive funding on a per pupil basis, keeping these schools financially viable is a legitimate concern. However, there is an inherent tension between optimising for financial sustainability and optimising for educational outcomes. At the city level, it is easy for a policy-maker to point to surface level data and assume the disadvantage concentrations in a school are a driving effect of attainment and popularity. The two are related, but for Brighton and Hove, it does not appear to be the case that rebalancing disadvantage levels across schools would have a net positive effect on attainment for individual pupils or the city.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 in Brighton and Hove.</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95"/>
    <w:bookmarkStart w:id="97"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96"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(disadvantage, absence, prior attainment) or school management and governance (workforce characteristics, staff retention) factors in the model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96"/>
    <w:bookmarkEnd w:id="97"/>
    <w:bookmarkStart w:id="100"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98"/>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100"/>
    <w:bookmarkStart w:id="101"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101"/>
    <w:bookmarkEnd w:id="102"/>
    <w:bookmarkStart w:id="103"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103"/>
    <w:bookmarkStart w:id="104"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Dan Campbell-Meiklejohn:</w:t>
      </w:r>
      <w:r>
        <w:t xml:space="preserve"> </w:t>
      </w:r>
      <w:r>
        <w:t xml:space="preserve">Methodology – refining and review; Writing – review &amp; editing.</w:t>
      </w:r>
    </w:p>
    <w:bookmarkEnd w:id="104"/>
    <w:bookmarkStart w:id="105"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5"/>
    <w:bookmarkStart w:id="106"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106"/>
    <w:bookmarkStart w:id="107"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107"/>
    <w:bookmarkStart w:id="194" w:name="references"/>
    <w:p>
      <w:pPr>
        <w:pStyle w:val="Heading1"/>
      </w:pPr>
      <w:r>
        <w:t xml:space="preserve">References</w:t>
      </w:r>
    </w:p>
    <w:bookmarkStart w:id="193" w:name="refs"/>
    <w:bookmarkStart w:id="109"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8">
        <w:r>
          <w:rPr>
            <w:rStyle w:val="Hyperlink"/>
          </w:rPr>
          <w:t xml:space="preserve">https://doi.org/10.1080/09645292.2017.1366425</w:t>
        </w:r>
      </w:hyperlink>
      <w:r>
        <w:t xml:space="preserve">.</w:t>
      </w:r>
    </w:p>
    <w:bookmarkEnd w:id="109"/>
    <w:bookmarkStart w:id="111"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10">
        <w:r>
          <w:rPr>
            <w:rStyle w:val="Hyperlink"/>
          </w:rPr>
          <w:t xml:space="preserve">https://doi.org/10.1111/j.1475-5661.2012.00511.x</w:t>
        </w:r>
      </w:hyperlink>
      <w:r>
        <w:t xml:space="preserve">.</w:t>
      </w:r>
    </w:p>
    <w:bookmarkEnd w:id="111"/>
    <w:bookmarkStart w:id="113"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12">
        <w:r>
          <w:rPr>
            <w:rStyle w:val="Hyperlink"/>
          </w:rPr>
          <w:t xml:space="preserve">https://doi.org/10.1080/0305764X.2024.2420611</w:t>
        </w:r>
      </w:hyperlink>
      <w:r>
        <w:t xml:space="preserve">.</w:t>
      </w:r>
    </w:p>
    <w:bookmarkEnd w:id="113"/>
    <w:bookmarkStart w:id="115"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14">
        <w:r>
          <w:rPr>
            <w:rStyle w:val="Hyperlink"/>
          </w:rPr>
          <w:t xml:space="preserve">https://www.urban.org/sites/default/files/publication/99027/time_to_school_and_student_outcomes_in_dc_1.pdf</w:t>
        </w:r>
      </w:hyperlink>
      <w:r>
        <w:t xml:space="preserve">.</w:t>
      </w:r>
    </w:p>
    <w:bookmarkEnd w:id="115"/>
    <w:bookmarkStart w:id="117"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6">
        <w:r>
          <w:rPr>
            <w:rStyle w:val="Hyperlink"/>
          </w:rPr>
          <w:t xml:space="preserve">https://doi.org/10.1177/0308518X18787820</w:t>
        </w:r>
      </w:hyperlink>
      <w:r>
        <w:t xml:space="preserve">.</w:t>
      </w:r>
    </w:p>
    <w:bookmarkEnd w:id="117"/>
    <w:bookmarkStart w:id="119"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8">
        <w:r>
          <w:rPr>
            <w:rStyle w:val="Hyperlink"/>
          </w:rPr>
          <w:t xml:space="preserve">https://doi.org/10.1016/j.econedurev.2023.102405</w:t>
        </w:r>
      </w:hyperlink>
      <w:r>
        <w:t xml:space="preserve">.</w:t>
      </w:r>
    </w:p>
    <w:bookmarkEnd w:id="119"/>
    <w:bookmarkStart w:id="121"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20">
        <w:r>
          <w:rPr>
            <w:rStyle w:val="Hyperlink"/>
          </w:rPr>
          <w:t xml:space="preserve">https://www.nuffieldfoundation.org/project/characterising-effective-teaching-2</w:t>
        </w:r>
      </w:hyperlink>
      <w:r>
        <w:t xml:space="preserve">.</w:t>
      </w:r>
    </w:p>
    <w:bookmarkEnd w:id="121"/>
    <w:bookmarkStart w:id="123"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22">
        <w:r>
          <w:rPr>
            <w:rStyle w:val="Hyperlink"/>
          </w:rPr>
          <w:t xml:space="preserve">https://doi.org/10.1371/journal.pone.0314687</w:t>
        </w:r>
      </w:hyperlink>
      <w:r>
        <w:t xml:space="preserve">.</w:t>
      </w:r>
    </w:p>
    <w:bookmarkEnd w:id="123"/>
    <w:bookmarkStart w:id="125"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24">
        <w:r>
          <w:rPr>
            <w:rStyle w:val="Hyperlink"/>
          </w:rPr>
          <w:t xml:space="preserve">https://committees.parliament.uk/committee/203/education-committee/news/156024/forgotten-white-workingclass-pupils-let-down-by-decades-of-neglect-mps-say/</w:t>
        </w:r>
      </w:hyperlink>
      <w:r>
        <w:t xml:space="preserve">.</w:t>
      </w:r>
    </w:p>
    <w:bookmarkEnd w:id="125"/>
    <w:bookmarkStart w:id="127"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26">
        <w:r>
          <w:rPr>
            <w:rStyle w:val="Hyperlink"/>
          </w:rPr>
          <w:t xml:space="preserve">https://doi.org/10.3102/01623737221092450</w:t>
        </w:r>
      </w:hyperlink>
      <w:r>
        <w:t xml:space="preserve">.</w:t>
      </w:r>
    </w:p>
    <w:bookmarkEnd w:id="127"/>
    <w:bookmarkStart w:id="129"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8">
        <w:r>
          <w:rPr>
            <w:rStyle w:val="Hyperlink"/>
          </w:rPr>
          <w:t xml:space="preserve">https://explore-education-statistics.service.gov.uk/find-statistics/the-link-between-absence-and-attainment-at-ks2-and-ks4/2018-19</w:t>
        </w:r>
      </w:hyperlink>
      <w:r>
        <w:t xml:space="preserve">.</w:t>
      </w:r>
    </w:p>
    <w:bookmarkEnd w:id="129"/>
    <w:bookmarkStart w:id="131"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30">
        <w:r>
          <w:rPr>
            <w:rStyle w:val="Hyperlink"/>
          </w:rPr>
          <w:t xml:space="preserve">https://www.gov.uk/government/publications/link-between-attendance-and-attainment</w:t>
        </w:r>
      </w:hyperlink>
      <w:r>
        <w:t xml:space="preserve">.</w:t>
      </w:r>
    </w:p>
    <w:bookmarkEnd w:id="131"/>
    <w:bookmarkStart w:id="133"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32">
        <w:r>
          <w:rPr>
            <w:rStyle w:val="Hyperlink"/>
          </w:rPr>
          <w:t xml:space="preserve">https://explore-education-statistics.service.gov.uk/find-statistics/pupil-absence-in-schools-in-england/2024-25-autumn-and-spring-term</w:t>
        </w:r>
      </w:hyperlink>
      <w:r>
        <w:t xml:space="preserve">.</w:t>
      </w:r>
    </w:p>
    <w:bookmarkEnd w:id="133"/>
    <w:bookmarkStart w:id="135"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34">
        <w:r>
          <w:rPr>
            <w:rStyle w:val="Hyperlink"/>
          </w:rPr>
          <w:t xml:space="preserve">https://www.gov.uk/government/publications/every-child-achieving-and-thriving/every-child-achieving-and-thriving-html-version</w:t>
        </w:r>
      </w:hyperlink>
      <w:r>
        <w:t xml:space="preserve">.</w:t>
      </w:r>
    </w:p>
    <w:bookmarkEnd w:id="135"/>
    <w:bookmarkStart w:id="137"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36">
        <w:r>
          <w:rPr>
            <w:rStyle w:val="Hyperlink"/>
          </w:rPr>
          <w:t xml:space="preserve">https://doi.org/10.1016/j.jth.2023.101605</w:t>
        </w:r>
      </w:hyperlink>
      <w:r>
        <w:t xml:space="preserve">.</w:t>
      </w:r>
    </w:p>
    <w:bookmarkEnd w:id="137"/>
    <w:bookmarkStart w:id="139"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8">
        <w:r>
          <w:rPr>
            <w:rStyle w:val="Hyperlink"/>
          </w:rPr>
          <w:t xml:space="preserve">https://doi.org/10.1002/berj.3992</w:t>
        </w:r>
      </w:hyperlink>
      <w:r>
        <w:t xml:space="preserve">.</w:t>
      </w:r>
    </w:p>
    <w:bookmarkEnd w:id="139"/>
    <w:bookmarkStart w:id="141"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40">
        <w:r>
          <w:rPr>
            <w:rStyle w:val="Hyperlink"/>
          </w:rPr>
          <w:t xml:space="preserve">https://doi.org/10.1093/ooec/odad029</w:t>
        </w:r>
      </w:hyperlink>
      <w:r>
        <w:t xml:space="preserve">.</w:t>
      </w:r>
    </w:p>
    <w:bookmarkEnd w:id="141"/>
    <w:bookmarkStart w:id="143"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42">
        <w:r>
          <w:rPr>
            <w:rStyle w:val="Hyperlink"/>
          </w:rPr>
          <w:t xml:space="preserve">https://doi.org/10.1186/1471-2458-13-1166</w:t>
        </w:r>
      </w:hyperlink>
      <w:r>
        <w:t xml:space="preserve">.</w:t>
      </w:r>
    </w:p>
    <w:bookmarkEnd w:id="143"/>
    <w:bookmarkStart w:id="145" w:name="ref-Fredriksen2004"/>
    <w:p>
      <w:pPr>
        <w:pStyle w:val="Bibliography"/>
      </w:pPr>
      <w:r>
        <w:t xml:space="preserve">Fredriksen, Katia, Jean Rhodes, Ranjini Reddy, and Niobe Way. 2004.</w:t>
      </w:r>
      <w:r>
        <w:t xml:space="preserve"> </w:t>
      </w:r>
      <w:r>
        <w:t xml:space="preserve">“Sleepless in</w:t>
      </w:r>
      <w:r>
        <w:t xml:space="preserve"> </w:t>
      </w:r>
      <w:r>
        <w:t xml:space="preserve">Chicago</w:t>
      </w:r>
      <w:r>
        <w:t xml:space="preserve">: Tracking the Effects of Adolescent Sleep Loss During the Middle School Years.”</w:t>
      </w:r>
      <w:r>
        <w:t xml:space="preserve"> </w:t>
      </w:r>
      <w:r>
        <w:rPr>
          <w:i/>
          <w:iCs/>
        </w:rPr>
        <w:t xml:space="preserve">Child Development</w:t>
      </w:r>
      <w:r>
        <w:t xml:space="preserve"> </w:t>
      </w:r>
      <w:r>
        <w:t xml:space="preserve">75 (1): 84–95.</w:t>
      </w:r>
      <w:r>
        <w:t xml:space="preserve"> </w:t>
      </w:r>
      <w:hyperlink r:id="rId144">
        <w:r>
          <w:rPr>
            <w:rStyle w:val="Hyperlink"/>
          </w:rPr>
          <w:t xml:space="preserve">https://doi.org/10.1111/j.1467-8624.2004.00655.x</w:t>
        </w:r>
      </w:hyperlink>
      <w:r>
        <w:t xml:space="preserve">.</w:t>
      </w:r>
    </w:p>
    <w:bookmarkEnd w:id="145"/>
    <w:bookmarkStart w:id="147"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46">
        <w:r>
          <w:rPr>
            <w:rStyle w:val="Hyperlink"/>
          </w:rPr>
          <w:t xml:space="preserve">https://cep.lse.ac.uk/_new/publications/abstract.asp?index=5752</w:t>
        </w:r>
      </w:hyperlink>
      <w:r>
        <w:t xml:space="preserve">.</w:t>
      </w:r>
    </w:p>
    <w:bookmarkEnd w:id="147"/>
    <w:bookmarkStart w:id="149"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8">
        <w:r>
          <w:rPr>
            <w:rStyle w:val="Hyperlink"/>
          </w:rPr>
          <w:t xml:space="preserve">https://doi.org/10.1002/berj.3297</w:t>
        </w:r>
      </w:hyperlink>
      <w:r>
        <w:t xml:space="preserve">.</w:t>
      </w:r>
    </w:p>
    <w:bookmarkEnd w:id="149"/>
    <w:bookmarkStart w:id="151"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50">
        <w:r>
          <w:rPr>
            <w:rStyle w:val="Hyperlink"/>
          </w:rPr>
          <w:t xml:space="preserve">https://doi.org/10.1177/2158244018825171</w:t>
        </w:r>
      </w:hyperlink>
      <w:r>
        <w:t xml:space="preserve">.</w:t>
      </w:r>
    </w:p>
    <w:bookmarkEnd w:id="151"/>
    <w:bookmarkStart w:id="153"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52">
        <w:r>
          <w:rPr>
            <w:rStyle w:val="Hyperlink"/>
          </w:rPr>
          <w:t xml:space="preserve">https://doi.org/10.3390/educsci15010006</w:t>
        </w:r>
      </w:hyperlink>
      <w:r>
        <w:t xml:space="preserve">.</w:t>
      </w:r>
    </w:p>
    <w:bookmarkEnd w:id="153"/>
    <w:bookmarkStart w:id="155"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54">
        <w:r>
          <w:rPr>
            <w:rStyle w:val="Hyperlink"/>
          </w:rPr>
          <w:t xml:space="preserve">https://opendocs.ids.ac.uk/articles/report/The_Contribution_of_Education_to_Economic_Growth/26453986/1</w:t>
        </w:r>
      </w:hyperlink>
      <w:r>
        <w:t xml:space="preserve">.</w:t>
      </w:r>
    </w:p>
    <w:bookmarkEnd w:id="155"/>
    <w:bookmarkStart w:id="157"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56">
        <w:r>
          <w:rPr>
            <w:rStyle w:val="Hyperlink"/>
          </w:rPr>
          <w:t xml:space="preserve">https://doi.org/10.1186/s12889-025-22847-5</w:t>
        </w:r>
      </w:hyperlink>
      <w:r>
        <w:t xml:space="preserve">.</w:t>
      </w:r>
    </w:p>
    <w:bookmarkEnd w:id="157"/>
    <w:bookmarkStart w:id="159"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8">
        <w:r>
          <w:rPr>
            <w:rStyle w:val="Hyperlink"/>
          </w:rPr>
          <w:t xml:space="preserve">https://doi.org/10.1016/j.psyneuen.2021.105371</w:t>
        </w:r>
      </w:hyperlink>
      <w:r>
        <w:t xml:space="preserve">.</w:t>
      </w:r>
    </w:p>
    <w:bookmarkEnd w:id="159"/>
    <w:bookmarkStart w:id="161"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60">
        <w:r>
          <w:rPr>
            <w:rStyle w:val="Hyperlink"/>
          </w:rPr>
          <w:t xml:space="preserve">https://www.nfer.ac.uk/publications/supporting-the-attainment-of-disadvantaged-pupils-articulating-success-and-good-practice/</w:t>
        </w:r>
      </w:hyperlink>
      <w:r>
        <w:t xml:space="preserve">.</w:t>
      </w:r>
    </w:p>
    <w:bookmarkEnd w:id="161"/>
    <w:bookmarkStart w:id="16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62">
        <w:r>
          <w:rPr>
            <w:rStyle w:val="Hyperlink"/>
          </w:rPr>
          <w:t xml:space="preserve">https://doi.org/10.14324/LRE.21.1.20</w:t>
        </w:r>
      </w:hyperlink>
      <w:r>
        <w:t xml:space="preserve">.</w:t>
      </w:r>
    </w:p>
    <w:bookmarkEnd w:id="163"/>
    <w:bookmarkStart w:id="16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64">
        <w:r>
          <w:rPr>
            <w:rStyle w:val="Hyperlink"/>
          </w:rPr>
          <w:t xml:space="preserve">https://doi.org/10.1111/pcn.13708</w:t>
        </w:r>
      </w:hyperlink>
      <w:r>
        <w:t xml:space="preserve">.</w:t>
      </w:r>
    </w:p>
    <w:bookmarkEnd w:id="165"/>
    <w:bookmarkStart w:id="16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66">
        <w:r>
          <w:rPr>
            <w:rStyle w:val="Hyperlink"/>
          </w:rPr>
          <w:t xml:space="preserve">https://doi.org/10.1265/ehpm.25-00089</w:t>
        </w:r>
      </w:hyperlink>
      <w:r>
        <w:t xml:space="preserve">.</w:t>
      </w:r>
    </w:p>
    <w:bookmarkEnd w:id="167"/>
    <w:bookmarkStart w:id="16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68">
        <w:r>
          <w:rPr>
            <w:rStyle w:val="Hyperlink"/>
          </w:rPr>
          <w:t xml:space="preserve">https://doi.org/10.3109/07420528.2013.826238</w:t>
        </w:r>
      </w:hyperlink>
      <w:r>
        <w:t xml:space="preserve">.</w:t>
      </w:r>
    </w:p>
    <w:bookmarkEnd w:id="169"/>
    <w:bookmarkStart w:id="17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0">
        <w:r>
          <w:rPr>
            <w:rStyle w:val="Hyperlink"/>
          </w:rPr>
          <w:t xml:space="preserve">https://doi.org/10.1007/s41105-017-0086-x</w:t>
        </w:r>
      </w:hyperlink>
      <w:r>
        <w:t xml:space="preserve">.</w:t>
      </w:r>
    </w:p>
    <w:bookmarkEnd w:id="171"/>
    <w:bookmarkStart w:id="173"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2">
        <w:r>
          <w:rPr>
            <w:rStyle w:val="Hyperlink"/>
          </w:rPr>
          <w:t xml:space="preserve">https://www.gov.uk/government/publications/against-the-odds</w:t>
        </w:r>
      </w:hyperlink>
      <w:r>
        <w:t xml:space="preserve">.</w:t>
      </w:r>
    </w:p>
    <w:bookmarkEnd w:id="173"/>
    <w:bookmarkStart w:id="175"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74">
        <w:r>
          <w:rPr>
            <w:rStyle w:val="Hyperlink"/>
          </w:rPr>
          <w:t xml:space="preserve">https://www.gov.uk/government/publications/examining-the-london-advantage-in-attainment-evidence-from-lsype</w:t>
        </w:r>
      </w:hyperlink>
      <w:r>
        <w:t xml:space="preserve">.</w:t>
      </w:r>
    </w:p>
    <w:bookmarkEnd w:id="175"/>
    <w:bookmarkStart w:id="176"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76"/>
    <w:bookmarkStart w:id="178"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77">
        <w:r>
          <w:rPr>
            <w:rStyle w:val="Hyperlink"/>
          </w:rPr>
          <w:t xml:space="preserve">https://doi.org/10.1080/01425692.2025.2474040</w:t>
        </w:r>
      </w:hyperlink>
      <w:r>
        <w:t xml:space="preserve">.</w:t>
      </w:r>
    </w:p>
    <w:bookmarkEnd w:id="178"/>
    <w:bookmarkStart w:id="180"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79">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80"/>
    <w:bookmarkStart w:id="182"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81">
        <w:r>
          <w:rPr>
            <w:rStyle w:val="Hyperlink"/>
          </w:rPr>
          <w:t xml:space="preserve">https://doi.org/10.1007/978-3-031-98300-9_17</w:t>
        </w:r>
      </w:hyperlink>
      <w:r>
        <w:t xml:space="preserve">.</w:t>
      </w:r>
    </w:p>
    <w:bookmarkEnd w:id="182"/>
    <w:bookmarkStart w:id="18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83">
        <w:r>
          <w:rPr>
            <w:rStyle w:val="Hyperlink"/>
          </w:rPr>
          <w:t xml:space="preserve">https://ffteducationdatalab.org.uk/2023/11/are-pupils-who-live-further-away-from-their-school-absent-more-often/</w:t>
        </w:r>
      </w:hyperlink>
      <w:r>
        <w:t xml:space="preserve">.</w:t>
      </w:r>
    </w:p>
    <w:bookmarkEnd w:id="184"/>
    <w:bookmarkStart w:id="18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85">
        <w:r>
          <w:rPr>
            <w:rStyle w:val="Hyperlink"/>
          </w:rPr>
          <w:t xml:space="preserve">https://epi.org.uk/annual-report-2023/</w:t>
        </w:r>
      </w:hyperlink>
      <w:r>
        <w:t xml:space="preserve">.</w:t>
      </w:r>
    </w:p>
    <w:bookmarkEnd w:id="186"/>
    <w:bookmarkStart w:id="188"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87">
        <w:r>
          <w:rPr>
            <w:rStyle w:val="Hyperlink"/>
          </w:rPr>
          <w:t xml:space="preserve">https://doi.org/10.1177/0739456X17725148</w:t>
        </w:r>
      </w:hyperlink>
      <w:r>
        <w:t xml:space="preserve">.</w:t>
      </w:r>
    </w:p>
    <w:bookmarkEnd w:id="188"/>
    <w:bookmarkStart w:id="190"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89">
        <w:r>
          <w:rPr>
            <w:rStyle w:val="Hyperlink"/>
          </w:rPr>
          <w:t xml:space="preserve">https://doi.org/10.1016/j.sleep.2018.12.004</w:t>
        </w:r>
      </w:hyperlink>
      <w:r>
        <w:t xml:space="preserve">.</w:t>
      </w:r>
    </w:p>
    <w:bookmarkEnd w:id="190"/>
    <w:bookmarkStart w:id="192"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91">
        <w:r>
          <w:rPr>
            <w:rStyle w:val="Hyperlink"/>
          </w:rPr>
          <w:t xml:space="preserve">https://epi.org.uk/publications-and-research/the-influence-of-headteachers-on-their-schools/</w:t>
        </w:r>
      </w:hyperlink>
      <w:r>
        <w:t xml:space="preserve">.</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p>
  </w:footnote>
  <w:footnote w:id="32">
    <w:p>
      <w:pPr>
        <w:pStyle w:val="FootnoteText"/>
      </w:pPr>
      <w:r>
        <w:rPr>
          <w:rStyle w:val="FootnoteReference"/>
        </w:rPr>
        <w:footnoteRef/>
      </w:r>
      <w:r>
        <w:t xml:space="preserve"> </w:t>
      </w:r>
      <w:r>
        <w:t xml:space="preserve">See data overview for details</w:t>
      </w:r>
      <w:r>
        <w:t xml:space="preserve"> </w:t>
      </w:r>
      <w:hyperlink r:id="rId33">
        <w:r>
          <w:rPr>
            <w:rStyle w:val="Hyperlink"/>
          </w:rPr>
          <w:t xml:space="preserve">https://adamdennett.github.io/school_attainment_tool/data_overview.html</w:t>
        </w:r>
      </w:hyperlink>
    </w:p>
  </w:footnote>
  <w:footnote w:id="43">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4">
    <w:p>
      <w:pPr>
        <w:pStyle w:val="FootnoteText"/>
      </w:pPr>
      <w:r>
        <w:rPr>
          <w:rStyle w:val="FootnoteReference"/>
        </w:rPr>
        <w:footnoteRef/>
      </w:r>
      <w:r>
        <w:t xml:space="preserve"> </w:t>
      </w:r>
      <w:r>
        <w:t xml:space="preserve">Stepwise Models for all pupil groups</w:t>
      </w:r>
      <w:r>
        <w:t xml:space="preserve"> </w:t>
      </w:r>
      <w:hyperlink r:id="rId45">
        <w:r>
          <w:rPr>
            <w:rStyle w:val="Hyperlink"/>
          </w:rPr>
          <w:t xml:space="preserve">https://adamdennett.github.io/school_attainment_tool/model_results.html#stepwise-model-building</w:t>
        </w:r>
      </w:hyperlink>
    </w:p>
  </w:footnote>
  <w:footnote w:id="46">
    <w:p>
      <w:pPr>
        <w:pStyle w:val="FootnoteText"/>
      </w:pPr>
      <w:r>
        <w:rPr>
          <w:rStyle w:val="FootnoteReference"/>
        </w:rPr>
        <w:footnoteRef/>
      </w:r>
      <w:r>
        <w:t xml:space="preserve"> </w:t>
      </w:r>
      <w:r>
        <w:t xml:space="preserve">See supplementary material for robustness checks:</w:t>
      </w:r>
      <w:r>
        <w:t xml:space="preserve"> </w:t>
      </w:r>
      <w:hyperlink r:id="rId47">
        <w:r>
          <w:rPr>
            <w:rStyle w:val="Hyperlink"/>
          </w:rPr>
          <w:t xml:space="preserve">https://adamdennett.github.io/school_attainment_tool/model_experiments.html</w:t>
        </w:r>
      </w:hyperlink>
    </w:p>
  </w:footnote>
  <w:footnote w:id="48">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9">
        <w:r>
          <w:rPr>
            <w:rStyle w:val="Hyperlink"/>
          </w:rPr>
          <w:t xml:space="preserve">https://adamdennett.github.io/BH_Schools_Consultation/absence.html#trick-or-treatment</w:t>
        </w:r>
      </w:hyperlink>
    </w:p>
  </w:footnote>
  <w:footnote w:id="73">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74">
        <w:r>
          <w:rPr>
            <w:rStyle w:val="Hyperlink"/>
          </w:rPr>
          <w:t xml:space="preserve">https://adamdennett.github.io/school_attainment_tool/model_experiments.html#sec-two-stage-absence</w:t>
        </w:r>
      </w:hyperlink>
    </w:p>
  </w:footnote>
  <w:footnote w:id="81">
    <w:p>
      <w:pPr>
        <w:pStyle w:val="FootnoteText"/>
      </w:pPr>
      <w:r>
        <w:rPr>
          <w:rStyle w:val="FootnoteReference"/>
        </w:rPr>
        <w:footnoteRef/>
      </w:r>
      <w:r>
        <w:t xml:space="preserve"> </w:t>
      </w:r>
      <w:r>
        <w:t xml:space="preserve">Brighton and Hove Council 2024 Consultation Papers can be downloaded from here:</w:t>
      </w:r>
      <w:r>
        <w:t xml:space="preserve"> </w:t>
      </w:r>
      <w:hyperlink r:id="rId82">
        <w:r>
          <w:rPr>
            <w:rStyle w:val="Hyperlink"/>
          </w:rPr>
          <w:t xml:space="preserve">https://yourvoice.brighton-hove.gov.uk/en-GB/projects/school-admission-arrangements-public-consultation/1</w:t>
        </w:r>
      </w:hyperlink>
    </w:p>
  </w:footnote>
  <w:footnote w:id="84">
    <w:p>
      <w:pPr>
        <w:pStyle w:val="FootnoteText"/>
      </w:pPr>
      <w:r>
        <w:rPr>
          <w:rStyle w:val="FootnoteReference"/>
        </w:rPr>
        <w:footnoteRef/>
      </w:r>
      <w:r>
        <w:t xml:space="preserve"> </w:t>
      </w:r>
      <w:r>
        <w:t xml:space="preserve">Slides available on the Brighton and Hove City Council Website here</w:t>
      </w:r>
      <w:r>
        <w:t xml:space="preserve"> </w:t>
      </w:r>
      <w:hyperlink r:id="rId85">
        <w:r>
          <w:rPr>
            <w:rStyle w:val="Hyperlink"/>
          </w:rPr>
          <w:t xml:space="preserve">https://yourvoice.brighton-hove.gov.uk/en-GB/projects/secondary-school-engagement-exercise/1</w:t>
        </w:r>
      </w:hyperlink>
    </w:p>
  </w:footnote>
  <w:footnote w:id="88">
    <w:p>
      <w:pPr>
        <w:pStyle w:val="FootnoteText"/>
      </w:pPr>
      <w:r>
        <w:rPr>
          <w:rStyle w:val="FootnoteReference"/>
        </w:rPr>
        <w:footnoteRef/>
      </w:r>
      <w:r>
        <w:t xml:space="preserve"> </w:t>
      </w:r>
      <w:hyperlink r:id="rId89">
        <w:r>
          <w:rPr>
            <w:rStyle w:val="Hyperlink"/>
          </w:rPr>
          <w:t xml:space="preserve">https://educationequity.kit.com/</w:t>
        </w:r>
      </w:hyperlink>
    </w:p>
  </w:footnote>
  <w:footnote w:id="90">
    <w:p>
      <w:pPr>
        <w:pStyle w:val="FootnoteText"/>
      </w:pPr>
      <w:r>
        <w:rPr>
          <w:rStyle w:val="FootnoteReference"/>
        </w:rPr>
        <w:footnoteRef/>
      </w:r>
      <w:r>
        <w:t xml:space="preserve"> </w:t>
      </w:r>
      <w:hyperlink r:id="rId91">
        <w:r>
          <w:rPr>
            <w:rStyle w:val="Hyperlink"/>
          </w:rPr>
          <w:t xml:space="preserve">https://www.classdivide.co.uk/</w:t>
        </w:r>
      </w:hyperlink>
    </w:p>
  </w:footnote>
  <w:footnote w:id="92">
    <w:p>
      <w:pPr>
        <w:pStyle w:val="FootnoteText"/>
      </w:pPr>
      <w:r>
        <w:rPr>
          <w:rStyle w:val="FootnoteReference"/>
        </w:rPr>
        <w:footnoteRef/>
      </w:r>
      <w:r>
        <w:t xml:space="preserve"> </w:t>
      </w:r>
      <w:hyperlink r:id="rId93">
        <w:r>
          <w:rPr>
            <w:rStyle w:val="Hyperlink"/>
          </w:rPr>
          <w:t xml:space="preserve">https://reports.ofsted.gov.uk/provider/23/136164</w:t>
        </w:r>
      </w:hyperlink>
    </w:p>
  </w:footnote>
  <w:footnote w:id="98">
    <w:p>
      <w:pPr>
        <w:pStyle w:val="FootnoteText"/>
      </w:pPr>
      <w:r>
        <w:rPr>
          <w:rStyle w:val="FootnoteReference"/>
        </w:rPr>
        <w:footnoteRef/>
      </w:r>
      <w:r>
        <w:t xml:space="preserve"> </w:t>
      </w:r>
      <w:r>
        <w:t xml:space="preserve">School Attainment Policy Simulator:</w:t>
      </w:r>
      <w:r>
        <w:t xml:space="preserve"> </w:t>
      </w:r>
      <w:hyperlink r:id="rId99">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75" Target="media/rId75.png" /><Relationship Type="http://schemas.openxmlformats.org/officeDocument/2006/relationships/image" Id="rId39" Target="media/rId39.png" /><Relationship Type="http://schemas.openxmlformats.org/officeDocument/2006/relationships/hyperlink" Id="rId9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74" Target="https://adamdennett.github.io/school_attainment_tool/model_experiments.html#sec-two-stage-absence"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46" Target="https://cep.lse.ac.uk/_new/publications/abstract.asp?index=5752" TargetMode="External" /><Relationship Type="http://schemas.openxmlformats.org/officeDocument/2006/relationships/hyperlink" Id="rId124" Target="https://committees.parliament.uk/committee/203/education-committee/news/156024/forgotten-white-workingclass-pupils-let-down-by-decades-of-neglect-mps-say/" TargetMode="External" /><Relationship Type="http://schemas.openxmlformats.org/officeDocument/2006/relationships/hyperlink" Id="rId148" Target="https://doi.org/10.1002/berj.3297" TargetMode="External" /><Relationship Type="http://schemas.openxmlformats.org/officeDocument/2006/relationships/hyperlink" Id="rId138" Target="https://doi.org/10.1002/berj.3992" TargetMode="External" /><Relationship Type="http://schemas.openxmlformats.org/officeDocument/2006/relationships/hyperlink" Id="rId181" Target="https://doi.org/10.1007/978-3-031-98300-9_17" TargetMode="External" /><Relationship Type="http://schemas.openxmlformats.org/officeDocument/2006/relationships/hyperlink" Id="rId170" Target="https://doi.org/10.1007/s41105-017-0086-x" TargetMode="External" /><Relationship Type="http://schemas.openxmlformats.org/officeDocument/2006/relationships/hyperlink" Id="rId118" Target="https://doi.org/10.1016/j.econedurev.2023.102405" TargetMode="External" /><Relationship Type="http://schemas.openxmlformats.org/officeDocument/2006/relationships/hyperlink" Id="rId136" Target="https://doi.org/10.1016/j.jth.2023.101605" TargetMode="External" /><Relationship Type="http://schemas.openxmlformats.org/officeDocument/2006/relationships/hyperlink" Id="rId158" Target="https://doi.org/10.1016/j.psyneuen.2021.105371" TargetMode="External" /><Relationship Type="http://schemas.openxmlformats.org/officeDocument/2006/relationships/hyperlink" Id="rId189" Target="https://doi.org/10.1016/j.sleep.2018.12.004" TargetMode="External" /><Relationship Type="http://schemas.openxmlformats.org/officeDocument/2006/relationships/hyperlink" Id="rId177" Target="https://doi.org/10.1080/01425692.2025.2474040" TargetMode="External" /><Relationship Type="http://schemas.openxmlformats.org/officeDocument/2006/relationships/hyperlink" Id="rId112" Target="https://doi.org/10.1080/0305764X.2024.2420611" TargetMode="External" /><Relationship Type="http://schemas.openxmlformats.org/officeDocument/2006/relationships/hyperlink" Id="rId108" Target="https://doi.org/10.1080/09645292.2017.1366425" TargetMode="External" /><Relationship Type="http://schemas.openxmlformats.org/officeDocument/2006/relationships/hyperlink" Id="rId140" Target="https://doi.org/10.1093/ooec/odad029" TargetMode="External" /><Relationship Type="http://schemas.openxmlformats.org/officeDocument/2006/relationships/hyperlink" Id="rId144" Target="https://doi.org/10.1111/j.1467-8624.2004.00655.x" TargetMode="External" /><Relationship Type="http://schemas.openxmlformats.org/officeDocument/2006/relationships/hyperlink" Id="rId110" Target="https://doi.org/10.1111/j.1475-5661.2012.00511.x" TargetMode="External" /><Relationship Type="http://schemas.openxmlformats.org/officeDocument/2006/relationships/hyperlink" Id="rId164" Target="https://doi.org/10.1111/pcn.13708" TargetMode="External" /><Relationship Type="http://schemas.openxmlformats.org/officeDocument/2006/relationships/hyperlink" Id="rId116" Target="https://doi.org/10.1177/0308518X18787820" TargetMode="External" /><Relationship Type="http://schemas.openxmlformats.org/officeDocument/2006/relationships/hyperlink" Id="rId187" Target="https://doi.org/10.1177/0739456X17725148" TargetMode="External" /><Relationship Type="http://schemas.openxmlformats.org/officeDocument/2006/relationships/hyperlink" Id="rId150" Target="https://doi.org/10.1177/2158244018825171" TargetMode="External" /><Relationship Type="http://schemas.openxmlformats.org/officeDocument/2006/relationships/hyperlink" Id="rId142" Target="https://doi.org/10.1186/1471-2458-13-1166" TargetMode="External" /><Relationship Type="http://schemas.openxmlformats.org/officeDocument/2006/relationships/hyperlink" Id="rId156" Target="https://doi.org/10.1186/s12889-025-22847-5" TargetMode="External" /><Relationship Type="http://schemas.openxmlformats.org/officeDocument/2006/relationships/hyperlink" Id="rId166" Target="https://doi.org/10.1265/ehpm.25-00089" TargetMode="External" /><Relationship Type="http://schemas.openxmlformats.org/officeDocument/2006/relationships/hyperlink" Id="rId122" Target="https://doi.org/10.1371/journal.pone.0314687" TargetMode="External" /><Relationship Type="http://schemas.openxmlformats.org/officeDocument/2006/relationships/hyperlink" Id="rId162" Target="https://doi.org/10.14324/LRE.21.1.20" TargetMode="External" /><Relationship Type="http://schemas.openxmlformats.org/officeDocument/2006/relationships/hyperlink" Id="rId126" Target="https://doi.org/10.3102/01623737221092450" TargetMode="External" /><Relationship Type="http://schemas.openxmlformats.org/officeDocument/2006/relationships/hyperlink" Id="rId168" Target="https://doi.org/10.3109/07420528.2013.826238" TargetMode="External" /><Relationship Type="http://schemas.openxmlformats.org/officeDocument/2006/relationships/hyperlink" Id="rId152" Target="https://doi.org/10.3390/educsci15010006" TargetMode="External" /><Relationship Type="http://schemas.openxmlformats.org/officeDocument/2006/relationships/hyperlink" Id="rId89" Target="https://educationequity.kit.com/" TargetMode="External" /><Relationship Type="http://schemas.openxmlformats.org/officeDocument/2006/relationships/hyperlink" Id="rId185" Target="https://epi.org.uk/annual-report-2023/" TargetMode="External" /><Relationship Type="http://schemas.openxmlformats.org/officeDocument/2006/relationships/hyperlink" Id="rId191" Target="https://epi.org.uk/publications-and-research/the-influence-of-headteachers-on-their-schools/" TargetMode="External" /><Relationship Type="http://schemas.openxmlformats.org/officeDocument/2006/relationships/hyperlink" Id="rId132" Target="https://explore-education-statistics.service.gov.uk/find-statistics/pupil-absence-in-schools-in-england/2024-25-autumn-and-spring-term" TargetMode="External" /><Relationship Type="http://schemas.openxmlformats.org/officeDocument/2006/relationships/hyperlink" Id="rId128" Target="https://explore-education-statistics.service.gov.uk/find-statistics/the-link-between-absence-and-attainment-at-ks2-and-ks4/2018-19" TargetMode="External" /><Relationship Type="http://schemas.openxmlformats.org/officeDocument/2006/relationships/hyperlink" Id="rId183" Target="https://ffteducationdatalab.org.uk/2023/11/are-pupils-who-live-further-away-from-their-school-absent-more-often/" TargetMode="External" /><Relationship Type="http://schemas.openxmlformats.org/officeDocument/2006/relationships/hyperlink" Id="rId154" Target="https://opendocs.ids.ac.uk/articles/report/The_Contribution_of_Education_to_Economic_Growth/26453986/1" TargetMode="External" /><Relationship Type="http://schemas.openxmlformats.org/officeDocument/2006/relationships/hyperlink" Id="rId93"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1" Target="https://www.classdivide.co.uk/" TargetMode="External" /><Relationship Type="http://schemas.openxmlformats.org/officeDocument/2006/relationships/hyperlink" Id="rId172" Target="https://www.gov.uk/government/publications/against-the-odds" TargetMode="External" /><Relationship Type="http://schemas.openxmlformats.org/officeDocument/2006/relationships/hyperlink" Id="rId134" Target="https://www.gov.uk/government/publications/every-child-achieving-and-thriving/every-child-achieving-and-thriving-html-version" TargetMode="External" /><Relationship Type="http://schemas.openxmlformats.org/officeDocument/2006/relationships/hyperlink" Id="rId174" Target="https://www.gov.uk/government/publications/examining-the-london-advantage-in-attainment-evidence-from-lsype" TargetMode="External" /><Relationship Type="http://schemas.openxmlformats.org/officeDocument/2006/relationships/hyperlink" Id="rId130" Target="https://www.gov.uk/government/publications/link-between-attendance-and-attainment" TargetMode="External" /><Relationship Type="http://schemas.openxmlformats.org/officeDocument/2006/relationships/hyperlink" Id="rId17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0" Target="https://www.nfer.ac.uk/publications/supporting-the-attainment-of-disadvantaged-pupils-articulating-success-and-good-practice/" TargetMode="External" /><Relationship Type="http://schemas.openxmlformats.org/officeDocument/2006/relationships/hyperlink" Id="rId120" Target="https://www.nuffieldfoundation.org/project/characterising-effective-teaching-2" TargetMode="External" /><Relationship Type="http://schemas.openxmlformats.org/officeDocument/2006/relationships/hyperlink" Id="rId114" Target="https://www.urban.org/sites/default/files/publication/99027/time_to_school_and_student_outcomes_in_dc_1.pdf" TargetMode="External" /><Relationship Type="http://schemas.openxmlformats.org/officeDocument/2006/relationships/hyperlink" Id="rId82" Target="https://yourvoice.brighton-hove.gov.uk/en-GB/projects/school-admission-arrangements-public-consultation/1" TargetMode="External" /><Relationship Type="http://schemas.openxmlformats.org/officeDocument/2006/relationships/hyperlink" Id="rId85"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9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74" Target="https://adamdennett.github.io/school_attainment_tool/model_experiments.html#sec-two-stage-absence"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46" Target="https://cep.lse.ac.uk/_new/publications/abstract.asp?index=5752" TargetMode="External" /><Relationship Type="http://schemas.openxmlformats.org/officeDocument/2006/relationships/hyperlink" Id="rId124" Target="https://committees.parliament.uk/committee/203/education-committee/news/156024/forgotten-white-workingclass-pupils-let-down-by-decades-of-neglect-mps-say/" TargetMode="External" /><Relationship Type="http://schemas.openxmlformats.org/officeDocument/2006/relationships/hyperlink" Id="rId148" Target="https://doi.org/10.1002/berj.3297" TargetMode="External" /><Relationship Type="http://schemas.openxmlformats.org/officeDocument/2006/relationships/hyperlink" Id="rId138" Target="https://doi.org/10.1002/berj.3992" TargetMode="External" /><Relationship Type="http://schemas.openxmlformats.org/officeDocument/2006/relationships/hyperlink" Id="rId181" Target="https://doi.org/10.1007/978-3-031-98300-9_17" TargetMode="External" /><Relationship Type="http://schemas.openxmlformats.org/officeDocument/2006/relationships/hyperlink" Id="rId170" Target="https://doi.org/10.1007/s41105-017-0086-x" TargetMode="External" /><Relationship Type="http://schemas.openxmlformats.org/officeDocument/2006/relationships/hyperlink" Id="rId118" Target="https://doi.org/10.1016/j.econedurev.2023.102405" TargetMode="External" /><Relationship Type="http://schemas.openxmlformats.org/officeDocument/2006/relationships/hyperlink" Id="rId136" Target="https://doi.org/10.1016/j.jth.2023.101605" TargetMode="External" /><Relationship Type="http://schemas.openxmlformats.org/officeDocument/2006/relationships/hyperlink" Id="rId158" Target="https://doi.org/10.1016/j.psyneuen.2021.105371" TargetMode="External" /><Relationship Type="http://schemas.openxmlformats.org/officeDocument/2006/relationships/hyperlink" Id="rId189" Target="https://doi.org/10.1016/j.sleep.2018.12.004" TargetMode="External" /><Relationship Type="http://schemas.openxmlformats.org/officeDocument/2006/relationships/hyperlink" Id="rId177" Target="https://doi.org/10.1080/01425692.2025.2474040" TargetMode="External" /><Relationship Type="http://schemas.openxmlformats.org/officeDocument/2006/relationships/hyperlink" Id="rId112" Target="https://doi.org/10.1080/0305764X.2024.2420611" TargetMode="External" /><Relationship Type="http://schemas.openxmlformats.org/officeDocument/2006/relationships/hyperlink" Id="rId108" Target="https://doi.org/10.1080/09645292.2017.1366425" TargetMode="External" /><Relationship Type="http://schemas.openxmlformats.org/officeDocument/2006/relationships/hyperlink" Id="rId140" Target="https://doi.org/10.1093/ooec/odad029" TargetMode="External" /><Relationship Type="http://schemas.openxmlformats.org/officeDocument/2006/relationships/hyperlink" Id="rId144" Target="https://doi.org/10.1111/j.1467-8624.2004.00655.x" TargetMode="External" /><Relationship Type="http://schemas.openxmlformats.org/officeDocument/2006/relationships/hyperlink" Id="rId110" Target="https://doi.org/10.1111/j.1475-5661.2012.00511.x" TargetMode="External" /><Relationship Type="http://schemas.openxmlformats.org/officeDocument/2006/relationships/hyperlink" Id="rId164" Target="https://doi.org/10.1111/pcn.13708" TargetMode="External" /><Relationship Type="http://schemas.openxmlformats.org/officeDocument/2006/relationships/hyperlink" Id="rId116" Target="https://doi.org/10.1177/0308518X18787820" TargetMode="External" /><Relationship Type="http://schemas.openxmlformats.org/officeDocument/2006/relationships/hyperlink" Id="rId187" Target="https://doi.org/10.1177/0739456X17725148" TargetMode="External" /><Relationship Type="http://schemas.openxmlformats.org/officeDocument/2006/relationships/hyperlink" Id="rId150" Target="https://doi.org/10.1177/2158244018825171" TargetMode="External" /><Relationship Type="http://schemas.openxmlformats.org/officeDocument/2006/relationships/hyperlink" Id="rId142" Target="https://doi.org/10.1186/1471-2458-13-1166" TargetMode="External" /><Relationship Type="http://schemas.openxmlformats.org/officeDocument/2006/relationships/hyperlink" Id="rId156" Target="https://doi.org/10.1186/s12889-025-22847-5" TargetMode="External" /><Relationship Type="http://schemas.openxmlformats.org/officeDocument/2006/relationships/hyperlink" Id="rId166" Target="https://doi.org/10.1265/ehpm.25-00089" TargetMode="External" /><Relationship Type="http://schemas.openxmlformats.org/officeDocument/2006/relationships/hyperlink" Id="rId122" Target="https://doi.org/10.1371/journal.pone.0314687" TargetMode="External" /><Relationship Type="http://schemas.openxmlformats.org/officeDocument/2006/relationships/hyperlink" Id="rId162" Target="https://doi.org/10.14324/LRE.21.1.20" TargetMode="External" /><Relationship Type="http://schemas.openxmlformats.org/officeDocument/2006/relationships/hyperlink" Id="rId126" Target="https://doi.org/10.3102/01623737221092450" TargetMode="External" /><Relationship Type="http://schemas.openxmlformats.org/officeDocument/2006/relationships/hyperlink" Id="rId168" Target="https://doi.org/10.3109/07420528.2013.826238" TargetMode="External" /><Relationship Type="http://schemas.openxmlformats.org/officeDocument/2006/relationships/hyperlink" Id="rId152" Target="https://doi.org/10.3390/educsci15010006" TargetMode="External" /><Relationship Type="http://schemas.openxmlformats.org/officeDocument/2006/relationships/hyperlink" Id="rId89" Target="https://educationequity.kit.com/" TargetMode="External" /><Relationship Type="http://schemas.openxmlformats.org/officeDocument/2006/relationships/hyperlink" Id="rId185" Target="https://epi.org.uk/annual-report-2023/" TargetMode="External" /><Relationship Type="http://schemas.openxmlformats.org/officeDocument/2006/relationships/hyperlink" Id="rId191" Target="https://epi.org.uk/publications-and-research/the-influence-of-headteachers-on-their-schools/" TargetMode="External" /><Relationship Type="http://schemas.openxmlformats.org/officeDocument/2006/relationships/hyperlink" Id="rId132" Target="https://explore-education-statistics.service.gov.uk/find-statistics/pupil-absence-in-schools-in-england/2024-25-autumn-and-spring-term" TargetMode="External" /><Relationship Type="http://schemas.openxmlformats.org/officeDocument/2006/relationships/hyperlink" Id="rId128" Target="https://explore-education-statistics.service.gov.uk/find-statistics/the-link-between-absence-and-attainment-at-ks2-and-ks4/2018-19" TargetMode="External" /><Relationship Type="http://schemas.openxmlformats.org/officeDocument/2006/relationships/hyperlink" Id="rId183" Target="https://ffteducationdatalab.org.uk/2023/11/are-pupils-who-live-further-away-from-their-school-absent-more-often/" TargetMode="External" /><Relationship Type="http://schemas.openxmlformats.org/officeDocument/2006/relationships/hyperlink" Id="rId154" Target="https://opendocs.ids.ac.uk/articles/report/The_Contribution_of_Education_to_Economic_Growth/26453986/1" TargetMode="External" /><Relationship Type="http://schemas.openxmlformats.org/officeDocument/2006/relationships/hyperlink" Id="rId93" Target="https://reports.ofsted.gov.uk/provider/23/136164" TargetMode="External" /><Relationship Type="http://schemas.openxmlformats.org/officeDocument/2006/relationships/hyperlink" Id="rId52"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91" Target="https://www.classdivide.co.uk/" TargetMode="External" /><Relationship Type="http://schemas.openxmlformats.org/officeDocument/2006/relationships/hyperlink" Id="rId172" Target="https://www.gov.uk/government/publications/against-the-odds" TargetMode="External" /><Relationship Type="http://schemas.openxmlformats.org/officeDocument/2006/relationships/hyperlink" Id="rId134" Target="https://www.gov.uk/government/publications/every-child-achieving-and-thriving/every-child-achieving-and-thriving-html-version" TargetMode="External" /><Relationship Type="http://schemas.openxmlformats.org/officeDocument/2006/relationships/hyperlink" Id="rId174" Target="https://www.gov.uk/government/publications/examining-the-london-advantage-in-attainment-evidence-from-lsype" TargetMode="External" /><Relationship Type="http://schemas.openxmlformats.org/officeDocument/2006/relationships/hyperlink" Id="rId130" Target="https://www.gov.uk/government/publications/link-between-attendance-and-attainment" TargetMode="External" /><Relationship Type="http://schemas.openxmlformats.org/officeDocument/2006/relationships/hyperlink" Id="rId17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60" Target="https://www.nfer.ac.uk/publications/supporting-the-attainment-of-disadvantaged-pupils-articulating-success-and-good-practice/" TargetMode="External" /><Relationship Type="http://schemas.openxmlformats.org/officeDocument/2006/relationships/hyperlink" Id="rId120" Target="https://www.nuffieldfoundation.org/project/characterising-effective-teaching-2" TargetMode="External" /><Relationship Type="http://schemas.openxmlformats.org/officeDocument/2006/relationships/hyperlink" Id="rId114" Target="https://www.urban.org/sites/default/files/publication/99027/time_to_school_and_student_outcomes_in_dc_1.pdf" TargetMode="External" /><Relationship Type="http://schemas.openxmlformats.org/officeDocument/2006/relationships/hyperlink" Id="rId82" Target="https://yourvoice.brighton-hove.gov.uk/en-GB/projects/school-admission-arrangements-public-consultation/1" TargetMode="External" /><Relationship Type="http://schemas.openxmlformats.org/officeDocument/2006/relationships/hyperlink" Id="rId85"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dc:creator>
  <cp:keywords>school attainment, education policy, school absence, disadvantage gap, multilevel modelling, open data</cp:keywords>
  <dcterms:created xsi:type="dcterms:W3CDTF">2026-04-30T08:31:21Z</dcterms:created>
  <dcterms:modified xsi:type="dcterms:W3CDTF">2026-04-30T08:31:21Z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could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2026-04-30</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