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50.png" ContentType="image/png"/>
  <Override PartName="/word/media/rId55.png" ContentType="image/png"/>
  <Override PartName="/word/media/rId6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Pulling the Wrong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Natasha Priest</w:t>
      </w:r>
    </w:p>
    <w:p>
      <w:pPr>
        <w:pStyle w:val="Author"/>
      </w:pPr>
      <w:r>
        <w:t xml:space="preserve">Tom Harrison</w:t>
      </w:r>
    </w:p>
    <w:p>
      <w:pPr>
        <w:pStyle w:val="Author"/>
      </w:pPr>
      <w:r>
        <w:t xml:space="preserve">Dan Campbell-Meiklejohn</w:t>
      </w:r>
    </w:p>
    <w:p>
      <w:pPr>
        <w:pStyle w:val="Date"/>
      </w:pPr>
      <w:r>
        <w:t xml:space="preserve">2026-04-08</w:t>
      </w:r>
    </w:p>
    <w:p>
      <w:pPr>
        <w:pStyle w:val="AbstractTitle"/>
      </w:pPr>
      <w:r>
        <w:t xml:space="preserve">Abstract</w:t>
      </w:r>
    </w:p>
    <w:p>
      <w:pPr>
        <w:pStyle w:val="Abstract"/>
      </w:pPr>
      <w:r>
        <w:t xml:space="preserve">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w:t>
      </w:r>
      <w:r>
        <w:t xml:space="preserve"> </w:t>
      </w:r>
      <w:r>
        <w:t xml:space="preserve">‘driven by economic advantage’</w:t>
      </w:r>
      <w:r>
        <w:t xml:space="preserv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a flawed understanding of local attainment drivers.</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premised on the belief that attainment in the city was</w:t>
      </w:r>
      <w:r>
        <w:t xml:space="preserve"> </w:t>
      </w:r>
      <w:r>
        <w:t xml:space="preserve">‘driven by economic advantage’</w:t>
      </w:r>
      <w:r>
        <w:t xml:space="preserve"> </w:t>
      </w:r>
      <w:r>
        <w:t xml:space="preserve">and that redistributing pupils would narrow the attainment gap. Or at least this was how it was presented to parents in the city at public meetings ahead of the statutory consultation.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Detailed data and analytics about the particular local situation were not available at the time and could not be used to contribute to the debate. Some rapidly produced analysis was put into the public domain by some of the authors of this paper</w:t>
      </w:r>
      <w:r>
        <w:rPr>
          <w:rStyle w:val="FootnoteReference"/>
        </w:rPr>
        <w:footnoteReference w:id="20"/>
      </w:r>
      <w:r>
        <w:t xml:space="preserve">, but this was too little too late and produced as a response to, rather than contributing to, the creation of policy. We (the citizens of Brighton and Hove, including the local councillors developing policy) didn’t know it at the time, but the City is one of the best performing Local Education Authorities in the Country for both disadvantaged (7th out of 152) and non-disadvantaged (5th out of 152) GCSE attainment, once you account for the factors we know influence that attainment. Raw data on the attainment gap, without context, was used as partial justification for the radical policies proposed and the city was painted by policy makers as a failure. However, the question they should have been asking, was</w:t>
      </w:r>
      <w:r>
        <w:t xml:space="preserve"> </w:t>
      </w:r>
      <w:r>
        <w:t xml:space="preserve">“what is the city doing right?”</w:t>
      </w:r>
      <w:r>
        <w:t xml:space="preserve"> </w:t>
      </w:r>
      <w:r>
        <w:t xml:space="preserve">While we can’t know if open, accessible, location-specific analysis and this kind of insight would have resulted in a change of policy direction, it would have certainly facilitated a more informed discussion prior to and during the consultation.</w:t>
      </w:r>
    </w:p>
    <w:p>
      <w:pPr>
        <w:pStyle w:val="BodyText"/>
      </w:pPr>
      <w:r>
        <w:t xml:space="preserve">The authors are residents of Brighton and Hove with direct experience of the effects of these proposals on their families and community. Some are academics, some experienced in policy making, some involved in school governance, and some simply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Our intention is to show that with open, freely available data and variables that are along the right lines, it is possible to build a model explaining over 80% of the variation in school-level attainment with just a handful of predictors. When we know the vast majority of influences on attainment and how they interact in different local contexts, we can answer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6" w:name="literature-review"/>
    <w:p>
      <w:pPr>
        <w:pStyle w:val="Heading1"/>
      </w:pPr>
      <w:r>
        <w:t xml:space="preserve">2. Literature review</w:t>
      </w:r>
    </w:p>
    <w:bookmarkStart w:id="23"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Key Stage 2 (KS2).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One crucial and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3"/>
    <w:bookmarkStart w:id="24"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4"/>
    <w:bookmarkStart w:id="25"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5"/>
    <w:bookmarkEnd w:id="26"/>
    <w:bookmarkStart w:id="33" w:name="data-and-methods"/>
    <w:p>
      <w:pPr>
        <w:pStyle w:val="Heading1"/>
      </w:pPr>
      <w:r>
        <w:t xml:space="preserve">3. Data and methods</w:t>
      </w:r>
    </w:p>
    <w:bookmarkStart w:id="29"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7"/>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29"/>
    <w:bookmarkStart w:id="32"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0"/>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2"/>
    <w:bookmarkEnd w:id="33"/>
    <w:bookmarkStart w:id="49" w:name="results"/>
    <w:p>
      <w:pPr>
        <w:pStyle w:val="Heading1"/>
      </w:pPr>
      <w:r>
        <w:t xml:space="preserve">4. Results</w:t>
      </w:r>
    </w:p>
    <w:bookmarkStart w:id="34"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4"/>
    <w:bookmarkStart w:id="36"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5"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5"/>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6"/>
    <w:bookmarkStart w:id="48"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0" w:name="fig-standardised-coefficients"/>
          <w:p>
            <w:pPr>
              <w:pStyle w:val="Compact"/>
              <w:jc w:val="center"/>
            </w:pPr>
            <w:r>
              <w:drawing>
                <wp:inline>
                  <wp:extent cx="5334000" cy="3810000"/>
                  <wp:effectExtent b="0" l="0" r="0" t="0"/>
                  <wp:docPr descr="" title="" id="38" name="Picture"/>
                  <a:graphic>
                    <a:graphicData uri="http://schemas.openxmlformats.org/drawingml/2006/picture">
                      <pic:pic>
                        <pic:nvPicPr>
                          <pic:cNvPr descr="JEP_Paper_files/figure-docx/fig-standardised-coefficients-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0"/>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1"/>
      </w:r>
      <w:r>
        <w:t xml:space="preserve"> </w:t>
      </w:r>
      <w:r>
        <w:t xml:space="preserve">across all three pupil groups (all pupils, disadvantaged pupils and non-disadvantaged pupils - full model outputs available in the supplementary materials</w:t>
      </w:r>
      <w:r>
        <w:rPr>
          <w:rStyle w:val="FootnoteReference"/>
        </w:rPr>
        <w:footnoteReference w:id="42"/>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4"/>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a possible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6"/>
      </w:r>
      <w:r>
        <w:t xml:space="preserve">)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attend. Disadvantaged pupils lack the safety net of engaged parents, private tutors or revision resources that some less disadvantaged students have, making them more reliant on classroom instruction. In this sense, attendance is the ultimate equity lever.</w:t>
      </w:r>
    </w:p>
    <w:p>
      <w:pPr>
        <w:pStyle w:val="BodyText"/>
      </w:pPr>
      <w:r>
        <w:t xml:space="preserve">These outcomes do not mean that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such policies require longer journeys that risk increasing absence</w:t>
      </w:r>
      <w:r>
        <w:t xml:space="preserve"> </w:t>
      </w:r>
      <w:r>
        <w:t xml:space="preserve">(Thomson 2023)</w:t>
      </w:r>
      <w:r>
        <w:t xml:space="preserve">, they could be actively counter-productive given how much more negatively impactful absence is.</w:t>
      </w:r>
    </w:p>
    <w:bookmarkEnd w:id="48"/>
    <w:bookmarkEnd w:id="49"/>
    <w:bookmarkStart w:id="70" w:name="brighton-and-hove-case-study"/>
    <w:p>
      <w:pPr>
        <w:pStyle w:val="Heading1"/>
      </w:pPr>
      <w:r>
        <w:t xml:space="preserve">5. Brighton and Hove case study</w:t>
      </w:r>
    </w:p>
    <w:bookmarkStart w:id="54"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peripheral schools. Underpinning the proposals was an assertion that attainment in the city was</w:t>
      </w:r>
      <w:r>
        <w:t xml:space="preserve"> </w:t>
      </w:r>
      <w:r>
        <w:t xml:space="preserve">‘driven by economic advantage’</w:t>
      </w:r>
      <w:r>
        <w:t xml:space="preserve"> </w:t>
      </w:r>
      <w:r>
        <w:t xml:space="preserve">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own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commuting.</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raise disadvantaged attainment. This was in addition to a 2023 policy giving FSM-eligible pupils priority in admissions, which was already affecting further mixing without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design.</w:t>
      </w:r>
    </w:p>
    <w:p>
      <w:pPr>
        <w:pStyle w:val="BodyText"/>
      </w:pPr>
      <w:r>
        <w:t xml:space="preserve">Whether the availability of better evidence would have changed the political outcome is unknowable. But having been on the side of the city responding to proposals rather than generating them, we can say that accessible evidence</w:t>
      </w:r>
      <w:r>
        <w:t xml:space="preserve"> </w:t>
      </w:r>
      <w:r>
        <w:rPr>
          <w:i/>
          <w:iCs/>
        </w:rPr>
        <w:t xml:space="preserve">would</w:t>
      </w:r>
      <w:r>
        <w:t xml:space="preserve"> </w:t>
      </w:r>
      <w:r>
        <w:t xml:space="preserve">have enabled earlier and more constructive engagement. The compressed consultation timeline left wholly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3" w:name="fig-catchments"/>
          <w:p>
            <w:pPr>
              <w:pStyle w:val="Compact"/>
              <w:jc w:val="center"/>
            </w:pPr>
            <w:r>
              <w:drawing>
                <wp:inline>
                  <wp:extent cx="5334000" cy="4572000"/>
                  <wp:effectExtent b="0" l="0" r="0" t="0"/>
                  <wp:docPr descr="" title="" id="51" name="Picture"/>
                  <a:graphic>
                    <a:graphicData uri="http://schemas.openxmlformats.org/drawingml/2006/picture">
                      <pic:pic>
                        <pic:nvPicPr>
                          <pic:cNvPr descr="JEP_Paper_files/figure-docx/fig-catchments-1.png" id="52" name="Picture"/>
                          <pic:cNvPicPr>
                            <a:picLocks noChangeArrowheads="1" noChangeAspect="1"/>
                          </pic:cNvPicPr>
                        </pic:nvPicPr>
                        <pic:blipFill>
                          <a:blip r:embed="rId5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3"/>
        </w:tc>
      </w:tr>
    </w:tbl>
    <w:bookmarkEnd w:id="54"/>
    <w:bookmarkStart w:id="59"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58" w:name="fig-caterpillar"/>
          <w:p>
            <w:pPr>
              <w:pStyle w:val="Compact"/>
              <w:jc w:val="center"/>
            </w:pPr>
            <w:r>
              <w:drawing>
                <wp:inline>
                  <wp:extent cx="5334000" cy="4572000"/>
                  <wp:effectExtent b="0" l="0" r="0" t="0"/>
                  <wp:docPr descr="" title="" id="56" name="Picture"/>
                  <a:graphic>
                    <a:graphicData uri="http://schemas.openxmlformats.org/drawingml/2006/picture">
                      <pic:pic>
                        <pic:nvPicPr>
                          <pic:cNvPr descr="JEP_Paper_files/figure-docx/fig-caterpillar-1.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58"/>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w:t>
      </w:r>
    </w:p>
    <w:bookmarkEnd w:id="59"/>
    <w:bookmarkStart w:id="64"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3" w:name="fig-accelerating-returns"/>
          <w:p>
            <w:pPr>
              <w:pStyle w:val="Compact"/>
              <w:jc w:val="center"/>
            </w:pPr>
            <w:r>
              <w:drawing>
                <wp:inline>
                  <wp:extent cx="5334000" cy="3429000"/>
                  <wp:effectExtent b="0" l="0" r="0" t="0"/>
                  <wp:docPr descr="" title="" id="61" name="Picture"/>
                  <a:graphic>
                    <a:graphicData uri="http://schemas.openxmlformats.org/drawingml/2006/picture">
                      <pic:pic>
                        <pic:nvPicPr>
                          <pic:cNvPr descr="JEP_Paper_files/figure-docx/fig-accelerating-returns-1.png" id="62" name="Picture"/>
                          <pic:cNvPicPr>
                            <a:picLocks noChangeArrowheads="1" noChangeAspect="1"/>
                          </pic:cNvPicPr>
                        </pic:nvPicPr>
                        <pic:blipFill>
                          <a:blip r:embed="rId60"/>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3"/>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on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4"/>
    <w:bookmarkStart w:id="69"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68" w:name="fig-obs-vs-pred"/>
          <w:p>
            <w:pPr>
              <w:pStyle w:val="Compact"/>
              <w:jc w:val="center"/>
            </w:pPr>
            <w:r>
              <w:drawing>
                <wp:inline>
                  <wp:extent cx="5334000" cy="6858000"/>
                  <wp:effectExtent b="0" l="0" r="0" t="0"/>
                  <wp:docPr descr="" title="" id="66" name="Picture"/>
                  <a:graphic>
                    <a:graphicData uri="http://schemas.openxmlformats.org/drawingml/2006/picture">
                      <pic:pic>
                        <pic:nvPicPr>
                          <pic:cNvPr descr="JEP_Paper_files/figure-docx/fig-obs-vs-pred-1.png" id="67" name="Picture"/>
                          <pic:cNvPicPr>
                            <a:picLocks noChangeArrowheads="1" noChangeAspect="1"/>
                          </pic:cNvPicPr>
                        </pic:nvPicPr>
                        <pic:blipFill>
                          <a:blip r:embed="rId6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68"/>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69"/>
    <w:bookmarkEnd w:id="70"/>
    <w:bookmarkStart w:id="92" w:name="discussion"/>
    <w:p>
      <w:pPr>
        <w:pStyle w:val="Heading1"/>
      </w:pPr>
      <w:r>
        <w:t xml:space="preserve">6. Discussion</w:t>
      </w:r>
    </w:p>
    <w:bookmarkStart w:id="73"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1"/>
      </w:r>
      <w:r>
        <w:t xml:space="preserve">, it was stated</w:t>
      </w:r>
      <w:r>
        <w:t xml:space="preserve"> </w:t>
      </w: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r>
        <w:t xml:space="preserve"> </w:t>
      </w:r>
      <w:r>
        <w:t xml:space="preserve">Our analysis suggests this was at best a flawed understanding and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Longer journeys imposed by redistribution policies are associated with higher absence</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3"/>
    <w:bookmarkStart w:id="76"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engagement</w:t>
      </w:r>
      <w:r>
        <w:rPr>
          <w:rStyle w:val="FootnoteReference"/>
        </w:rPr>
        <w:footnoteReference w:id="74"/>
      </w:r>
      <w:r>
        <w:t xml:space="preserve"> </w:t>
      </w:r>
      <w:r>
        <w:t xml:space="preserve">or any of the published materials accompanying the consultations. The irony is considerable: the city ranks best 7th for disadvantaged attainment after structural adjustments, but this strong underlying performance is being dragged down by an extreme absence problem.</w:t>
      </w:r>
    </w:p>
    <w:p>
      <w:pPr>
        <w:pStyle w:val="BodyText"/>
      </w:pPr>
      <w:r>
        <w:t xml:space="preserve">Brighton and Hove’s absence rates are not a necessary consequence of its intake composition. The city has near-average FSM levels but near-worst absence, suggesting the problem is driven by local factors — attendance culture, enforcement practices, or community dynamics — rather than being an unavoidable correlate of disadvantage.</w:t>
      </w:r>
    </w:p>
    <w:bookmarkEnd w:id="76"/>
    <w:bookmarkStart w:id="84"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7"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77"/>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78"/>
      </w:r>
      <w:r>
        <w:t xml:space="preserve"> </w:t>
      </w:r>
      <w:r>
        <w:t xml:space="preserve">— supported by another more established activist group — Class Divide</w:t>
      </w:r>
      <w:r>
        <w:rPr>
          <w:rStyle w:val="FootnoteReference"/>
        </w:rPr>
        <w:footnoteReference w:id="80"/>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2"/>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Now, of course,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Indeed,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4"/>
    <w:bookmarkStart w:id="85"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peripheral schools. Keeping such schools financially viable is a legitimate concern. However, there is an inherent tension between optimising for financial sustainability and optimising for educational outcomes.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5"/>
    <w:bookmarkStart w:id="87"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6"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6"/>
    <w:bookmarkEnd w:id="87"/>
    <w:bookmarkStart w:id="90"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88"/>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0"/>
    <w:bookmarkStart w:id="91"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1"/>
    <w:bookmarkEnd w:id="92"/>
    <w:bookmarkStart w:id="93"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3"/>
    <w:bookmarkStart w:id="94"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breath of expertise within this group has been inspirational.</w:t>
      </w:r>
    </w:p>
    <w:bookmarkEnd w:id="94"/>
    <w:bookmarkStart w:id="95"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5"/>
    <w:bookmarkStart w:id="150" w:name="references"/>
    <w:p>
      <w:pPr>
        <w:pStyle w:val="Heading1"/>
      </w:pPr>
      <w:r>
        <w:t xml:space="preserve">References</w:t>
      </w:r>
    </w:p>
    <w:bookmarkStart w:id="149" w:name="refs"/>
    <w:bookmarkStart w:id="97"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96">
        <w:r>
          <w:rPr>
            <w:rStyle w:val="Hyperlink"/>
          </w:rPr>
          <w:t xml:space="preserve">https://doi.org/10.1080/09645292.2017.1366425</w:t>
        </w:r>
      </w:hyperlink>
      <w:r>
        <w:t xml:space="preserve">.</w:t>
      </w:r>
    </w:p>
    <w:bookmarkEnd w:id="97"/>
    <w:bookmarkStart w:id="99"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98">
        <w:r>
          <w:rPr>
            <w:rStyle w:val="Hyperlink"/>
          </w:rPr>
          <w:t xml:space="preserve">https://doi.org/10.1111/j.1475-5661.2012.00511.x</w:t>
        </w:r>
      </w:hyperlink>
      <w:r>
        <w:t xml:space="preserve">.</w:t>
      </w:r>
    </w:p>
    <w:bookmarkEnd w:id="99"/>
    <w:bookmarkStart w:id="101"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0">
        <w:r>
          <w:rPr>
            <w:rStyle w:val="Hyperlink"/>
          </w:rPr>
          <w:t xml:space="preserve">https://doi.org/10.1080/0305764X.2024.2420611</w:t>
        </w:r>
      </w:hyperlink>
      <w:r>
        <w:t xml:space="preserve">.</w:t>
      </w:r>
    </w:p>
    <w:bookmarkEnd w:id="101"/>
    <w:bookmarkStart w:id="103"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2">
        <w:r>
          <w:rPr>
            <w:rStyle w:val="Hyperlink"/>
          </w:rPr>
          <w:t xml:space="preserve">https://doi.org/10.1177/0308518X18787820</w:t>
        </w:r>
      </w:hyperlink>
      <w:r>
        <w:t xml:space="preserve">.</w:t>
      </w:r>
    </w:p>
    <w:bookmarkEnd w:id="103"/>
    <w:bookmarkStart w:id="105"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04">
        <w:r>
          <w:rPr>
            <w:rStyle w:val="Hyperlink"/>
          </w:rPr>
          <w:t xml:space="preserve">https://doi.org/10.1016/j.econedurev.2023.102405</w:t>
        </w:r>
      </w:hyperlink>
      <w:r>
        <w:t xml:space="preserve">.</w:t>
      </w:r>
    </w:p>
    <w:bookmarkEnd w:id="105"/>
    <w:bookmarkStart w:id="107"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06">
        <w:r>
          <w:rPr>
            <w:rStyle w:val="Hyperlink"/>
          </w:rPr>
          <w:t xml:space="preserve">https://www.nuffieldfoundation.org/project/characterising-effective-teaching-2</w:t>
        </w:r>
      </w:hyperlink>
      <w:r>
        <w:t xml:space="preserve">.</w:t>
      </w:r>
    </w:p>
    <w:bookmarkEnd w:id="107"/>
    <w:bookmarkStart w:id="109"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08">
        <w:r>
          <w:rPr>
            <w:rStyle w:val="Hyperlink"/>
          </w:rPr>
          <w:t xml:space="preserve">https://committees.parliament.uk/committee/203/education-committee/news/156024/forgotten-white-workingclass-pupils-let-down-by-decades-of-neglect-mps-say/</w:t>
        </w:r>
      </w:hyperlink>
      <w:r>
        <w:t xml:space="preserve">.</w:t>
      </w:r>
    </w:p>
    <w:bookmarkEnd w:id="109"/>
    <w:bookmarkStart w:id="11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10">
        <w:r>
          <w:rPr>
            <w:rStyle w:val="Hyperlink"/>
          </w:rPr>
          <w:t xml:space="preserve">https://explore-education-statistics.service.gov.uk/find-statistics/the-link-between-absence-and-attainment-at-ks2-and-ks4/2018-19</w:t>
        </w:r>
      </w:hyperlink>
      <w:r>
        <w:t xml:space="preserve">.</w:t>
      </w:r>
    </w:p>
    <w:bookmarkEnd w:id="111"/>
    <w:bookmarkStart w:id="11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12">
        <w:r>
          <w:rPr>
            <w:rStyle w:val="Hyperlink"/>
          </w:rPr>
          <w:t xml:space="preserve">https://www.gov.uk/government/publications/link-between-attendance-and-attainment</w:t>
        </w:r>
      </w:hyperlink>
      <w:r>
        <w:t xml:space="preserve">.</w:t>
      </w:r>
    </w:p>
    <w:bookmarkEnd w:id="113"/>
    <w:bookmarkStart w:id="11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14">
        <w:r>
          <w:rPr>
            <w:rStyle w:val="Hyperlink"/>
          </w:rPr>
          <w:t xml:space="preserve">https://explore-education-statistics.service.gov.uk/find-statistics/pupil-absence-in-schools-in-england/2024-25-autumn-and-spring-term</w:t>
        </w:r>
      </w:hyperlink>
      <w:r>
        <w:t xml:space="preserve">.</w:t>
      </w:r>
    </w:p>
    <w:bookmarkEnd w:id="115"/>
    <w:bookmarkStart w:id="11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16">
        <w:r>
          <w:rPr>
            <w:rStyle w:val="Hyperlink"/>
          </w:rPr>
          <w:t xml:space="preserve">https://www.gov.uk/government/publications/every-child-achieving-and-thriving/every-child-achieving-and-thriving-html-version</w:t>
        </w:r>
      </w:hyperlink>
      <w:r>
        <w:t xml:space="preserve">.</w:t>
      </w:r>
    </w:p>
    <w:bookmarkEnd w:id="117"/>
    <w:bookmarkStart w:id="119"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18">
        <w:r>
          <w:rPr>
            <w:rStyle w:val="Hyperlink"/>
          </w:rPr>
          <w:t xml:space="preserve">https://doi.org/10.1002/berj.3992</w:t>
        </w:r>
      </w:hyperlink>
      <w:r>
        <w:t xml:space="preserve">.</w:t>
      </w:r>
    </w:p>
    <w:bookmarkEnd w:id="119"/>
    <w:bookmarkStart w:id="121"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20">
        <w:r>
          <w:rPr>
            <w:rStyle w:val="Hyperlink"/>
          </w:rPr>
          <w:t xml:space="preserve">https://doi.org/10.1093/ooec/odad029</w:t>
        </w:r>
      </w:hyperlink>
      <w:r>
        <w:t xml:space="preserve">.</w:t>
      </w:r>
    </w:p>
    <w:bookmarkEnd w:id="121"/>
    <w:bookmarkStart w:id="123"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22">
        <w:r>
          <w:rPr>
            <w:rStyle w:val="Hyperlink"/>
          </w:rPr>
          <w:t xml:space="preserve">https://cep.lse.ac.uk/_new/publications/abstract.asp?index=5752</w:t>
        </w:r>
      </w:hyperlink>
      <w:r>
        <w:t xml:space="preserve">.</w:t>
      </w:r>
    </w:p>
    <w:bookmarkEnd w:id="123"/>
    <w:bookmarkStart w:id="125"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24">
        <w:r>
          <w:rPr>
            <w:rStyle w:val="Hyperlink"/>
          </w:rPr>
          <w:t xml:space="preserve">https://doi.org/10.1002/berj.3297</w:t>
        </w:r>
      </w:hyperlink>
      <w:r>
        <w:t xml:space="preserve">.</w:t>
      </w:r>
    </w:p>
    <w:bookmarkEnd w:id="125"/>
    <w:bookmarkStart w:id="127"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26">
        <w:r>
          <w:rPr>
            <w:rStyle w:val="Hyperlink"/>
          </w:rPr>
          <w:t xml:space="preserve">https://doi.org/10.1177/2158244018825171</w:t>
        </w:r>
      </w:hyperlink>
      <w:r>
        <w:t xml:space="preserve">.</w:t>
      </w:r>
    </w:p>
    <w:bookmarkEnd w:id="127"/>
    <w:bookmarkStart w:id="129"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28">
        <w:r>
          <w:rPr>
            <w:rStyle w:val="Hyperlink"/>
          </w:rPr>
          <w:t xml:space="preserve">https://doi.org/10.3390/educsci15010006</w:t>
        </w:r>
      </w:hyperlink>
      <w:r>
        <w:t xml:space="preserve">.</w:t>
      </w:r>
    </w:p>
    <w:bookmarkEnd w:id="129"/>
    <w:bookmarkStart w:id="131"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30">
        <w:r>
          <w:rPr>
            <w:rStyle w:val="Hyperlink"/>
          </w:rPr>
          <w:t xml:space="preserve">https://opendocs.ids.ac.uk/articles/report/The_Contribution_of_Education_to_Economic_Growth/26453986/1</w:t>
        </w:r>
      </w:hyperlink>
      <w:r>
        <w:t xml:space="preserve">.</w:t>
      </w:r>
    </w:p>
    <w:bookmarkEnd w:id="131"/>
    <w:bookmarkStart w:id="133"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32">
        <w:r>
          <w:rPr>
            <w:rStyle w:val="Hyperlink"/>
          </w:rPr>
          <w:t xml:space="preserve">https://doi.org/10.14324/LRE.21.1.20</w:t>
        </w:r>
      </w:hyperlink>
      <w:r>
        <w:t xml:space="preserve">.</w:t>
      </w:r>
    </w:p>
    <w:bookmarkEnd w:id="133"/>
    <w:bookmarkStart w:id="13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34">
        <w:r>
          <w:rPr>
            <w:rStyle w:val="Hyperlink"/>
          </w:rPr>
          <w:t xml:space="preserve">https://www.gov.uk/government/publications/against-the-odds</w:t>
        </w:r>
      </w:hyperlink>
      <w:r>
        <w:t xml:space="preserve">.</w:t>
      </w:r>
    </w:p>
    <w:bookmarkEnd w:id="135"/>
    <w:bookmarkStart w:id="13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36">
        <w:r>
          <w:rPr>
            <w:rStyle w:val="Hyperlink"/>
          </w:rPr>
          <w:t xml:space="preserve">https://www.gov.uk/government/publications/examining-the-london-advantage-in-attainment-evidence-from-lsype</w:t>
        </w:r>
      </w:hyperlink>
      <w:r>
        <w:t xml:space="preserve">.</w:t>
      </w:r>
    </w:p>
    <w:bookmarkEnd w:id="137"/>
    <w:bookmarkStart w:id="13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38"/>
    <w:bookmarkStart w:id="14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39">
        <w:r>
          <w:rPr>
            <w:rStyle w:val="Hyperlink"/>
          </w:rPr>
          <w:t xml:space="preserve">https://doi.org/10.1080/01425692.2025.2474040</w:t>
        </w:r>
      </w:hyperlink>
      <w:r>
        <w:t xml:space="preserve">.</w:t>
      </w:r>
    </w:p>
    <w:bookmarkEnd w:id="140"/>
    <w:bookmarkStart w:id="14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4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42"/>
    <w:bookmarkStart w:id="144"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43">
        <w:r>
          <w:rPr>
            <w:rStyle w:val="Hyperlink"/>
          </w:rPr>
          <w:t xml:space="preserve">https://ffteducationdatalab.org.uk/2023/11/are-pupils-who-live-further-away-from-their-school-absent-more-often/</w:t>
        </w:r>
      </w:hyperlink>
      <w:r>
        <w:t xml:space="preserve">.</w:t>
      </w:r>
    </w:p>
    <w:bookmarkEnd w:id="144"/>
    <w:bookmarkStart w:id="146"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45">
        <w:r>
          <w:rPr>
            <w:rStyle w:val="Hyperlink"/>
          </w:rPr>
          <w:t xml:space="preserve">https://epi.org.uk/annual-report-2023/</w:t>
        </w:r>
      </w:hyperlink>
      <w:r>
        <w:t xml:space="preserve">.</w:t>
      </w:r>
    </w:p>
    <w:bookmarkEnd w:id="146"/>
    <w:bookmarkStart w:id="148"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47">
        <w:r>
          <w:rPr>
            <w:rStyle w:val="Hyperlink"/>
          </w:rPr>
          <w:t xml:space="preserve">https://epi.org.uk/publications-and-research/the-influence-of-headteachers-on-their-schools/</w:t>
        </w:r>
      </w:hyperlink>
      <w:r>
        <w:t xml:space="preserve">.</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7">
    <w:p>
      <w:pPr>
        <w:pStyle w:val="FootnoteText"/>
      </w:pPr>
      <w:r>
        <w:rPr>
          <w:rStyle w:val="FootnoteReference"/>
        </w:rPr>
        <w:footnoteRef/>
      </w:r>
      <w:r>
        <w:t xml:space="preserve"> </w:t>
      </w:r>
      <w:r>
        <w:t xml:space="preserve">Supplementary material:</w:t>
      </w:r>
      <w:r>
        <w:t xml:space="preserve"> </w:t>
      </w:r>
      <w:hyperlink r:id="rId28">
        <w:r>
          <w:rPr>
            <w:rStyle w:val="Hyperlink"/>
          </w:rPr>
          <w:t xml:space="preserve">https://adamdennett.github.io/school_attainment_tool/</w:t>
        </w:r>
      </w:hyperlink>
    </w:p>
  </w:footnote>
  <w:footnote w:id="30">
    <w:p>
      <w:pPr>
        <w:pStyle w:val="FootnoteText"/>
      </w:pPr>
      <w:r>
        <w:rPr>
          <w:rStyle w:val="FootnoteReference"/>
        </w:rPr>
        <w:footnoteRef/>
      </w:r>
      <w:r>
        <w:t xml:space="preserve"> </w:t>
      </w:r>
      <w:r>
        <w:t xml:space="preserve">See data overview for details</w:t>
      </w:r>
      <w:r>
        <w:t xml:space="preserve"> </w:t>
      </w:r>
      <w:hyperlink r:id="rId31">
        <w:r>
          <w:rPr>
            <w:rStyle w:val="Hyperlink"/>
          </w:rPr>
          <w:t xml:space="preserve">https://adamdennett.github.io/school_attainment_tool/data_overview.html</w:t>
        </w:r>
      </w:hyperlink>
    </w:p>
  </w:footnote>
  <w:footnote w:id="41">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2">
    <w:p>
      <w:pPr>
        <w:pStyle w:val="FootnoteText"/>
      </w:pPr>
      <w:r>
        <w:rPr>
          <w:rStyle w:val="FootnoteReference"/>
        </w:rPr>
        <w:footnoteRef/>
      </w:r>
      <w:r>
        <w:t xml:space="preserve"> </w:t>
      </w:r>
      <w:r>
        <w:t xml:space="preserve">Stepwise Models for all pupil groups</w:t>
      </w:r>
      <w:r>
        <w:t xml:space="preserve"> </w:t>
      </w:r>
      <w:hyperlink r:id="rId43">
        <w:r>
          <w:rPr>
            <w:rStyle w:val="Hyperlink"/>
          </w:rPr>
          <w:t xml:space="preserve">https://adamdennett.github.io/school_attainment_tool/model_results.html#stepwise-model-building</w:t>
        </w:r>
      </w:hyperlink>
    </w:p>
  </w:footnote>
  <w:footnote w:id="44">
    <w:p>
      <w:pPr>
        <w:pStyle w:val="FootnoteText"/>
      </w:pPr>
      <w:r>
        <w:rPr>
          <w:rStyle w:val="FootnoteReference"/>
        </w:rPr>
        <w:footnoteRef/>
      </w:r>
      <w:r>
        <w:t xml:space="preserve"> </w:t>
      </w:r>
      <w:r>
        <w:t xml:space="preserve">See supplementary material for robustness checks:</w:t>
      </w:r>
      <w:r>
        <w:t xml:space="preserve"> </w:t>
      </w:r>
      <w:hyperlink r:id="rId45">
        <w:r>
          <w:rPr>
            <w:rStyle w:val="Hyperlink"/>
          </w:rPr>
          <w:t xml:space="preserve">https://adamdennett.github.io/school_attainment_tool/model_experiments.html</w:t>
        </w:r>
      </w:hyperlink>
    </w:p>
  </w:footnote>
  <w:footnote w:id="46">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7">
        <w:r>
          <w:rPr>
            <w:rStyle w:val="Hyperlink"/>
          </w:rPr>
          <w:t xml:space="preserve">https://adamdennett.github.io/BH_Schools_Consultation/absence.html#trick-or-treatment</w:t>
        </w:r>
      </w:hyperlink>
    </w:p>
  </w:footnote>
  <w:footnote w:id="71">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2">
        <w:r>
          <w:rPr>
            <w:rStyle w:val="Hyperlink"/>
          </w:rPr>
          <w:t xml:space="preserve">https://yourvoice.brighton-hove.gov.uk/en-GB/projects/school-admission-arrangements-public-consultation/1</w:t>
        </w:r>
      </w:hyperlink>
    </w:p>
  </w:footnote>
  <w:footnote w:id="74">
    <w:p>
      <w:pPr>
        <w:pStyle w:val="FootnoteText"/>
      </w:pPr>
      <w:r>
        <w:rPr>
          <w:rStyle w:val="FootnoteReference"/>
        </w:rPr>
        <w:footnoteRef/>
      </w:r>
      <w:r>
        <w:t xml:space="preserve"> </w:t>
      </w:r>
      <w:r>
        <w:t xml:space="preserve">Slides available on the Brighton and Hove City Council Website here</w:t>
      </w:r>
      <w:r>
        <w:t xml:space="preserve"> </w:t>
      </w:r>
      <w:hyperlink r:id="rId75">
        <w:r>
          <w:rPr>
            <w:rStyle w:val="Hyperlink"/>
          </w:rPr>
          <w:t xml:space="preserve">https://yourvoice.brighton-hove.gov.uk/en-GB/projects/secondary-school-engagement-exercise/1</w:t>
        </w:r>
      </w:hyperlink>
    </w:p>
  </w:footnote>
  <w:footnote w:id="78">
    <w:p>
      <w:pPr>
        <w:pStyle w:val="FootnoteText"/>
      </w:pPr>
      <w:r>
        <w:rPr>
          <w:rStyle w:val="FootnoteReference"/>
        </w:rPr>
        <w:footnoteRef/>
      </w:r>
      <w:r>
        <w:t xml:space="preserve"> </w:t>
      </w:r>
      <w:hyperlink r:id="rId79">
        <w:r>
          <w:rPr>
            <w:rStyle w:val="Hyperlink"/>
          </w:rPr>
          <w:t xml:space="preserve">https://educationequity.kit.com/</w:t>
        </w:r>
      </w:hyperlink>
    </w:p>
  </w:footnote>
  <w:footnote w:id="80">
    <w:p>
      <w:pPr>
        <w:pStyle w:val="FootnoteText"/>
      </w:pPr>
      <w:r>
        <w:rPr>
          <w:rStyle w:val="FootnoteReference"/>
        </w:rPr>
        <w:footnoteRef/>
      </w:r>
      <w:r>
        <w:t xml:space="preserve"> </w:t>
      </w:r>
      <w:hyperlink r:id="rId81">
        <w:r>
          <w:rPr>
            <w:rStyle w:val="Hyperlink"/>
          </w:rPr>
          <w:t xml:space="preserve">https://www.classdivide.co.uk/</w:t>
        </w:r>
      </w:hyperlink>
    </w:p>
  </w:footnote>
  <w:footnote w:id="82">
    <w:p>
      <w:pPr>
        <w:pStyle w:val="FootnoteText"/>
      </w:pPr>
      <w:r>
        <w:rPr>
          <w:rStyle w:val="FootnoteReference"/>
        </w:rPr>
        <w:footnoteRef/>
      </w:r>
      <w:r>
        <w:t xml:space="preserve"> </w:t>
      </w:r>
      <w:hyperlink r:id="rId83">
        <w:r>
          <w:rPr>
            <w:rStyle w:val="Hyperlink"/>
          </w:rPr>
          <w:t xml:space="preserve">https://reports.ofsted.gov.uk/provider/23/136164</w:t>
        </w:r>
      </w:hyperlink>
    </w:p>
  </w:footnote>
  <w:footnote w:id="88">
    <w:p>
      <w:pPr>
        <w:pStyle w:val="FootnoteText"/>
      </w:pPr>
      <w:r>
        <w:rPr>
          <w:rStyle w:val="FootnoteReference"/>
        </w:rPr>
        <w:footnoteRef/>
      </w:r>
      <w:r>
        <w:t xml:space="preserve"> </w:t>
      </w:r>
      <w:r>
        <w:t xml:space="preserve">School Attainment Policy Simulator:</w:t>
      </w:r>
      <w:r>
        <w:t xml:space="preserve"> </w:t>
      </w:r>
      <w:hyperlink r:id="rId89">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37" Target="media/rId37.png" /><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89"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7" Target="https://adamdennett.github.io/BH_Schools_Consultation/absence.html#trick-or-treatment" TargetMode="External" /><Relationship Type="http://schemas.openxmlformats.org/officeDocument/2006/relationships/hyperlink" Id="rId28" Target="https://adamdennett.github.io/school_attainment_tool/" TargetMode="External" /><Relationship Type="http://schemas.openxmlformats.org/officeDocument/2006/relationships/hyperlink" Id="rId31" Target="https://adamdennett.github.io/school_attainment_tool/data_overview.html" TargetMode="External" /><Relationship Type="http://schemas.openxmlformats.org/officeDocument/2006/relationships/hyperlink" Id="rId45" Target="https://adamdennett.github.io/school_attainment_tool/model_experiments.html" TargetMode="External" /><Relationship Type="http://schemas.openxmlformats.org/officeDocument/2006/relationships/hyperlink" Id="rId43" Target="https://adamdennett.github.io/school_attainment_tool/model_results.html#stepwise-model-building" TargetMode="External" /><Relationship Type="http://schemas.openxmlformats.org/officeDocument/2006/relationships/hyperlink" Id="rId122" Target="https://cep.lse.ac.uk/_new/publications/abstract.asp?index=5752" TargetMode="External" /><Relationship Type="http://schemas.openxmlformats.org/officeDocument/2006/relationships/hyperlink" Id="rId108" Target="https://committees.parliament.uk/committee/203/education-committee/news/156024/forgotten-white-workingclass-pupils-let-down-by-decades-of-neglect-mps-say/" TargetMode="External" /><Relationship Type="http://schemas.openxmlformats.org/officeDocument/2006/relationships/hyperlink" Id="rId124" Target="https://doi.org/10.1002/berj.3297" TargetMode="External" /><Relationship Type="http://schemas.openxmlformats.org/officeDocument/2006/relationships/hyperlink" Id="rId118" Target="https://doi.org/10.1002/berj.3992" TargetMode="External" /><Relationship Type="http://schemas.openxmlformats.org/officeDocument/2006/relationships/hyperlink" Id="rId104" Target="https://doi.org/10.1016/j.econedurev.2023.102405" TargetMode="External" /><Relationship Type="http://schemas.openxmlformats.org/officeDocument/2006/relationships/hyperlink" Id="rId139" Target="https://doi.org/10.1080/01425692.2025.2474040" TargetMode="External" /><Relationship Type="http://schemas.openxmlformats.org/officeDocument/2006/relationships/hyperlink" Id="rId100" Target="https://doi.org/10.1080/0305764X.2024.2420611" TargetMode="External" /><Relationship Type="http://schemas.openxmlformats.org/officeDocument/2006/relationships/hyperlink" Id="rId96" Target="https://doi.org/10.1080/09645292.2017.1366425" TargetMode="External" /><Relationship Type="http://schemas.openxmlformats.org/officeDocument/2006/relationships/hyperlink" Id="rId120" Target="https://doi.org/10.1093/ooec/odad029" TargetMode="External" /><Relationship Type="http://schemas.openxmlformats.org/officeDocument/2006/relationships/hyperlink" Id="rId98" Target="https://doi.org/10.1111/j.1475-5661.2012.00511.x" TargetMode="External" /><Relationship Type="http://schemas.openxmlformats.org/officeDocument/2006/relationships/hyperlink" Id="rId102" Target="https://doi.org/10.1177/0308518X18787820" TargetMode="External" /><Relationship Type="http://schemas.openxmlformats.org/officeDocument/2006/relationships/hyperlink" Id="rId126" Target="https://doi.org/10.1177/2158244018825171" TargetMode="External" /><Relationship Type="http://schemas.openxmlformats.org/officeDocument/2006/relationships/hyperlink" Id="rId132" Target="https://doi.org/10.14324/LRE.21.1.20" TargetMode="External" /><Relationship Type="http://schemas.openxmlformats.org/officeDocument/2006/relationships/hyperlink" Id="rId128" Target="https://doi.org/10.3390/educsci15010006" TargetMode="External" /><Relationship Type="http://schemas.openxmlformats.org/officeDocument/2006/relationships/hyperlink" Id="rId79" Target="https://educationequity.kit.com/" TargetMode="External" /><Relationship Type="http://schemas.openxmlformats.org/officeDocument/2006/relationships/hyperlink" Id="rId145" Target="https://epi.org.uk/annual-report-2023/" TargetMode="External" /><Relationship Type="http://schemas.openxmlformats.org/officeDocument/2006/relationships/hyperlink" Id="rId147" Target="https://epi.org.uk/publications-and-research/the-influence-of-headteachers-on-their-schools/" TargetMode="External" /><Relationship Type="http://schemas.openxmlformats.org/officeDocument/2006/relationships/hyperlink" Id="rId114" Target="https://explore-education-statistics.service.gov.uk/find-statistics/pupil-absence-in-schools-in-england/2024-25-autumn-and-spring-term" TargetMode="External" /><Relationship Type="http://schemas.openxmlformats.org/officeDocument/2006/relationships/hyperlink" Id="rId110" Target="https://explore-education-statistics.service.gov.uk/find-statistics/the-link-between-absence-and-attainment-at-ks2-and-ks4/2018-19" TargetMode="External" /><Relationship Type="http://schemas.openxmlformats.org/officeDocument/2006/relationships/hyperlink" Id="rId143" Target="https://ffteducationdatalab.org.uk/2023/11/are-pupils-who-live-further-away-from-their-school-absent-more-often/" TargetMode="External" /><Relationship Type="http://schemas.openxmlformats.org/officeDocument/2006/relationships/hyperlink" Id="rId130" Target="https://opendocs.ids.ac.uk/articles/report/The_Contribution_of_Education_to_Economic_Growth/26453986/1" TargetMode="External" /><Relationship Type="http://schemas.openxmlformats.org/officeDocument/2006/relationships/hyperlink" Id="rId83" Target="https://reports.ofsted.gov.uk/provider/23/136164" TargetMode="External" /><Relationship Type="http://schemas.openxmlformats.org/officeDocument/2006/relationships/hyperlink" Id="rId81" Target="https://www.classdivide.co.uk/" TargetMode="External" /><Relationship Type="http://schemas.openxmlformats.org/officeDocument/2006/relationships/hyperlink" Id="rId134" Target="https://www.gov.uk/government/publications/against-the-odds" TargetMode="External" /><Relationship Type="http://schemas.openxmlformats.org/officeDocument/2006/relationships/hyperlink" Id="rId116" Target="https://www.gov.uk/government/publications/every-child-achieving-and-thriving/every-child-achieving-and-thriving-html-version" TargetMode="External" /><Relationship Type="http://schemas.openxmlformats.org/officeDocument/2006/relationships/hyperlink" Id="rId136" Target="https://www.gov.uk/government/publications/examining-the-london-advantage-in-attainment-evidence-from-lsype" TargetMode="External" /><Relationship Type="http://schemas.openxmlformats.org/officeDocument/2006/relationships/hyperlink" Id="rId112" Target="https://www.gov.uk/government/publications/link-between-attendance-and-attainment" TargetMode="External" /><Relationship Type="http://schemas.openxmlformats.org/officeDocument/2006/relationships/hyperlink" Id="rId14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106" Target="https://www.nuffieldfoundation.org/project/characterising-effective-teaching-2" TargetMode="External" /><Relationship Type="http://schemas.openxmlformats.org/officeDocument/2006/relationships/hyperlink" Id="rId72" Target="https://yourvoice.brighton-hove.gov.uk/en-GB/projects/school-admission-arrangements-public-consultation/1" TargetMode="External" /><Relationship Type="http://schemas.openxmlformats.org/officeDocument/2006/relationships/hyperlink" Id="rId75"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Wrong Lever: School Attainment, Open Data Analytics and Local Education Policy in England</dc:title>
  <dc:creator>Adam Dennett; Natasha Priest; Tom Harrison; Dan Campbell-Meiklejohn</dc:creator>
  <cp:keywords>school attainment, education policy, school absence, disadvantage gap, multilevel modelling, open data</cp:keywords>
  <dcterms:created xsi:type="dcterms:W3CDTF">2026-04-08T08:54:36Z</dcterms:created>
  <dcterms:modified xsi:type="dcterms:W3CDTF">2026-04-08T08:54:36Z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schools white paper sets ambitious targets including halving the disadvantage attainment gap. Achieving improvements in disadvantaged student attainment requires local education authorities to understand their local situations and the specific drivers in their areas. But it is all too easy to pull the wrong policy lever when information and intelligence is incomplete. Recent experiences in Brighton and Hove have highlighted the gap between open data and actionable intelligence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was ‘driven by economic advantage’. Our analysis reveals that the city ranks among the highest-performing local authorities once structural factors are accounted for, but has the second worst absence rate in England. The policy as designed was pulling a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2026-04-08</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