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54.png" ContentType="image/png"/>
  <Override PartName="/word/media/rId59.png" ContentType="image/png"/>
  <Override PartName="/word/media/rId70.png" ContentType="image/png"/>
  <Override PartName="/word/media/rId76.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Right Lever: School Attainment, Open Data Analytics and Local Education Policy in England</w:t>
      </w:r>
    </w:p>
    <w:p>
      <w:pPr>
        <w:pStyle w:val="Author"/>
      </w:pPr>
      <w:r>
        <w:t xml:space="preserve">Adam Dennett</w:t>
      </w:r>
    </w:p>
    <w:p>
      <w:pPr>
        <w:pStyle w:val="Author"/>
      </w:pPr>
      <w:r>
        <w:t xml:space="preserve">Beatrice Taylor</w:t>
      </w:r>
    </w:p>
    <w:p>
      <w:pPr>
        <w:pStyle w:val="Author"/>
      </w:pPr>
      <w:r>
        <w:t xml:space="preserve">Dan Campbell-Meiklejohn</w:t>
      </w:r>
    </w:p>
    <w:p>
      <w:pPr>
        <w:pStyle w:val="Date"/>
      </w:pPr>
      <w:r>
        <w:t xml:space="preserve">2026-08-19</w:t>
      </w:r>
    </w:p>
    <w:p>
      <w:pPr>
        <w:pStyle w:val="AbstractTitle"/>
      </w:pPr>
      <w:r>
        <w:t xml:space="preserve">Abstract</w:t>
      </w:r>
    </w:p>
    <w:p>
      <w:pPr>
        <w:pStyle w:val="Abstract"/>
      </w:pPr>
      <w:r>
        <w:t xml:space="preserve">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pPr>
        <w:pStyle w:val="BodyText"/>
      </w:pPr>
      <w:r>
        <w:t xml:space="preserve">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pPr>
        <w:pStyle w:val="BodyText"/>
      </w:pPr>
      <w:r>
        <w:t xml:space="preserve">Brighton and Hove provides a particularly instructive case. The city already has a distinctive admissions landscape featuring catchment areas with a lottery tie-break for oversubscribed schools, introduced following a secondary school closure in 2005</w:t>
      </w:r>
      <w:r>
        <w:t xml:space="preserve"> </w:t>
      </w:r>
      <w:r>
        <w:t xml:space="preserve">(Allen et al. 2013)</w:t>
      </w:r>
      <w:r>
        <w:t xml:space="preserve">,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w:t>
      </w:r>
      <w:r>
        <w:t xml:space="preserve"> </w:t>
      </w:r>
      <w:r>
        <w:t xml:space="preserve">‘driven by economic advantage’</w:t>
      </w:r>
      <w:r>
        <w:t xml:space="preserve"> </w:t>
      </w:r>
      <w:r>
        <w:t xml:space="preserve">and that redistributing pupils would narrow the attainment gap. The public response was overwhelmingly negative, yet parents and schools lacked the tools to challenge the proposals effectively and the core policy direction persisted, albeit slightly watered down.</w:t>
      </w:r>
    </w:p>
    <w:p>
      <w:pPr>
        <w:pStyle w:val="BodyText"/>
      </w:pPr>
      <w:r>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that,</w:t>
      </w:r>
      <w:r>
        <w:t xml:space="preserve"> </w:t>
      </w:r>
      <w:r>
        <w:rPr>
          <w:i/>
          <w:iCs/>
        </w:rPr>
        <w:t xml:space="preserve">after controlling for absence in particular</w:t>
      </w:r>
      <w:r>
        <w:t xml:space="preserve">, Brighton and Hove was already among the highest-performing LEAs nationally for taking students beyond those factors - ranking 7th of 151 for disadvantaged pupils and 5th for non-disadvantaged pupils. As we show later, that conditional ranking is itself a measure of how much the city’s severe absence problem is costing its disadvantaged pupils: set absence aside and the schools look exceptional; leave it in the ledger and the city is ordinary.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Some rapidly-produced analysis was put into the public domain by some of the authors of this paper</w:t>
      </w:r>
      <w:r>
        <w:rPr>
          <w:rStyle w:val="FootnoteReference"/>
        </w:rPr>
        <w:footnoteReference w:id="20"/>
      </w:r>
      <w:r>
        <w:t xml:space="preserve">, but as a response to, not a contribution to, policy formation.</w:t>
      </w:r>
    </w:p>
    <w:p>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and effects are very similar to those reported by</w:t>
      </w:r>
      <w:r>
        <w:t xml:space="preserve"> </w:t>
      </w:r>
      <w:r>
        <w:t xml:space="preserve">Macleod et al. (2015)</w:t>
      </w:r>
      <w:r>
        <w:t xml:space="preserve"> </w:t>
      </w:r>
      <w:r>
        <w:t xml:space="preserve">over a decade ago. Our intention is to show that with freely available open data and a small set of well-chosen variables, it is possible to build a model explaining over 80% of the variation in school-level Attainment 8, and then to use it to answer locally targeted questions such as:</w:t>
      </w:r>
      <w:r>
        <w:t xml:space="preserve"> </w:t>
      </w:r>
      <w:r>
        <w:t xml:space="preserve">‘is changing the social mix in schools likely to improve disadvantaged pupil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 We report effects in GCSE-point units rather than standard deviations so that they have more direct meaning for policy makers.</w:t>
      </w:r>
    </w:p>
    <w:p>
      <w:pPr>
        <w:pStyle w:val="BodyText"/>
      </w:pPr>
      <w:r>
        <w:t xml:space="preserve">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X6c5e88f05ffb4b99244fe6316fbbde4006e9a28"/>
    <w:p>
      <w:pPr>
        <w:pStyle w:val="Heading1"/>
      </w:pPr>
      <w:r>
        <w:t xml:space="preserve">2. Literature review: factors affecting pupil attainment</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 (for wider reviews and evidence syntheses, see e.g.</w:t>
      </w:r>
      <w:r>
        <w:t xml:space="preserve"> </w:t>
      </w:r>
      <w:r>
        <w:t xml:space="preserve">Stopforth and Gayle (2025)</w:t>
      </w:r>
      <w:r>
        <w:t xml:space="preserve">;</w:t>
      </w:r>
      <w:r>
        <w:t xml:space="preserve"> </w:t>
      </w:r>
      <w:r>
        <w:t xml:space="preserve">Macleod et al. (2015)</w:t>
      </w:r>
      <w:r>
        <w:t xml:space="preserve">;</w:t>
      </w:r>
      <w:r>
        <w:t xml:space="preserve"> </w:t>
      </w:r>
      <w:r>
        <w:t xml:space="preserve">Tuckett et al. (2023)</w:t>
      </w:r>
      <w:r>
        <w:t xml:space="preserve">).</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Inequalities in GCSE outcomes are substantially mediated by prior attainment at National Curriculum Key Stage 2 (KS2 - the latter stages of primary school from ages 7 to 11</w:t>
      </w:r>
      <w:r>
        <w:rPr>
          <w:rStyle w:val="FootnoteReference"/>
        </w:rPr>
        <w:footnoteReference w:id="23"/>
      </w:r>
      <w:r>
        <w:t xml:space="preserve">), reflecting accumulated inequalities from before secondary school</w:t>
      </w:r>
      <w:r>
        <w:t xml:space="preserve"> </w:t>
      </w:r>
      <w:r>
        <w:t xml:space="preserve">(Stopforth and Gayle 2025)</w:t>
      </w:r>
      <w:r>
        <w:t xml:space="preserve">.</w:t>
      </w:r>
      <w:r>
        <w:t xml:space="preserve"> </w:t>
      </w:r>
      <w:r>
        <w:t xml:space="preserve">Gorard and Siddiqui (2019)</w:t>
      </w:r>
      <w:r>
        <w:t xml:space="preserve"> </w:t>
      </w:r>
      <w:r>
        <w:t xml:space="preserve">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w:t>
      </w:r>
      <w:r>
        <w:t xml:space="preserve"> </w:t>
      </w:r>
      <w:r>
        <w:t xml:space="preserve">‘almost no cost’</w:t>
      </w:r>
      <w:r>
        <w:t xml:space="preserve"> </w:t>
      </w:r>
      <w:r>
        <w:t xml:space="preserve">- a conjecture that overlooks real-world consequences for communities, particularly where local social geographies mean de-concentration requires children travelling long distances.</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p>
      <w:pPr>
        <w:pStyle w:val="BodyText"/>
      </w:pPr>
      <w:r>
        <w:t xml:space="preserve">How far attendance is amenable to</w:t>
      </w:r>
      <w:r>
        <w:t xml:space="preserve"> </w:t>
      </w:r>
      <w:r>
        <w:rPr>
          <w:i/>
          <w:iCs/>
        </w:rPr>
        <w:t xml:space="preserve">school-level</w:t>
      </w:r>
      <w:r>
        <w:t xml:space="preserve"> </w:t>
      </w:r>
      <w:r>
        <w:t xml:space="preserve">action is an important and under-settled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w:t>
      </w:r>
      <w:r>
        <w:t xml:space="preserve"> </w:t>
      </w:r>
      <w:r>
        <w:t xml:space="preserve">(Houtepen et al. 2020; Rakesh et al. 2025)</w:t>
      </w:r>
      <w:r>
        <w:t xml:space="preserve">.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cross-departmental action spanning health, children’s services and family support alongside schools.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(Burgess et al. 2023)</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(the apparent boost to attainment for disadvantaged pupils who live in the Capital)</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bookmarkEnd w:id="27"/>
    <w:bookmarkEnd w:id="28"/>
    <w:bookmarkStart w:id="34"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w:t>
      </w:r>
      <w:r>
        <w:t xml:space="preserve"> </w:t>
      </w:r>
      <w:r>
        <w:t xml:space="preserve">‘special schools’</w:t>
      </w:r>
      <w:r>
        <w:t xml:space="preserve"> </w:t>
      </w:r>
      <w:r>
        <w:t xml:space="preserve">(those catering more for pupils with special educational needs and disabilities) are excluded. After the exclusion of cases with missing predictor values or imputation of those values required for the log-linear specification (principally missing workforce or Ofsted data in 2024-25</w:t>
      </w:r>
      <w:r>
        <w:rPr>
          <w:rStyle w:val="FootnoteReference"/>
        </w:rPr>
        <w:footnoteReference w:id="30"/>
      </w:r>
      <w:r>
        <w:t xml:space="preserve">), the analysis sample used in the models is approximately 12,200 observations. All data are school-level aggregates; interpretations relate to this level of aggregation.</w:t>
      </w:r>
    </w:p>
    <w:bookmarkEnd w:id="31"/>
    <w:bookmarkStart w:id="33"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(for all, disadvantaged and non-disadvantaged pupils),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We should be clear that the log transformation is</w:t>
      </w:r>
      <w:r>
        <w:t xml:space="preserve"> </w:t>
      </w:r>
      <w:r>
        <w:rPr>
          <w:i/>
          <w:iCs/>
        </w:rPr>
        <w:t xml:space="preserve">not</w:t>
      </w:r>
      <w:r>
        <w:t xml:space="preserve"> </w:t>
      </w:r>
      <w:r>
        <w:t xml:space="preserve">applied uniformly to every predictor: only the four skewed, strictly-positive count-and-rate variables - the disadvantage, absence and EAL percentages and teacher sickness days - enter in logged form, chosen on the basis of fit and the interpretability of elasticities. The remaining predictors, including the low-prior-attainment percentage, the segregation index and the workforce proportions, enter linearly. This variable-by-variable choice, together with supporting diagnostics (component-plus-residual plots and a comparison of logged, linear and spline treatments), is documented in the supplementary material; the log form is retained where it both improves fit and yields a policy-legible elasticity, and a linear form is used otherwise.</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 % FSM), log(% overall absence - % Absence), log(% pupils with English as an additional language - % EAL),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2"/>
      </w:r>
      <w:r>
        <w:t xml:space="preserve">.</w:t>
      </w:r>
    </w:p>
    <w:p>
      <w:pPr>
        <w:pStyle w:val="BodyText"/>
      </w:pPr>
      <w:r>
        <w:t xml:space="preserve">The selective-admissions variable is the DfE’s own performance-tables admissions classification, and within our state-funded sample it distinguishes three groups: wholly</w:t>
      </w:r>
      <w:r>
        <w:t xml:space="preserve"> </w:t>
      </w:r>
      <w:r>
        <w:rPr>
          <w:i/>
          <w:iCs/>
        </w:rPr>
        <w:t xml:space="preserve">selective</w:t>
      </w:r>
      <w:r>
        <w:t xml:space="preserve"> </w:t>
      </w:r>
      <w:r>
        <w:t xml:space="preserve">state grammar schools that admit by an entrance test (166 schools, 4.8% of the sample); non-selective schools located in otherwise selective areas (234 schools, the reference category); and all other non-selective schools (the remaining ~88%). The estimate we report is therefore the effect of</w:t>
      </w:r>
      <w:r>
        <w:t xml:space="preserve"> </w:t>
      </w:r>
      <w:r>
        <w:rPr>
          <w:i/>
          <w:iCs/>
        </w:rPr>
        <w:t xml:space="preserve">full</w:t>
      </w:r>
      <w:r>
        <w:t xml:space="preserve"> </w:t>
      </w:r>
      <w:r>
        <w:t xml:space="preserve">academic selection, benchmarked against non-selective schools whose intakes are shaped by the same local grammar systems. It does not capture partial selection, banding, aptitude-based selection or faith-based oversubscription criteria, all of which fall within the</w:t>
      </w:r>
      <w:r>
        <w:t xml:space="preserve"> </w:t>
      </w:r>
      <w:r>
        <w:t xml:space="preserve">‘other non-selective’</w:t>
      </w:r>
      <w:r>
        <w:t xml:space="preserve"> </w:t>
      </w:r>
      <w:r>
        <w:t xml:space="preserve">category and are consequently unmeasured here; faith schools in particular are not separately identified in the main model.</w:t>
      </w:r>
    </w:p>
    <w:p>
      <w:pPr>
        <w:pStyle w:val="BodyText"/>
      </w:pPr>
      <w:r>
        <w:t xml:space="preserve">Two points on the prior-attainment control deserve emphasis. First, we control for prior attainment using the</w:t>
      </w:r>
      <w:r>
        <w:t xml:space="preserve"> </w:t>
      </w:r>
      <w:r>
        <w:rPr>
          <w:i/>
          <w:iCs/>
        </w:rPr>
        <w:t xml:space="preserve">percentage of KS4 pupils with low KS2 prior attainment</w:t>
      </w:r>
      <w:r>
        <w:t xml:space="preserve">, rather than the mean KS2 scaled score. This is a data-availability constraint, not a preference: the DfE publishes school-level mean KS2 score (and the middle and high prior-attainment bands) for only three of our four years - it is not released for 2024-25 - so the low-prior-attainment share is the only prior-attainment measure spanning the full panel, and we use it to preserve the most recent and policy-relevant cohort. As a robustness check, we refit the models on the three-year sub-sample where the richer measures exist, adding mean KS2 scaled score; the absence coefficient - the paper’s central quantity - is essentially unchanged (a shift of under 3%), while the FSM coefficient attenuates by around a third, reinforcing rather than weakening our finding that concentration of disadvantage is a comparatively weak lever (supplementary material). Second, because we lack pupil-level data, prior attainment is corrected only at the school level; this is a coarser adjustment than a pupil-and-school-level correction would provide, and some residual confounding of the intake coefficients cannot be ruled out. We return to this limitation later in the paper.</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Restricted Maximum Likelihood estimation.</w:t>
      </w:r>
    </w:p>
    <w:bookmarkEnd w:id="33"/>
    <w:bookmarkEnd w:id="34"/>
    <w:bookmarkStart w:id="46" w:name="results"/>
    <w:p>
      <w:pPr>
        <w:pStyle w:val="Heading1"/>
      </w:pPr>
      <w:r>
        <w:t xml:space="preserve">4. Results</w:t>
      </w:r>
    </w:p>
    <w:bookmarkStart w:id="35" w:name="model-fit"/>
    <w:p>
      <w:pPr>
        <w:pStyle w:val="Heading2"/>
      </w:pPr>
      <w:r>
        <w:t xml:space="preserve">4.1 Model fit</w:t>
      </w:r>
    </w:p>
    <w:p>
      <w:pPr>
        <w:pStyle w:val="FirstParagraph"/>
      </w:pPr>
      <w:r>
        <w:t xml:space="preserve">The models explain a substantial proportion of variance in school-level Attainment 8. In order that these fits are more intuitive for those used to interpreting OLS regression models, we use the method described by</w:t>
      </w:r>
      <w:r>
        <w:t xml:space="preserve"> </w:t>
      </w:r>
      <w:r>
        <w:t xml:space="preserve">Nakagawa and Schielzeth (2013)</w:t>
      </w:r>
      <w:r>
        <w:t xml:space="preserve"> </w:t>
      </w:r>
      <w:r>
        <w:t xml:space="preserve">and</w:t>
      </w:r>
      <w:r>
        <w:t xml:space="preserve"> </w:t>
      </w:r>
      <w:r>
        <w:t xml:space="preserve">Nakagawa et al. (2017)</w:t>
      </w:r>
      <w:r>
        <w:t xml:space="preserve">@nakagawa_coefficient_2017 to calculate indicative</w:t>
      </w:r>
      <w:r>
        <w:t xml:space="preserve"> </w:t>
      </w:r>
      <m:oMath>
        <m:sSup>
          <m:e>
            <m:r>
              <m:t>R</m:t>
            </m:r>
          </m:e>
          <m:sup>
            <m:r>
              <m:t>2</m:t>
            </m:r>
          </m:sup>
        </m:sSup>
      </m:oMath>
      <w:r>
        <w:t xml:space="preserve"> </w:t>
      </w:r>
      <w:r>
        <w:t xml:space="preserve">values.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5"/>
    <w:bookmarkStart w:id="37"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6"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6"/>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 The fixed-effect form is also informative in its own right: relative to an</w:t>
      </w:r>
      <w:r>
        <w:t xml:space="preserve"> </w:t>
      </w:r>
      <w:r>
        <w:t xml:space="preserve">‘Outstanding’</w:t>
      </w:r>
      <w:r>
        <w:t xml:space="preserve"> </w:t>
      </w:r>
      <w:r>
        <w:t xml:space="preserve">school, and holding intake constant, a</w:t>
      </w:r>
      <w:r>
        <w:t xml:space="preserve"> </w:t>
      </w:r>
      <w:r>
        <w:t xml:space="preserve">‘Good’</w:t>
      </w:r>
      <w:r>
        <w:t xml:space="preserve"> </w:t>
      </w:r>
      <w:r>
        <w:t xml:space="preserve">rating is associated with roughly 2.2 fewer Attainment 8 points,</w:t>
      </w:r>
      <w:r>
        <w:t xml:space="preserve"> </w:t>
      </w:r>
      <w:r>
        <w:t xml:space="preserve">‘Requires Improvement’</w:t>
      </w:r>
      <w:r>
        <w:t xml:space="preserve"> </w:t>
      </w:r>
      <w:r>
        <w:t xml:space="preserve">with 4.2 fewer, and</w:t>
      </w:r>
      <w:r>
        <w:t xml:space="preserve"> </w:t>
      </w:r>
      <w:r>
        <w:t xml:space="preserve">‘Inadequate’</w:t>
      </w:r>
      <w:r>
        <w:t xml:space="preserve"> </w:t>
      </w:r>
      <w:r>
        <w:t xml:space="preserve">with 4.7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driver of it; consistent with this, omitting Ofsted entirely</w:t>
      </w:r>
      <w:r>
        <w:t xml:space="preserve"> </w:t>
      </w:r>
      <w:r>
        <w:rPr>
          <w:i/>
          <w:iCs/>
        </w:rPr>
        <w:t xml:space="preserve">increases</w:t>
      </w:r>
      <w:r>
        <w:t xml:space="preserve"> </w:t>
      </w:r>
      <w:r>
        <w:t xml:space="preserve">the estimated absence effect by 13–16%, so its inclusion makes our headline absence figure, if anything, conservative.</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hyperlink w:anchor="fig-accelerating-returns">
        <w:r>
          <w:rPr>
            <w:rStyle w:val="Hyperlink"/>
          </w:rPr>
          <w:t xml:space="preserve">Figure 4</w:t>
        </w:r>
      </w:hyperlink>
      <w:r>
        <w:t xml:space="preserve">), which translates the coefficients into the expected Attainment 8 gain from a one-percentage-point change at each point along the absence and disadvantage distributions.</w:t>
      </w:r>
    </w:p>
    <w:bookmarkEnd w:id="37"/>
    <w:bookmarkStart w:id="45"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1" w:name="fig-standardised-coefficients"/>
          <w:p>
            <w:pPr>
              <w:pStyle w:val="Compact"/>
              <w:jc w:val="center"/>
            </w:pPr>
            <w:r>
              <w:drawing>
                <wp:inline>
                  <wp:extent cx="5943600" cy="4245428"/>
                  <wp:effectExtent b="0" l="0" r="0" t="0"/>
                  <wp:docPr descr="" title="" id="39" name="Picture"/>
                  <a:graphic>
                    <a:graphicData uri="http://schemas.openxmlformats.org/drawingml/2006/picture">
                      <pic:pic>
                        <pic:nvPicPr>
                          <pic:cNvPr descr="RPE_Paper_files/figure-docx/fig-standardised-coefficients-1.png" id="40" name="Picture"/>
                          <pic:cNvPicPr>
                            <a:picLocks noChangeArrowheads="1" noChangeAspect="1"/>
                          </pic:cNvPicPr>
                        </pic:nvPicPr>
                        <pic:blipFill>
                          <a:blip r:embed="rId3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1"/>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2"/>
      </w:r>
      <w:r>
        <w:t xml:space="preserve"> </w:t>
      </w:r>
      <w:r>
        <w:t xml:space="preserve">across all three pupil groups (all pupils, disadvantaged pupils and non-disadvantaged pupils - full model outputs available in the supplementary materials</w:t>
      </w:r>
      <w:r>
        <w:rPr>
          <w:rStyle w:val="FootnoteReference"/>
        </w:rPr>
        <w:footnoteReference w:id="43"/>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hyperlink w:anchor="fig-standardised-coefficients">
        <w:r>
          <w:rPr>
            <w:rStyle w:val="Hyperlink"/>
          </w:rPr>
          <w:t xml:space="preserve">Figure 1</w:t>
        </w:r>
      </w:hyperlink>
      <w:r>
        <w:t xml:space="preserve"> </w:t>
      </w:r>
      <w:r>
        <w:t xml:space="preserve">makes the relative importance of the predictors explicit, and the ordering is the central empirical message of the paper. School absence is the dominant lever by a clear margin; low prior attainment at KS2 is second; and the concentration of disadvantage - the variable around which the Brighton and Hove policy was built - is a distant contributor whose sign, as we discuss next, actually depends on the pupil group. Recognising this ordering matters, because a policy debate anchored on disadvantage concentration is, on this evidence, anchored on one of the weakest of the levers available.</w:t>
      </w:r>
    </w:p>
    <w:p>
      <w:pPr>
        <w:pStyle w:val="BodyText"/>
      </w:pPr>
      <w:r>
        <w:t xml:space="preserve">The most contentious finding in our analysis concerns concentrations of disadvantage (contentious in Brighton and Hove - although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4"/>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We should be careful about the interpretation of this positive coefficient. One reading is that equivalent disadvantaged pupils do genuinely better in higher-concentration schools (</w:t>
      </w:r>
      <w:r>
        <w:t xml:space="preserve">‘differing effects’</w:t>
      </w:r>
      <w:r>
        <w:t xml:space="preserve">). But an alternative is that the FSM binary cannot distinguish the depth or duration of disadvantage, so the disadvantaged pupils in a 50%-FSM school may differ systematically from those in a 20%-FSM school in ways our aggregate measures do not capture (</w:t>
      </w:r>
      <w:r>
        <w:t xml:space="preserve">‘differing pupils’</w:t>
      </w:r>
      <w:r>
        <w:t xml:space="preserve">). We cannot adjudicate between these with school-level data, and we do not claim to.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w:t>
      </w:r>
      <w:r>
        <w:t xml:space="preserve"> </w:t>
      </w:r>
      <w:r>
        <w:rPr>
          <w:i/>
          <w:iCs/>
        </w:rPr>
        <w:t xml:space="preserve">harms</w:t>
      </w:r>
      <w:r>
        <w:t xml:space="preserve"> </w:t>
      </w:r>
      <w:r>
        <w:t xml:space="preserve">their attainment, and therefore no support for the premise that de-concentration would</w:t>
      </w:r>
      <w:r>
        <w:t xml:space="preserve"> </w:t>
      </w:r>
      <w:r>
        <w:rPr>
          <w:i/>
          <w:iCs/>
        </w:rPr>
        <w:t xml:space="preserve">improve</w:t>
      </w:r>
      <w:r>
        <w:t xml:space="preserve"> </w:t>
      </w:r>
      <w:r>
        <w:t xml:space="preserve">it.</w:t>
      </w:r>
    </w:p>
    <w:p>
      <w:pPr>
        <w:pStyle w:val="BodyText"/>
      </w:pPr>
      <w:r>
        <w:t xml:space="preserve">For non-disadvantaged pupils, the effect of higher disadvantage concentrations is more clearly negative - being in a higher-disadvantage school depresses Attainment 8 for this group, possibly through peer effects or curriculum-resourcing dynamics. Both findings challenge the</w:t>
      </w:r>
      <w:r>
        <w:t xml:space="preserve"> </w:t>
      </w:r>
      <w:r>
        <w:t xml:space="preserve">‘no cost’</w:t>
      </w:r>
      <w:r>
        <w:t xml:space="preserve"> </w:t>
      </w:r>
      <w:r>
        <w:t xml:space="preserve">conjecture and, in the Brighton and Hove context, suggest that further mixing of an already comparatively well-integrated set of schools could be counter-productive for disadvantaged attainment.</w:t>
      </w:r>
    </w:p>
    <w:p>
      <w:pPr>
        <w:pStyle w:val="BodyText"/>
      </w:pPr>
      <w:r>
        <w:t xml:space="preserve">Absence is the biggest predictor across all groups and is even more important for disadvantaged pupils, for whom nearly half of the school-level variation in performance is explained by attendance alone.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w:t>
      </w:r>
      <w:r>
        <w:t xml:space="preserve"> </w:t>
      </w:r>
      <w:r>
        <w:t xml:space="preserve">(Thomson 2023)</w:t>
      </w:r>
      <w:r>
        <w:t xml:space="preserve">, they could be actively counter-productive.</w:t>
      </w:r>
    </w:p>
    <w:bookmarkEnd w:id="45"/>
    <w:bookmarkEnd w:id="46"/>
    <w:bookmarkStart w:id="81" w:name="brighton-and-hove-case-study"/>
    <w:p>
      <w:pPr>
        <w:pStyle w:val="Heading1"/>
      </w:pPr>
      <w:r>
        <w:t xml:space="preserve">5. Brighton and Hove case study</w:t>
      </w:r>
    </w:p>
    <w:bookmarkStart w:id="58"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In October 2024, the council launched proposals to amend the secondary school admissions process. The cabinet papers</w:t>
      </w:r>
      <w:r>
        <w:rPr>
          <w:rStyle w:val="FootnoteReference"/>
        </w:rPr>
        <w:footnoteReference w:id="47"/>
      </w:r>
      <w:r>
        <w:t xml:space="preserve"> </w:t>
      </w:r>
      <w:r>
        <w:t xml:space="preserve">set out three stated objectives:</w:t>
      </w:r>
      <w:r>
        <w:t xml:space="preserve"> </w:t>
      </w:r>
      <w:r>
        <w:rPr>
          <w:i/>
          <w:iCs/>
        </w:rPr>
        <w:t xml:space="preserve">‘a school system where all pupils get access to a great education’</w:t>
      </w:r>
      <w:r>
        <w:t xml:space="preserve">, improving</w:t>
      </w:r>
      <w:r>
        <w:t xml:space="preserve"> </w:t>
      </w:r>
      <w:r>
        <w:rPr>
          <w:i/>
          <w:iCs/>
        </w:rPr>
        <w:t xml:space="preserve">‘the education offer for disadvantaged pupils by reducing some schools’</w:t>
      </w:r>
      <w:r>
        <w:rPr>
          <w:i/>
          <w:iCs/>
        </w:rPr>
        <w:t xml:space="preserve"> </w:t>
      </w:r>
      <w:r>
        <w:rPr>
          <w:i/>
          <w:iCs/>
        </w:rPr>
        <w:t xml:space="preserve">barriers to success’</w:t>
      </w:r>
      <w:r>
        <w:t xml:space="preserve">, and</w:t>
      </w:r>
      <w:r>
        <w:t xml:space="preserve"> </w:t>
      </w:r>
      <w:r>
        <w:rPr>
          <w:i/>
          <w:iCs/>
        </w:rPr>
        <w:t xml:space="preserve">‘better equality of outcomes - results not driven by economic advantage’</w:t>
      </w:r>
      <w:r>
        <w:t xml:space="preserve">. Alongside ran a School Organisation Strategy commitment to</w:t>
      </w:r>
      <w:r>
        <w:t xml:space="preserve"> </w:t>
      </w:r>
      <w:r>
        <w:rPr>
          <w:i/>
          <w:iCs/>
        </w:rPr>
        <w:t xml:space="preserve">‘schools which are sustainable and able to thrive’</w:t>
      </w:r>
      <w:r>
        <w:t xml:space="preserve"> </w:t>
      </w:r>
      <w:r>
        <w:t xml:space="preserve">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w:t>
      </w:r>
      <w:r>
        <w:t xml:space="preserve"> </w:t>
      </w:r>
      <w:r>
        <w:t xml:space="preserve">Gorard and Siddiqui (2019)</w:t>
      </w:r>
      <w:r>
        <w:t xml:space="preserve"> </w:t>
      </w:r>
      <w:r>
        <w:t xml:space="preserve">in which more mixed intakes produce better outcomes for disadvantaged pupils, plus a premise that attainment in the city was</w:t>
      </w:r>
      <w:r>
        <w:t xml:space="preserve"> </w:t>
      </w:r>
      <w:r>
        <w:rPr>
          <w:i/>
          <w:iCs/>
        </w:rPr>
        <w:t xml:space="preserve">‘driven by economic advantage’</w:t>
      </w:r>
      <w:r>
        <w:t xml:space="preserve"> </w:t>
      </w:r>
      <w:r>
        <w:t xml:space="preserve">- a framing that implied that those who could afford to do so paid a housing premium to be near better schools in the city, but a characterisation empirically challenged in this context by</w:t>
      </w:r>
      <w:r>
        <w:t xml:space="preserve"> </w:t>
      </w:r>
      <w:r>
        <w:t xml:space="preserve">Tan and Dennett (2025)</w:t>
      </w:r>
      <w:r>
        <w:t xml:space="preserve"> </w:t>
      </w:r>
      <w:r>
        <w:t xml:space="preserve">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pPr>
        <w:pStyle w:val="BodyText"/>
      </w:pPr>
      <w:r>
        <w:t xml:space="preserve">The public response was overwhelmingly negative, with the council’s pre-consultation feedback summary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schools at the city’s periphery, potentially requiring over two hours of daily commuting. The council’s transport-implications appendix</w:t>
      </w:r>
      <w:r>
        <w:rPr>
          <w:rStyle w:val="FootnoteReference"/>
        </w:rPr>
        <w:footnoteReference w:id="50"/>
      </w:r>
      <w:r>
        <w:t xml:space="preserve"> </w:t>
      </w:r>
      <w:r>
        <w:t xml:space="preserve">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52"/>
      </w:r>
      <w:r>
        <w:t xml:space="preserve"> </w:t>
      </w:r>
      <w:r>
        <w:t xml:space="preserve">- which included sections on attendance, leadership, governance and targeted support - was not referenced in the 2024 consultation materials.</w:t>
      </w:r>
    </w:p>
    <w:p>
      <w:pPr>
        <w:pStyle w:val="BodyText"/>
      </w:pPr>
      <w:r>
        <w:t xml:space="preserve">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tbl>
      <w:tblPr>
        <w:tblStyle w:val="Table"/>
        <w:tblW w:type="pct" w:w="5000"/>
        <w:tblLayout w:type="fixed"/>
        <w:tblLook w:firstRow="0" w:lastRow="0" w:firstColumn="0" w:lastColumn="0" w:noHBand="0" w:noVBand="0" w:val="0000"/>
      </w:tblPr>
      <w:tblGrid>
        <w:gridCol w:w="7920"/>
      </w:tblGrid>
      <w:tr>
        <w:tc>
          <w:tcPr/>
          <w:bookmarkStart w:id="57" w:name="fig-catchments"/>
          <w:p>
            <w:pPr>
              <w:pStyle w:val="Compact"/>
              <w:jc w:val="center"/>
            </w:pPr>
            <w:r>
              <w:drawing>
                <wp:inline>
                  <wp:extent cx="5943600" cy="5094514"/>
                  <wp:effectExtent b="0" l="0" r="0" t="0"/>
                  <wp:docPr descr="" title="" id="55" name="Picture"/>
                  <a:graphic>
                    <a:graphicData uri="http://schemas.openxmlformats.org/drawingml/2006/picture">
                      <pic:pic>
                        <pic:nvPicPr>
                          <pic:cNvPr descr="RPE_Paper_files/figure-docx/fig-catchments-1.png" id="56" name="Picture"/>
                          <pic:cNvPicPr>
                            <a:picLocks noChangeArrowheads="1" noChangeAspect="1"/>
                          </pic:cNvPicPr>
                        </pic:nvPicPr>
                        <pic:blipFill>
                          <a:blip r:embed="rId54"/>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7"/>
        </w:tc>
      </w:tr>
    </w:tbl>
    <w:bookmarkEnd w:id="58"/>
    <w:bookmarkStart w:id="64"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2" w:name="fig-caterpillar"/>
          <w:p>
            <w:pPr>
              <w:pStyle w:val="Compact"/>
              <w:jc w:val="center"/>
            </w:pPr>
            <w:r>
              <w:drawing>
                <wp:inline>
                  <wp:extent cx="5943600" cy="5094514"/>
                  <wp:effectExtent b="0" l="0" r="0" t="0"/>
                  <wp:docPr descr="" title="" id="60" name="Picture"/>
                  <a:graphic>
                    <a:graphicData uri="http://schemas.openxmlformats.org/drawingml/2006/picture">
                      <pic:pic>
                        <pic:nvPicPr>
                          <pic:cNvPr descr="RPE_Paper_files/figure-docx/fig-caterpillar-1.png" id="61" name="Picture"/>
                          <pic:cNvPicPr>
                            <a:picLocks noChangeArrowheads="1" noChangeAspect="1"/>
                          </pic:cNvPicPr>
                        </pic:nvPicPr>
                        <pic:blipFill>
                          <a:blip r:embed="rId5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2"/>
        </w:tc>
      </w:tr>
    </w:tbl>
    <w:p>
      <w:pPr>
        <w:pStyle w:val="BodyText"/>
      </w:pPr>
      <w:hyperlink w:anchor="fig-caterpillar">
        <w:r>
          <w:rPr>
            <w:rStyle w:val="Hyperlink"/>
          </w:rPr>
          <w:t xml:space="preserve">Figure 3</w:t>
        </w:r>
      </w:hyperlink>
      <w:r>
        <w:t xml:space="preserve"> </w:t>
      </w:r>
      <w:r>
        <w:t xml:space="preserve">shows the local-authority random intercepts for disadvantaged-pupil attainment. Conditional on the structural factors in the model - including school absence - Brighton and Hove ranks</w:t>
      </w:r>
      <w:r>
        <w:t xml:space="preserve"> </w:t>
      </w:r>
      <w:r>
        <w:rPr>
          <w:b/>
          <w:bCs/>
        </w:rPr>
        <w:t xml:space="preserve">7th of 151</w:t>
      </w:r>
      <w:r>
        <w:t xml:space="preserve"> </w:t>
      </w:r>
      <w:r>
        <w:t xml:space="preserve">local authorities, a positive random intercept equivalent to roughly</w:t>
      </w:r>
      <w:r>
        <w:t xml:space="preserve"> </w:t>
      </w:r>
      <w:r>
        <w:rPr>
          <w:b/>
          <w:bCs/>
        </w:rPr>
        <w:t xml:space="preserve">+2 Attainment 8 points</w:t>
      </w:r>
      <w:r>
        <w:t xml:space="preserve"> </w:t>
      </w:r>
      <w:r>
        <w:t xml:space="preserve">above what those factors would predict. On the same conditional basis the city ranks 5th for non-disadvantaged pupils and 4th for all pupils. This was unknown at the time of the 2024 consultation and entirely absent from a public narrative framed around the raw attainment gap alone.</w:t>
      </w:r>
    </w:p>
    <w:p>
      <w:pPr>
        <w:pStyle w:val="BodyText"/>
      </w:pPr>
      <w:r>
        <w:t xml:space="preserve">That conditional ranking, however, depends on a modelling choice that turns out to carry most of the result. Controlling for absence estimates the city’s performance</w:t>
      </w:r>
      <w:r>
        <w:t xml:space="preserve"> </w:t>
      </w:r>
      <w:r>
        <w:rPr>
          <w:i/>
          <w:iCs/>
        </w:rPr>
        <w:t xml:space="preserve">given</w:t>
      </w:r>
      <w:r>
        <w:t xml:space="preserve"> </w:t>
      </w:r>
      <w:r>
        <w:t xml:space="preserve">the attendance its pupils actually record - and Brighton and Hove has among the worst attendance of any authority in England.</w:t>
      </w:r>
      <w:r>
        <w:t xml:space="preserve"> </w:t>
      </w:r>
      <w:hyperlink w:anchor="tbl-la-absence">
        <w:r>
          <w:rPr>
            <w:rStyle w:val="Hyperlink"/>
          </w:rPr>
          <w:t xml:space="preserve">Table 2</w:t>
        </w:r>
      </w:hyperlink>
      <w:r>
        <w:t xml:space="preserve"> </w:t>
      </w:r>
      <w:r>
        <w:t xml:space="preserve">reports the disadvantaged-attainment effect with and without that control. Without any absence term, the city falls from 7th to</w:t>
      </w:r>
      <w:r>
        <w:t xml:space="preserve"> </w:t>
      </w:r>
      <w:r>
        <w:rPr>
          <w:b/>
          <w:bCs/>
        </w:rPr>
        <w:t xml:space="preserve">46th of 151</w:t>
      </w:r>
      <w:r>
        <w:t xml:space="preserve"> </w:t>
      </w:r>
      <w:r>
        <w:t xml:space="preserve">and its effect is no longer statistically distinguishable from the national average. The city’s apparent excellence for disadvantaged pupils is, in this precise sense, conditional on setting its attendance problem aside.</w:t>
      </w:r>
    </w:p>
    <w:tbl>
      <w:tblPr>
        <w:tblStyle w:val="Table"/>
        <w:tblW w:type="pct" w:w="5000"/>
        <w:tblLayout w:type="fixed"/>
        <w:tblLook w:firstRow="0" w:lastRow="0" w:firstColumn="0" w:lastColumn="0" w:noHBand="0" w:noVBand="0" w:val="0000"/>
      </w:tblPr>
      <w:tblGrid>
        <w:gridCol w:w="7920"/>
      </w:tblGrid>
      <w:tr>
        <w:tc>
          <w:tcPr/>
          <w:bookmarkStart w:id="63" w:name="tbl-la-absence"/>
          <w:p>
            <w:pPr>
              <w:jc w:val="center"/>
            </w:pPr>
            <w:pPr>
              <w:jc w:val="left"/>
              <w:spacing w:before="200"/>
              <w:pStyle w:val="ImageCaption"/>
            </w:pPr>
            <w:r>
              <w:t xml:space="preserve">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
              <w:tblW w:type="pct" w:w="5000"/>
              <w:tblLayout w:type="fixed"/>
              <w:tblLook w:firstRow="1" w:lastRow="0" w:firstColumn="0" w:lastColumn="0" w:noHBand="0" w:noVBand="0" w:val="0020"/>
            </w:tblPr>
            <w:tblGrid>
              <w:gridCol w:w="3203"/>
              <w:gridCol w:w="978"/>
              <w:gridCol w:w="1423"/>
              <w:gridCol w:w="1512"/>
              <w:gridCol w:w="800"/>
            </w:tblGrid>
            <w:tr>
              <w:trPr>
                <w:tblHeader w:val="on"/>
              </w:trPr>
              <w:tc>
                <w:tcPr/>
                <w:p>
                  <w:pPr>
                    <w:pStyle w:val="Compact"/>
                    <w:jc w:val="left"/>
                    <w:jc w:val="center"/>
                  </w:pPr>
                  <w:r>
                    <w:t xml:space="preserve">Specification</w:t>
                  </w:r>
                </w:p>
              </w:tc>
              <w:tc>
                <w:tcPr/>
                <w:p>
                  <w:pPr>
                    <w:pStyle w:val="Compact"/>
                    <w:jc w:val="right"/>
                    <w:jc w:val="center"/>
                  </w:pPr>
                  <w:r>
                    <w:t xml:space="preserve">B&amp;H effect</w:t>
                  </w:r>
                </w:p>
              </w:tc>
              <w:tc>
                <w:tcPr/>
                <w:p>
                  <w:pPr>
                    <w:pStyle w:val="Compact"/>
                    <w:jc w:val="right"/>
                    <w:jc w:val="center"/>
                  </w:pPr>
                  <w:r>
                    <w:t xml:space="preserve">95% CI</w:t>
                  </w:r>
                </w:p>
              </w:tc>
              <w:tc>
                <w:tcPr/>
                <w:p>
                  <w:pPr>
                    <w:pStyle w:val="Compact"/>
                    <w:jc w:val="left"/>
                    <w:jc w:val="center"/>
                  </w:pPr>
                  <w:r>
                    <w:t xml:space="preserve">Rank</w:t>
                  </w:r>
                </w:p>
              </w:tc>
              <w:tc>
                <w:tcPr/>
                <w:p>
                  <w:pPr>
                    <w:pStyle w:val="Compact"/>
                    <w:jc w:val="right"/>
                    <w:jc w:val="center"/>
                  </w:pPr>
                  <w:r>
                    <w:t xml:space="preserve">ATT8 pts</w:t>
                  </w:r>
                </w:p>
              </w:tc>
            </w:tr>
            <w:tr>
              <w:tc>
                <w:tcPr/>
                <w:p>
                  <w:pPr>
                    <w:pStyle w:val="Compact"/>
                    <w:jc w:val="left"/>
                    <w:jc w:val="center"/>
                  </w:pPr>
                  <w:r>
                    <w:t xml:space="preserve">No absence control</w:t>
                  </w:r>
                </w:p>
              </w:tc>
              <w:tc>
                <w:tcPr/>
                <w:p>
                  <w:pPr>
                    <w:pStyle w:val="Compact"/>
                    <w:jc w:val="right"/>
                    <w:jc w:val="center"/>
                  </w:pPr>
                  <w:r>
                    <w:t xml:space="preserve">+0.018</w:t>
                  </w:r>
                </w:p>
              </w:tc>
              <w:tc>
                <w:tcPr/>
                <w:p>
                  <w:pPr>
                    <w:pStyle w:val="Compact"/>
                    <w:jc w:val="right"/>
                    <w:jc w:val="center"/>
                  </w:pPr>
                  <w:r>
                    <w:t xml:space="preserve">-0.022 to 0.058</w:t>
                  </w:r>
                </w:p>
              </w:tc>
              <w:tc>
                <w:tcPr/>
                <w:p>
                  <w:pPr>
                    <w:pStyle w:val="Compact"/>
                    <w:jc w:val="left"/>
                    <w:jc w:val="center"/>
                  </w:pPr>
                  <w:r>
                    <w:t xml:space="preserve">46 of 151 (n.s.)</w:t>
                  </w:r>
                </w:p>
              </w:tc>
              <w:tc>
                <w:tcPr/>
                <w:p>
                  <w:pPr>
                    <w:pStyle w:val="Compact"/>
                    <w:jc w:val="right"/>
                    <w:jc w:val="center"/>
                  </w:pPr>
                  <w:r>
                    <w:t xml:space="preserve">+0.7</w:t>
                  </w:r>
                </w:p>
              </w:tc>
            </w:tr>
            <w:tr>
              <w:tc>
                <w:tcPr/>
                <w:p>
                  <w:pPr>
                    <w:pStyle w:val="Compact"/>
                    <w:jc w:val="left"/>
                    <w:jc w:val="center"/>
                  </w:pPr>
                  <w:r>
                    <w:t xml:space="preserve">Absence controlled (main model)</w:t>
                  </w:r>
                </w:p>
              </w:tc>
              <w:tc>
                <w:tcPr/>
                <w:p>
                  <w:pPr>
                    <w:pStyle w:val="Compact"/>
                    <w:jc w:val="right"/>
                    <w:jc w:val="center"/>
                  </w:pPr>
                  <w:r>
                    <w:t xml:space="preserve">+0.050</w:t>
                  </w:r>
                </w:p>
              </w:tc>
              <w:tc>
                <w:tcPr/>
                <w:p>
                  <w:pPr>
                    <w:pStyle w:val="Compact"/>
                    <w:jc w:val="right"/>
                    <w:jc w:val="center"/>
                  </w:pPr>
                  <w:r>
                    <w:t xml:space="preserve">0.015 to 0.086</w:t>
                  </w:r>
                </w:p>
              </w:tc>
              <w:tc>
                <w:tcPr/>
                <w:p>
                  <w:pPr>
                    <w:pStyle w:val="Compact"/>
                    <w:jc w:val="left"/>
                    <w:jc w:val="center"/>
                  </w:pPr>
                  <w:r>
                    <w:t xml:space="preserve">7 of 151</w:t>
                  </w:r>
                </w:p>
              </w:tc>
              <w:tc>
                <w:tcPr/>
                <w:p>
                  <w:pPr>
                    <w:pStyle w:val="Compact"/>
                    <w:jc w:val="right"/>
                    <w:jc w:val="center"/>
                  </w:pPr>
                  <w:r>
                    <w:t xml:space="preserve">+2.0</w:t>
                  </w:r>
                </w:p>
              </w:tc>
            </w:tr>
            <w:tr>
              <w:tc>
                <w:tcPr/>
                <w:p>
                  <w:pPr>
                    <w:pStyle w:val="Compact"/>
                    <w:jc w:val="left"/>
                    <w:jc w:val="center"/>
                  </w:pPr>
                  <w:r>
                    <w:t xml:space="preserve">Intake-predicted absence controlled</w:t>
                  </w:r>
                </w:p>
              </w:tc>
              <w:tc>
                <w:tcPr/>
                <w:p>
                  <w:pPr>
                    <w:pStyle w:val="Compact"/>
                    <w:jc w:val="right"/>
                    <w:jc w:val="center"/>
                  </w:pPr>
                  <w:r>
                    <w:t xml:space="preserve">+0.017</w:t>
                  </w:r>
                </w:p>
              </w:tc>
              <w:tc>
                <w:tcPr/>
                <w:p>
                  <w:pPr>
                    <w:pStyle w:val="Compact"/>
                    <w:jc w:val="right"/>
                    <w:jc w:val="center"/>
                  </w:pPr>
                  <w:r>
                    <w:t xml:space="preserve">-0.023 to 0.057</w:t>
                  </w:r>
                </w:p>
              </w:tc>
              <w:tc>
                <w:tcPr/>
                <w:p>
                  <w:pPr>
                    <w:pStyle w:val="Compact"/>
                    <w:jc w:val="left"/>
                    <w:jc w:val="center"/>
                  </w:pPr>
                  <w:r>
                    <w:t xml:space="preserve">45 of 151 (n.s.)</w:t>
                  </w:r>
                </w:p>
              </w:tc>
              <w:tc>
                <w:tcPr/>
                <w:p>
                  <w:pPr>
                    <w:pStyle w:val="Compact"/>
                    <w:jc w:val="right"/>
                    <w:jc w:val="center"/>
                  </w:pPr>
                  <w:r>
                    <w:t xml:space="preserve">+0.7</w:t>
                  </w:r>
                </w:p>
              </w:tc>
            </w:tr>
          </w:tbl>
          <w:bookmarkEnd w:id="63"/>
          <w:p/>
        </w:tc>
      </w:tr>
    </w:tbl>
    <w:p>
      <w:pPr>
        <w:pStyle w:val="BodyText"/>
      </w:pPr>
      <w:r>
        <w:t xml:space="preserve">This is not an artefact peculiar to Brighton and Hove: controlling for absence reshuffles the whole distribution of local-authority effects, and 14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p>
    <w:p>
      <w:pPr>
        <w:pStyle w:val="BodyText"/>
      </w:pPr>
      <w:r>
        <w:t xml:space="preserve">We regard the distance between these two numbers as the finding, rather than either number alone. Conditional on the absence its pupils face, Brighton and Hove’s schools are among the best in England for disadvantaged attainment; unconditionally they are unremarkable.</w:t>
      </w:r>
      <w:r>
        <w:t xml:space="preserve"> </w:t>
      </w:r>
      <w:r>
        <w:rPr>
          <w:b/>
          <w:bCs/>
        </w:rPr>
        <w:t xml:space="preserve">The gap between the two - about 1.3 Attainment 8 points per disadvantaged pupil - is a direct measure of what the city’s attendance problem costs its most disadvantaged children.</w:t>
      </w:r>
      <w:r>
        <w:t xml:space="preserve"> </w:t>
      </w:r>
      <w:r>
        <w:t xml:space="preserve">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46th; it is specifically the disadvantaged-pupil result that rests on it.)</w:t>
      </w:r>
    </w:p>
    <w:p>
      <w:pPr>
        <w:pStyle w:val="BodyText"/>
      </w:pPr>
      <w:r>
        <w:t xml:space="preserve">Two features of the city’s absence confirm that this is a local problem rather than an inevitability of its intake. First, Brighton and Hove’s disadvantage is unexceptional: its mean school-level free-school-meal rate (25.2%) is slightly</w:t>
      </w:r>
      <w:r>
        <w:t xml:space="preserve"> </w:t>
      </w:r>
      <w:r>
        <w:rPr>
          <w:i/>
          <w:iCs/>
        </w:rPr>
        <w:t xml:space="preserve">below</w:t>
      </w:r>
      <w:r>
        <w:t xml:space="preserve"> </w:t>
      </w:r>
      <w:r>
        <w:t xml:space="preserve">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p>
    <w:bookmarkEnd w:id="64"/>
    <w:bookmarkStart w:id="69"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8" w:name="fig-accelerating-returns"/>
          <w:p>
            <w:pPr>
              <w:pStyle w:val="Compact"/>
              <w:jc w:val="center"/>
            </w:pPr>
            <w:r>
              <w:drawing>
                <wp:inline>
                  <wp:extent cx="5943600" cy="3820885"/>
                  <wp:effectExtent b="0" l="0" r="0" t="0"/>
                  <wp:docPr descr="" title="" id="66" name="Picture"/>
                  <a:graphic>
                    <a:graphicData uri="http://schemas.openxmlformats.org/drawingml/2006/picture">
                      <pic:pic>
                        <pic:nvPicPr>
                          <pic:cNvPr descr="RPE_Paper_files/figure-docx/fig-accelerating-returns-1.png" id="67" name="Picture"/>
                          <pic:cNvPicPr>
                            <a:picLocks noChangeArrowheads="1" noChangeAspect="1"/>
                          </pic:cNvPicPr>
                        </pic:nvPicPr>
                        <pic:blipFill>
                          <a:blip r:embed="rId65"/>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8"/>
        </w:tc>
      </w:tr>
    </w:tbl>
    <w:p>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w:t>
      </w:r>
      <w:r>
        <w:t xml:space="preserve"> </w:t>
      </w:r>
      <w:r>
        <w:rPr>
          <w:i/>
          <w:iCs/>
        </w:rPr>
        <w:t xml:space="preserve">widens</w:t>
      </w:r>
      <w:r>
        <w:t xml:space="preserve"> </w:t>
      </w:r>
      <w:r>
        <w:t xml:space="preserve">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bookmarkEnd w:id="69"/>
    <w:bookmarkStart w:id="74"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3" w:name="fig-obs-vs-pred"/>
          <w:p>
            <w:pPr>
              <w:pStyle w:val="Compact"/>
              <w:jc w:val="center"/>
            </w:pPr>
            <w:r>
              <w:drawing>
                <wp:inline>
                  <wp:extent cx="5943600" cy="7641771"/>
                  <wp:effectExtent b="0" l="0" r="0" t="0"/>
                  <wp:docPr descr="" title="" id="71" name="Picture"/>
                  <a:graphic>
                    <a:graphicData uri="http://schemas.openxmlformats.org/drawingml/2006/picture">
                      <pic:pic>
                        <pic:nvPicPr>
                          <pic:cNvPr descr="RPE_Paper_files/figure-docx/fig-obs-vs-pred-1.png" id="72" name="Picture"/>
                          <pic:cNvPicPr>
                            <a:picLocks noChangeArrowheads="1" noChangeAspect="1"/>
                          </pic:cNvPicPr>
                        </pic:nvPicPr>
                        <pic:blipFill>
                          <a:blip r:embed="rId70"/>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3"/>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4"/>
    <w:bookmarkStart w:id="80" w:name="X8ff19f05081feb947c9bfda17930b607e81aacb"/>
    <w:p>
      <w:pPr>
        <w:pStyle w:val="Heading2"/>
      </w:pPr>
      <w:r>
        <w:t xml:space="preserve">5.5 Decomposing absence: structural intake versus school management</w:t>
      </w:r>
    </w:p>
    <w:p>
      <w:pPr>
        <w:pStyle w:val="FirstParagraph"/>
      </w:pPr>
      <w:r>
        <w:t xml:space="preserve">The contextualised value-added reading above hides a complication. Our headline model treats school-level absence as a single regressor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w:t>
      </w:r>
      <w:r>
        <w:t xml:space="preserve"> </w:t>
      </w:r>
      <w:r>
        <w:t xml:space="preserve">‘value-added’</w:t>
      </w:r>
      <w:r>
        <w:t xml:space="preserve"> </w:t>
      </w:r>
      <w:r>
        <w:t xml:space="preserve">reflects what the school does</w:t>
      </w:r>
      <w:r>
        <w:t xml:space="preserve"> </w:t>
      </w:r>
      <w:r>
        <w:rPr>
          <w:i/>
          <w:iCs/>
        </w:rPr>
        <w:t xml:space="preserve">given</w:t>
      </w:r>
      <w:r>
        <w:t xml:space="preserve"> </w:t>
      </w:r>
      <w:r>
        <w:t xml:space="preserve">its attendance, not what it does</w:t>
      </w:r>
      <w:r>
        <w:t xml:space="preserve"> </w:t>
      </w:r>
      <w:r>
        <w:rPr>
          <w:i/>
          <w:iCs/>
        </w:rPr>
        <w:t xml:space="preserve">to</w:t>
      </w:r>
      <w:r>
        <w:t xml:space="preserve"> </w:t>
      </w:r>
      <w:r>
        <w:t xml:space="preserve">its attendance.</w:t>
      </w:r>
    </w:p>
    <w:p>
      <w:pPr>
        <w:pStyle w:val="BodyText"/>
      </w:pPr>
      <w:r>
        <w:t xml:space="preserve">A two-stage decomposition</w:t>
      </w:r>
      <w:r>
        <w:rPr>
          <w:rStyle w:val="FootnoteReference"/>
        </w:rPr>
        <w:footnoteReference w:id="75"/>
      </w:r>
      <w:r>
        <w:t xml:space="preserve"> </w:t>
      </w:r>
      <w:r>
        <w:t xml:space="preserve">separates these elements. First, we model school-level absence on the variables we treat as exogenous (FSM, EAL, low prior attainment, segregation, plus place and year random effects), producing for every school-year an</w:t>
      </w:r>
      <w:r>
        <w:t xml:space="preserve"> </w:t>
      </w:r>
      <w:r>
        <w:rPr>
          <w:i/>
          <w:iCs/>
        </w:rPr>
        <w:t xml:space="preserve">expected absence</w:t>
      </w:r>
      <w:r>
        <w:t xml:space="preserve"> </w:t>
      </w:r>
      <w:r>
        <w:t xml:space="preserve">(intake-predicted) and a</w:t>
      </w:r>
      <w:r>
        <w:t xml:space="preserve"> </w:t>
      </w:r>
      <w:r>
        <w:rPr>
          <w:i/>
          <w:iCs/>
        </w:rPr>
        <w:t xml:space="preserve">residual absence</w:t>
      </w:r>
      <w:r>
        <w:t xml:space="preserve"> </w:t>
      </w:r>
      <w:r>
        <w:t xml:space="preserve">(school-controllable). Second, we refit the attainment model with intake-predicted absence in place of raw absence, dropping the workforce predictors. The school-level residual from this refitted model is a more honest value-added measure: attendance management is now counted as part of the school’s contribution rather than stripped away as a control.</w:t>
      </w:r>
    </w:p>
    <w:p>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w:t>
      </w:r>
      <w:r>
        <w:t xml:space="preserve"> </w:t>
      </w:r>
      <w:r>
        <w:rPr>
          <w:i/>
          <w:iCs/>
        </w:rPr>
        <w:t xml:space="preserve">and</w:t>
      </w:r>
      <w:r>
        <w:t xml:space="preserve"> </w:t>
      </w:r>
      <w:r>
        <w:t xml:space="preserve">cross-departmental work - public health, children’s services, area-level deprivation policy - because much of what schools deal with on attendance is inherited rather than generated.</w:t>
      </w:r>
    </w:p>
    <w:tbl>
      <w:tblPr>
        <w:tblStyle w:val="Table"/>
        <w:tblW w:type="pct" w:w="5000"/>
        <w:tblLayout w:type="fixed"/>
        <w:tblLook w:firstRow="0" w:lastRow="0" w:firstColumn="0" w:lastColumn="0" w:noHBand="0" w:noVBand="0" w:val="0000"/>
      </w:tblPr>
      <w:tblGrid>
        <w:gridCol w:w="7920"/>
      </w:tblGrid>
      <w:tr>
        <w:tc>
          <w:tcPr/>
          <w:bookmarkStart w:id="79" w:name="fig-quadrant"/>
          <w:p>
            <w:pPr>
              <w:pStyle w:val="Compact"/>
              <w:jc w:val="center"/>
            </w:pPr>
            <w:r>
              <w:drawing>
                <wp:inline>
                  <wp:extent cx="5943600" cy="4245428"/>
                  <wp:effectExtent b="0" l="0" r="0" t="0"/>
                  <wp:docPr descr="" title="" id="77" name="Picture"/>
                  <a:graphic>
                    <a:graphicData uri="http://schemas.openxmlformats.org/drawingml/2006/picture">
                      <pic:pic>
                        <pic:nvPicPr>
                          <pic:cNvPr descr="RPE_Paper_files/figure-docx/fig-quadrant-1.png" id="78" name="Picture"/>
                          <pic:cNvPicPr>
                            <a:picLocks noChangeArrowheads="1" noChangeAspect="1"/>
                          </pic:cNvPicPr>
                        </pic:nvPicPr>
                        <pic:blipFill>
                          <a:blip r:embed="rId7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bookmarkEnd w:id="79"/>
        </w:tc>
      </w:tr>
    </w:tbl>
    <w:p>
      <w:pPr>
        <w:pStyle w:val="BodyText"/>
      </w:pPr>
      <w:r>
        <w:t xml:space="preserve">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 xml:space="preserve">Figure 6</w:t>
        </w:r>
      </w:hyperlink>
      <w:r>
        <w:t xml:space="preserve">),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pPr>
        <w:pStyle w:val="BodyText"/>
      </w:pPr>
      <w:r>
        <w:t xml:space="preserve">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w:t>
      </w:r>
      <w:r>
        <w:t xml:space="preserve"> </w:t>
      </w:r>
      <w:r>
        <w:t xml:space="preserve">“fix attendance”</w:t>
      </w:r>
      <w:r>
        <w:t xml:space="preserve"> </w:t>
      </w:r>
      <w:r>
        <w:t xml:space="preserve">improvement story is not available. Schools in Q3 are the most natural targets for council-led attendance interventions, and Q1 schools are where the city should look for practice worth sharing.</w:t>
      </w:r>
    </w:p>
    <w:p>
      <w:pPr>
        <w:pStyle w:val="BodyText"/>
      </w:pPr>
      <w:r>
        <w:t xml:space="preserve">We are aware that Progress 8 is an attempt to bring a degree of value added into the reporting of attainment, but we would advocate for a more sophisticated, model-based measure of value 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bookmarkEnd w:id="80"/>
    <w:bookmarkEnd w:id="81"/>
    <w:bookmarkStart w:id="98" w:name="discussion"/>
    <w:p>
      <w:pPr>
        <w:pStyle w:val="Heading1"/>
      </w:pPr>
      <w:r>
        <w:t xml:space="preserve">6. Discussion</w:t>
      </w:r>
    </w:p>
    <w:bookmarkStart w:id="83" w:name="Xd3364b35d543c93770b334c5dc736f1edb746ee"/>
    <w:p>
      <w:pPr>
        <w:pStyle w:val="Heading2"/>
      </w:pPr>
      <w:r>
        <w:t xml:space="preserve">6.1 The danger of single-lever policy thinking</w:t>
      </w:r>
    </w:p>
    <w:p>
      <w:pPr>
        <w:pStyle w:val="FirstParagraph"/>
      </w:pPr>
      <w:r>
        <w:t xml:space="preserve">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82"/>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This premise sits awkwardly with the existing evidence base.</w:t>
      </w:r>
      <w:r>
        <w:t xml:space="preserve"> </w:t>
      </w:r>
      <w:r>
        <w:t xml:space="preserve">Macleod et al. (2015)</w:t>
      </w:r>
      <w:r>
        <w:t xml:space="preserve">’s earlier analysis for the DfE found that, controlling for intake characteristics, schools with higher concentrations of disadvantage tend to do</w:t>
      </w:r>
      <w:r>
        <w:t xml:space="preserve"> </w:t>
      </w:r>
      <w:r>
        <w:rPr>
          <w:i/>
          <w:iCs/>
        </w:rPr>
        <w:t xml:space="preserve">better</w:t>
      </w:r>
      <w:r>
        <w:t xml:space="preserve"> </w:t>
      </w:r>
      <w:r>
        <w:t xml:space="preserve">for their disadvantaged pupils, not worse. Our more up-to-date modelling on four years of national data reaches the same conclusion.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the opposite outcome.</w:t>
      </w:r>
    </w:p>
    <w:p>
      <w:pPr>
        <w:pStyle w:val="BodyText"/>
      </w:pPr>
      <w:r>
        <w:t xml:space="preserve">The chosen lever also carries risks that the proposals did not engage with. Redistribution generates longer journeys to school, and the wider literature is clear that long commutes are associated with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consequences, including stress</w:t>
      </w:r>
      <w:r>
        <w:t xml:space="preserve"> </w:t>
      </w:r>
      <w:r>
        <w:t xml:space="preserve">(Karan et al. 2021)</w:t>
      </w:r>
      <w:r>
        <w:t xml:space="preserve">, lower wellbeing</w:t>
      </w:r>
      <w:r>
        <w:t xml:space="preserve"> </w:t>
      </w:r>
      <w:r>
        <w:t xml:space="preserve">(Ding et al. 2023)</w:t>
      </w:r>
      <w:r>
        <w:t xml:space="preserve">, and higher absence across multiple national settings</w:t>
      </w:r>
      <w:r>
        <w:t xml:space="preserve"> </w:t>
      </w:r>
      <w:r>
        <w:t xml:space="preserve">(Otsuka et al. 2025; Cordes et al. 2022; Blagg et al. 2018)</w:t>
      </w:r>
      <w:r>
        <w:t xml:space="preserve">, including England</w:t>
      </w:r>
      <w:r>
        <w:t xml:space="preserve"> </w:t>
      </w:r>
      <w:r>
        <w:t xml:space="preserve">(Thomson 2023)</w:t>
      </w:r>
      <w:r>
        <w:t xml:space="preserve">.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w:t>
      </w:r>
      <w:r>
        <w:t xml:space="preserve"> </w:t>
      </w:r>
      <w:r>
        <w:t xml:space="preserve">(Faulkner et al. 2013)</w:t>
      </w:r>
      <w:r>
        <w:t xml:space="preserve">. A Chicago case study</w:t>
      </w:r>
      <w:r>
        <w:t xml:space="preserve"> </w:t>
      </w:r>
      <w:r>
        <w:t xml:space="preserve">(Shah 2023)</w:t>
      </w:r>
      <w:r>
        <w:t xml:space="preserve"> </w:t>
      </w:r>
      <w:r>
        <w:t xml:space="preserve">argues that the burden of long commutes falls disproportionately on pupils already experiencing other forms of marginalisation, and long-distance transit predicts early high school transfer</w:t>
      </w:r>
      <w:r>
        <w:t xml:space="preserve"> </w:t>
      </w:r>
      <w:r>
        <w:t xml:space="preserve">(Stein et al. 2021)</w:t>
      </w:r>
      <w:r>
        <w:t xml:space="preserve">, itself a risk factor for poor attainment. These are not peripheral concerns; they are part of the cost-benefit calculus any redistribution policy needs to engage with, and were largely missing from the 2024 deliberation. The claim that social mixing can be achieved at</w:t>
      </w:r>
      <w:r>
        <w:t xml:space="preserve"> </w:t>
      </w:r>
      <w:r>
        <w:t xml:space="preserve">‘almost no cost’</w:t>
      </w:r>
      <w:r>
        <w:t xml:space="preserve"> </w:t>
      </w:r>
      <w:r>
        <w:t xml:space="preserve">(Gorard and Siddiqui 2019)</w:t>
      </w:r>
      <w:r>
        <w:t xml:space="preserve"> </w:t>
      </w:r>
      <w:r>
        <w:t xml:space="preserve">sits awkwardly with this second-order literature.</w:t>
      </w:r>
    </w:p>
    <w:p>
      <w:pPr>
        <w:pStyle w:val="BodyText"/>
      </w:pPr>
      <w:r>
        <w:t xml:space="preserve">It is worth making the mechanism explicit, because it clarifies how an admissions reform actually reaches attainment. There are two pathways. The first is the intended one: changing where pupils go alters the</w:t>
      </w:r>
      <w:r>
        <w:t xml:space="preserve"> </w:t>
      </w:r>
      <w:r>
        <w:rPr>
          <w:i/>
          <w:iCs/>
        </w:rPr>
        <w:t xml:space="preserve">FSM composition</w:t>
      </w:r>
      <w:r>
        <w:t xml:space="preserve"> </w:t>
      </w:r>
      <w:r>
        <w:t xml:space="preserve">of individual schools, which our modelling shows has, at most, a small effect on attainment - and for disadvantaged pupils, an effect that if anything runs the wrong way. The second is unintended: moving pupils further from home increases</w:t>
      </w:r>
      <w:r>
        <w:t xml:space="preserve"> </w:t>
      </w:r>
      <w:r>
        <w:rPr>
          <w:i/>
          <w:iCs/>
        </w:rPr>
        <w:t xml:space="preserve">travel</w:t>
      </w:r>
      <w:r>
        <w:t xml:space="preserve">, which the evidence above links to</w:t>
      </w:r>
      <w:r>
        <w:t xml:space="preserve"> </w:t>
      </w:r>
      <w:r>
        <w:rPr>
          <w:i/>
          <w:iCs/>
        </w:rPr>
        <w:t xml:space="preserve">higher absence.</w:t>
      </w:r>
      <w:r>
        <w:t xml:space="preserve"> </w:t>
      </w:r>
      <w:r>
        <w:t xml:space="preserve">Recent research also clearly links attendance with the sense of well-being, life satisfaction and belonging in students</w:t>
      </w:r>
      <w:r>
        <w:t xml:space="preserve"> </w:t>
      </w:r>
      <w:r>
        <w:t xml:space="preserve">(Moore et al. 2026)</w:t>
      </w:r>
      <w:r>
        <w:t xml:space="preserve">.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w:t>
      </w:r>
      <w:r>
        <w:t xml:space="preserve"> </w:t>
      </w:r>
      <w:r>
        <w:rPr>
          <w:i/>
          <w:iCs/>
        </w:rPr>
        <w:t xml:space="preserve">expected</w:t>
      </w:r>
      <w:r>
        <w:t xml:space="preserve"> </w:t>
      </w:r>
      <w:r>
        <w:t xml:space="preserve">effects derived from national associations, not an evaluation of the 2023 free-school-meal-priority policy or the 2026 arrangements, which post-date our outcome data and whose effects the council’s own commissioned follow-up work has yet to report.</w:t>
      </w:r>
    </w:p>
    <w:bookmarkEnd w:id="83"/>
    <w:bookmarkStart w:id="86" w:name="X721a00ff84e807512ec4207f4efbd7031d30b61"/>
    <w:p>
      <w:pPr>
        <w:pStyle w:val="Heading2"/>
      </w:pPr>
      <w:r>
        <w:t xml:space="preserve">6.2 Attendance as the most impactful single lever</w:t>
      </w:r>
    </w:p>
    <w:p>
      <w:pPr>
        <w:pStyle w:val="FirstParagraph"/>
      </w:pPr>
      <w:r>
        <w:t xml:space="preserve">A policy conversation about Brighton and Hove’s disadvantage attainment gap that wants to make the largest predictable difference should put</w:t>
      </w:r>
      <w:r>
        <w:t xml:space="preserve"> </w:t>
      </w:r>
      <w:r>
        <w:rPr>
          <w:b/>
          <w:bCs/>
        </w:rPr>
        <w:t xml:space="preserve">attendance</w:t>
      </w:r>
      <w:r>
        <w:t xml:space="preserve"> </w:t>
      </w:r>
      <w:r>
        <w:t xml:space="preserve">at its centre. This sits squarely within the council’s own framing: the December 2024 cabinet report named</w:t>
      </w:r>
      <w:r>
        <w:t xml:space="preserve"> </w:t>
      </w:r>
      <w:r>
        <w:rPr>
          <w:i/>
          <w:iCs/>
        </w:rPr>
        <w:t xml:space="preserve">‘reducing some schools’</w:t>
      </w:r>
      <w:r>
        <w:rPr>
          <w:i/>
          <w:iCs/>
        </w:rPr>
        <w:t xml:space="preserve"> </w:t>
      </w:r>
      <w:r>
        <w:rPr>
          <w:i/>
          <w:iCs/>
        </w:rPr>
        <w:t xml:space="preserve">barriers to success’</w:t>
      </w:r>
      <w:r>
        <w:t xml:space="preserve"> </w:t>
      </w:r>
      <w:r>
        <w:t xml:space="preserve">for disadvantaged pupils as one of its three core objectives for the 2026/27 admissions changes</w:t>
      </w:r>
      <w:r>
        <w:t xml:space="preserve"> </w:t>
      </w:r>
      <w:r>
        <w:rPr>
          <w:rStyle w:val="FootnoteReference"/>
        </w:rPr>
        <w:footnoteReference w:id="84"/>
      </w:r>
      <w:r>
        <w:t xml:space="preserve">. Of the school-level barriers our modelling is able to quantify - intake composition, prior attainment, workforce stability, segregation, and absence - none has a larger or better-evidenced effect on disadvantaged attainment than absence. On the council’s own framing, in other words, the most direct route to</w:t>
      </w:r>
      <w:r>
        <w:t xml:space="preserve"> </w:t>
      </w:r>
      <w:r>
        <w:rPr>
          <w:i/>
          <w:iCs/>
        </w:rPr>
        <w:t xml:space="preserve">‘reducing barriers to success’</w:t>
      </w:r>
      <w:r>
        <w:t xml:space="preserve"> </w:t>
      </w:r>
      <w:r>
        <w:t xml:space="preserve">for the city’s disadvantaged pupils points at attendance rather than at admissions arrangements. The city has the second-worst absence rate in England in 2024-25 - and, unlike almost every other authority, one that has barely improved since the pandemic - and the wider evidence indicates that closing this gap would yield attainment gains for disadvantaged pupils that comfortably exceed anything achievable through changes to admissions arrangements - and would do so</w:t>
      </w:r>
      <w:r>
        <w:t xml:space="preserve"> </w:t>
      </w:r>
      <w:r>
        <w:rPr>
          <w:i/>
          <w:iCs/>
        </w:rPr>
        <w:t xml:space="preserve">without</w:t>
      </w:r>
      <w:r>
        <w:t xml:space="preserve"> </w:t>
      </w:r>
      <w:r>
        <w:t xml:space="preserve">the social, health and travel costs that a redistribution-led approach might produce.</w:t>
      </w:r>
    </w:p>
    <w:p>
      <w:pPr>
        <w:pStyle w:val="BodyText"/>
      </w:pPr>
      <w:r>
        <w:t xml:space="preserve">We should reiterate that Brighton and Hove’s absence rates are not a necessary consequence of its intake. The city has near-average FSM eligibility but near-worst absence, suggesting the problem reflects local factors - attendance culture, enforcement practices, transport friction or community dynamics - rather than being an unavoidable correlate of disadvantage. If the city is not already running a substantial cross-departmental attendance programme alongside its school-level work, the case for one is strong. There is a budget question too: the £606,000 already spent annually on supported bus routes and passes</w:t>
      </w:r>
      <w:r>
        <w:rPr>
          <w:rStyle w:val="FootnoteReference"/>
        </w:rPr>
        <w:footnoteReference w:id="85"/>
      </w:r>
      <w:r>
        <w:t xml:space="preserve">,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bookmarkEnd w:id="86"/>
    <w:bookmarkStart w:id="90" w:name="Xe20933ab3677df6d1953e5d7ada5fd38009a941"/>
    <w:p>
      <w:pPr>
        <w:pStyle w:val="Heading2"/>
      </w:pPr>
      <w:r>
        <w:t xml:space="preserve">6.3 A new value-added view to support better local decisions</w:t>
      </w:r>
    </w:p>
    <w:p>
      <w:pPr>
        <w:pStyle w:val="FirstParagraph"/>
      </w:pPr>
      <w:r>
        <w:t xml:space="preserve">Another contribution of this work is methodological. The multilevel model lets us look beyond a school’s raw attainment outcomes and ask how much it is adding</w:t>
      </w:r>
      <w:r>
        <w:t xml:space="preserve"> </w:t>
      </w:r>
      <w:r>
        <w:rPr>
          <w:i/>
          <w:iCs/>
        </w:rPr>
        <w:t xml:space="preserve">over and above</w:t>
      </w:r>
      <w:r>
        <w:t xml:space="preserve"> </w:t>
      </w:r>
      <w:r>
        <w:t xml:space="preserve">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tbl>
      <w:tblPr>
        <w:tblStyle w:val="Table"/>
        <w:tblW w:type="pct" w:w="5000"/>
        <w:tblLayout w:type="fixed"/>
        <w:tblLook w:firstRow="0" w:lastRow="0" w:firstColumn="0" w:lastColumn="0" w:noHBand="0" w:noVBand="0" w:val="0000"/>
      </w:tblPr>
      <w:tblGrid>
        <w:gridCol w:w="7920"/>
      </w:tblGrid>
      <w:tr>
        <w:tc>
          <w:tcPr/>
          <w:bookmarkStart w:id="87" w:name="tbl-league"/>
          <w:p>
            <w:pPr>
              <w:jc w:val="center"/>
            </w:pPr>
            <w:pPr>
              <w:jc w:val="left"/>
              <w:spacing w:before="200"/>
              <w:pStyle w:val="ImageCaption"/>
            </w:pPr>
            <w:r>
              <w:t xml:space="preserve">Table 3: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87"/>
          <w:p/>
        </w:tc>
      </w:tr>
    </w:tbl>
    <w:p>
      <w:pPr>
        <w:pStyle w:val="BodyText"/>
      </w:pPr>
      <w:r>
        <w:t xml:space="preserve">During the 2024 consultation, the public debate shifted from how the council’s proposals would improve disadvantaged attainment to how they would facilitate parental choice. An activist group (Equity in Education - supported by Class Divide) emerged from within the BACA catchment advocating for alternatives to that school, which then had a</w:t>
      </w:r>
      <w:r>
        <w:t xml:space="preserve"> </w:t>
      </w:r>
      <w:r>
        <w:t xml:space="preserve">‘requires improvement’</w:t>
      </w:r>
      <w:r>
        <w:t xml:space="preserve"> </w:t>
      </w:r>
      <w:r>
        <w:t xml:space="preserve">Ofsted rating and some of the city’s lowest raw attainment scores. A considerable number of BACA-catchment parents subsequently opted for Patcham School -</w:t>
      </w:r>
      <w:r>
        <w:t xml:space="preserve"> </w:t>
      </w:r>
      <w:r>
        <w:t xml:space="preserve">‘Good’</w:t>
      </w:r>
      <w:r>
        <w:t xml:space="preserve"> </w:t>
      </w:r>
      <w:r>
        <w:t xml:space="preserve">rated, mid-table on raw attainment, in a more prosperous neighbouring catchment.</w:t>
      </w:r>
    </w:p>
    <w:p>
      <w:pPr>
        <w:pStyle w:val="BodyText"/>
      </w:pPr>
      <w:r>
        <w:t xml:space="preserve">The contextualised picture differs sharply. BACA sits in one of the most deprived parts of the city, experiences absence well above the high city average, has around 50% FSM and 30% low prior attainment; Patcham has below-national-average absence, around 25% FSM and 16% low prior attainment. Once these cohort differences are accounted for, the league tables in</w:t>
      </w:r>
      <w:r>
        <w:t xml:space="preserve"> </w:t>
      </w:r>
      <w:hyperlink w:anchor="tbl-league">
        <w:r>
          <w:rPr>
            <w:rStyle w:val="Hyperlink"/>
          </w:rPr>
          <w:t xml:space="preserve">Table 3</w:t>
        </w:r>
      </w:hyperlink>
      <w:r>
        <w:t xml:space="preserve"> </w:t>
      </w:r>
      <w:r>
        <w:t xml:space="preserve">(derived from</w:t>
      </w:r>
      <w:r>
        <w:t xml:space="preserve"> </w:t>
      </w:r>
      <w:hyperlink w:anchor="fig-obs-vs-pred">
        <w:r>
          <w:rPr>
            <w:rStyle w:val="Hyperlink"/>
          </w:rPr>
          <w:t xml:space="preserve">Figure 5</w:t>
        </w:r>
      </w:hyperlink>
      <w:r>
        <w:t xml:space="preserve">) show that in 2024-25 a disadvantaged pupil at BACA left, on average, with GCSE results around 5 points higher than a comparable pupil at a similar school elsewhere in England, with a four-year average around 3 points higher - substantially above the fraction of a point that might be expected from altering schools’ disadvantage mix. BACA out-performs every other school in the city for disadvantaged pupils, including those popularly viewed as the</w:t>
      </w:r>
      <w:r>
        <w:t xml:space="preserve"> </w:t>
      </w:r>
      <w:r>
        <w:t xml:space="preserve">‘best’</w:t>
      </w:r>
      <w:r>
        <w:t xml:space="preserve">. Its April 2025 Ofsted upgrade to</w:t>
      </w:r>
      <w:r>
        <w:t xml:space="preserve"> </w:t>
      </w:r>
      <w:r>
        <w:t xml:space="preserve">‘Good’</w:t>
      </w:r>
      <w:r>
        <w:t xml:space="preserve"> </w:t>
      </w:r>
      <w:r>
        <w:t xml:space="preserve">in all five areas</w:t>
      </w:r>
      <w:r>
        <w:rPr>
          <w:rStyle w:val="FootnoteReference"/>
        </w:rPr>
        <w:footnoteReference w:id="88"/>
      </w:r>
      <w:r>
        <w:t xml:space="preserve"> </w:t>
      </w:r>
      <w:r>
        <w:t xml:space="preserve">is unsurprising in the context of this analysis, but would have been surprising to anyone looking only at prior raw attainment and Ofsted ratings. Patcham, by contrast, sits ~2.6 GCSE points below expectation for disadvantaged pupils on a four-year average, with the gap reaching double figures in 2023-24 - differences hidden by its comfortable mid-table raw position. What other schools could learn from Patcham, however, is its attendance: it is one of only two city schools with absence below the national average, and exploring how it achieves this is a constructive city-level policy focus.</w:t>
      </w:r>
    </w:p>
    <w:bookmarkEnd w:id="90"/>
    <w:bookmarkStart w:id="92" w:name="viability-versus-attainment"/>
    <w:p>
      <w:pPr>
        <w:pStyle w:val="Heading2"/>
      </w:pPr>
      <w:r>
        <w:t xml:space="preserve">6.4 Viability versus attainment</w:t>
      </w:r>
    </w:p>
    <w:p>
      <w:pPr>
        <w:pStyle w:val="FirstParagraph"/>
      </w:pPr>
      <w:r>
        <w:t xml:space="preserve">The cabinet papers</w:t>
      </w:r>
      <w:r>
        <w:rPr>
          <w:rStyle w:val="FootnoteReference"/>
        </w:rPr>
        <w:footnoteReference w:id="91"/>
      </w:r>
      <w:r>
        <w:t xml:space="preserve"> </w:t>
      </w:r>
      <w:r>
        <w:t xml:space="preserve">set out the financial-sustainability rationale plainly. Schools in England are funded almost entirely on a per-pupil basis, so falling pupil numbers across the city would, in time, leave some schools struggling to operate efficiently or</w:t>
      </w:r>
      <w:r>
        <w:t xml:space="preserve"> </w:t>
      </w:r>
      <w:r>
        <w:rPr>
          <w:i/>
          <w:iCs/>
        </w:rPr>
        <w:t xml:space="preserve">‘offer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w:t>
      </w:r>
      <w:r>
        <w:t xml:space="preserve"> </w:t>
      </w:r>
      <w:r>
        <w:rPr>
          <w:i/>
          <w:iCs/>
        </w:rPr>
        <w:t xml:space="preserve">‘the largest percentage of [disadvantaged] pupils attend the schools with the lowest pupil numbers’</w:t>
      </w:r>
      <w:r>
        <w:t xml:space="preserve"> </w:t>
      </w:r>
      <w:r>
        <w:t xml:space="preserve">—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pPr>
        <w:pStyle w:val="BodyText"/>
      </w:pPr>
      <w:r>
        <w:t xml:space="preserve">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bookmarkEnd w:id="92"/>
    <w:bookmarkStart w:id="93" w:name="X66de271a6aca02794f420f50f4d8a324e8e27cc"/>
    <w:p>
      <w:pPr>
        <w:pStyle w:val="Heading2"/>
      </w:pPr>
      <w:r>
        <w:t xml:space="preserve">6.5 Conditional performance and the cost of absence</w:t>
      </w:r>
    </w:p>
    <w:p>
      <w:pPr>
        <w:pStyle w:val="FirstParagraph"/>
      </w:pPr>
      <w:r>
        <w:t xml:space="preserve">The LEA random effect for Brighton and Hove is positive and, in the main model, statistically significant across all three attainment groups. As section 5.2 set out, however, this result is conditional on how the model treats absence, and the city’s attendance is so extreme that the conditioning does most of the work. Controlling for absence, the city’s schools rank 7th of 151 for disadvantaged attainment; without that control they rank 46th and are statistically ordinary. We take neither number as the whole truth. Together they say something more useful than either alone: Brighton and Hove’s schools appear to be genuinely effective for the pupils who attend them, and the city’s attendance problem is large enough to erase that advantage in the aggregate.</w:t>
      </w:r>
    </w:p>
    <w:p>
      <w:pPr>
        <w:pStyle w:val="BodyText"/>
      </w:pPr>
      <w:r>
        <w:t xml:space="preserve">The distance between the two rankings has a concrete interpretation. It is roughly 1.3 Attainment 8 points per disadvantaged pupil - the difference between what the city’s disadvantaged children achieve and what they might achieve if their schools’ underlying effectiveness were not being drained by absence. Read this way, the city’s attendance is not a caveat to a good-news story; it is the story.</w:t>
      </w:r>
    </w:p>
    <w:p>
      <w:pPr>
        <w:pStyle w:val="BodyText"/>
      </w:pPr>
      <w:r>
        <w:t xml:space="preserve">This reframes what the 2024 consultation got right and what it got wrong. The council was not wrong that Brighton and Hove has a problem: unconditionally, its disadvantaged pupils do no better than the national average, and the raw attainment gap that motivated the consultation is real. What the consultation got wrong was the diagnosis. Presented with an attainment gap, it reached for the social composition of schools - one of the weakest levers our modelling identifies, and for disadvantaged pupils a lever that may point the wrong way (section 4.3, section 5.3) - while the factor that actually separates the city’s conditional standing from its unconditional standing, attendance, was absent from the consultation entirely. The more accurate account is not that a high-performing city was mistaken for a failing one, but that a city with one specific, severe, addressable problem was prescribed a treatment for a different problem it did not have.</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But without pupil and class-level longitudinal analysis, this hypothesis would be impossible to test. What all of these hypotheses show, however, is that identifying the sources of this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well-functioning system without understanding what makes it function well carry substantial downside risks.</w:t>
      </w:r>
    </w:p>
    <w:bookmarkEnd w:id="93"/>
    <w:bookmarkStart w:id="96"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should be candid that this gap is, in part, a structural consequence of policy since 2010. Academisation and sustained real-terms reductions in local authority central-services funding have substantially eroded the analytical capacity that once sat within LEAs, so a recommendation simply to</w:t>
      </w:r>
      <w:r>
        <w:t xml:space="preserve"> </w:t>
      </w:r>
      <w:r>
        <w:t xml:space="preserve">‘invest locally’</w:t>
      </w:r>
      <w:r>
        <w:t xml:space="preserve"> </w:t>
      </w:r>
      <w:r>
        <w:t xml:space="preserve">sits uneasily with the fiscal reality most authorities face. Multi-academy trusts have absorbed some of this function, but only for their own constituent schools; no actor now has both the remit and the capacity for the</w:t>
      </w:r>
      <w:r>
        <w:t xml:space="preserve"> </w:t>
      </w:r>
      <w:r>
        <w:rPr>
          <w:i/>
          <w:iCs/>
        </w:rPr>
        <w:t xml:space="preserve">locality-wide</w:t>
      </w:r>
      <w:r>
        <w:t xml:space="preserve"> </w:t>
      </w:r>
      <w:r>
        <w:t xml:space="preserve">analysis that spans maintained schools, academies across different trusts, and church schools within a single place. Brighton and Hove illustrates the gap precisely: the council remains the admissions authority for a system it has limited capacity to analyse as a whole, while its two academies - central to the policy question - sit outside its analytical reach. The need, then, is less for every council to rebuild bespoke capacity than for the</w:t>
      </w:r>
      <w:r>
        <w:t xml:space="preserve"> </w:t>
      </w:r>
      <w:r>
        <w:rPr>
          <w:i/>
          <w:iCs/>
        </w:rPr>
        <w:t xml:space="preserve">system</w:t>
      </w:r>
      <w:r>
        <w:t xml:space="preserve"> </w:t>
      </w:r>
      <w:r>
        <w:t xml:space="preserve">to close a locality-level analytical gap, whether through central funding for local capacity or nationally maintained benchmarking tools that any locality can use.</w:t>
      </w:r>
    </w:p>
    <w:p>
      <w:pPr>
        <w:pStyle w:val="BodyText"/>
      </w:pPr>
      <w:r>
        <w:t xml:space="preserve">We have developed an interactive Policy Simulator tool,</w:t>
      </w:r>
      <w:r>
        <w:rPr>
          <w:rStyle w:val="FootnoteReference"/>
        </w:rPr>
        <w:footnoteReference w:id="94"/>
      </w:r>
      <w:r>
        <w:t xml:space="preserve"> </w:t>
      </w:r>
      <w:r>
        <w:t xml:space="preserve">underpinned by the models in this paper, as a prototype of exactly this kind of shared, locality-level infrastructure. The tool allows users to explore any school in England, compare against contextual expectations, and model the indicative impact of changes to key variables.</w:t>
      </w:r>
    </w:p>
    <w:bookmarkEnd w:id="96"/>
    <w:bookmarkStart w:id="97"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97"/>
    <w:bookmarkEnd w:id="98"/>
    <w:bookmarkStart w:id="99"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yields three positions we feel are well-supported by the evidence presented here.</w:t>
      </w:r>
    </w:p>
    <w:p>
      <w:pPr>
        <w:pStyle w:val="BodyText"/>
      </w:pPr>
      <w:r>
        <w:t xml:space="preserve">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w:t>
      </w:r>
      <w:r>
        <w:t xml:space="preserve"> </w:t>
      </w:r>
      <w:r>
        <w:t xml:space="preserve">(Macleod et al. 2015)</w:t>
      </w:r>
      <w:r>
        <w:t xml:space="preserve">.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pPr>
        <w:pStyle w:val="BodyText"/>
      </w:pPr>
      <w:r>
        <w:t xml:space="preserve">Second, the single most consequential lever available to Brighton and Hove for raising disadvantaged attainment is</w:t>
      </w:r>
      <w:r>
        <w:t xml:space="preserve"> </w:t>
      </w:r>
      <w:r>
        <w:rPr>
          <w:b/>
          <w:bCs/>
        </w:rPr>
        <w:t xml:space="preserve">attendance</w:t>
      </w:r>
      <w:r>
        <w:t xml:space="preserve">. The city had the second-worst absence rate in England in 2024-25 - and its absence has failed to fall while it fell almost everywhere else - and the modelling suggests that moving the city’s worst-affected schools toward the national absence average would yield gains for disadvantaged pupils that comfortably exceed anything achievable through admissions reform. The two-stage decomposition we develop here also shows that this lever has two parts to it: a</w:t>
      </w:r>
      <w:r>
        <w:t xml:space="preserve"> </w:t>
      </w:r>
      <w:r>
        <w:rPr>
          <w:i/>
          <w:iCs/>
        </w:rPr>
        <w:t xml:space="preserve">structural</w:t>
      </w:r>
      <w:r>
        <w:t xml:space="preserve"> </w:t>
      </w:r>
      <w:r>
        <w:t xml:space="preserve">component of school-level absence inherited from intake, area health, deprivation and family circumstances - which schools cannot themselves change - and a smaller</w:t>
      </w:r>
      <w:r>
        <w:t xml:space="preserve"> </w:t>
      </w:r>
      <w:r>
        <w:rPr>
          <w:i/>
          <w:iCs/>
        </w:rPr>
        <w:t xml:space="preserve">school-controllable</w:t>
      </w:r>
      <w:r>
        <w:t xml:space="preserve"> </w:t>
      </w:r>
      <w:r>
        <w:t xml:space="preserve">residual that pastoral systems, attendance officers, family liaison and persistent-absentee follow-up can act on directly. Closing the city’s absence problem therefore needs both school-level effort and cross-departmental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w:t>
      </w:r>
      <w:r>
        <w:t xml:space="preserve"> </w:t>
      </w:r>
      <w:r>
        <w:rPr>
          <w:i/>
          <w:iCs/>
        </w:rPr>
        <w:t xml:space="preserve">and</w:t>
      </w:r>
      <w:r>
        <w:t xml:space="preserve"> </w:t>
      </w:r>
      <w:r>
        <w:t xml:space="preserve">preserve the benefits of local schooling.</w:t>
      </w:r>
    </w:p>
    <w:p>
      <w:pPr>
        <w:pStyle w:val="BodyText"/>
      </w:pPr>
      <w:r>
        <w:t xml:space="preserve">Our recommendations follow. For the DfE: invest in analytical infrastructure at the local level and consider how contextualised benchmarking tools might be developed at scale. For LEAs: 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bookmarkEnd w:id="99"/>
    <w:bookmarkStart w:id="100" w:name="declaration-of-generative-ai-use"/>
    <w:p>
      <w:pPr>
        <w:pStyle w:val="Heading1"/>
      </w:pPr>
      <w:r>
        <w:t xml:space="preserve">Declaration of generative AI use</w:t>
      </w:r>
    </w:p>
    <w:p>
      <w:pPr>
        <w:pStyle w:val="FirstParagraph"/>
      </w:pPr>
      <w:r>
        <w:t xml:space="preserve">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bookmarkEnd w:id="100"/>
    <w:bookmarkStart w:id="101" w:name="disclosure-statement"/>
    <w:p>
      <w:pPr>
        <w:pStyle w:val="Heading1"/>
      </w:pPr>
      <w:r>
        <w:t xml:space="preserve">Disclosure Statement</w:t>
      </w:r>
    </w:p>
    <w:p>
      <w:pPr>
        <w:pStyle w:val="FirstParagraph"/>
      </w:pPr>
      <w:r>
        <w:t xml:space="preserve">Some of the authors are residents of Brighton and Hove with school aged children and lived experience of the effects of the admissions policy process described. No financial conflicts of interest exist.</w:t>
      </w:r>
    </w:p>
    <w:bookmarkEnd w:id="101"/>
    <w:bookmarkStart w:id="200" w:name="references"/>
    <w:p>
      <w:pPr>
        <w:pStyle w:val="Heading1"/>
      </w:pPr>
      <w:r>
        <w:t xml:space="preserve">References</w:t>
      </w:r>
    </w:p>
    <w:bookmarkStart w:id="199" w:name="refs"/>
    <w:bookmarkStart w:id="103"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02">
        <w:r>
          <w:rPr>
            <w:rStyle w:val="Hyperlink"/>
          </w:rPr>
          <w:t xml:space="preserve">https://doi.org/10.1080/09645292.2017.1366425</w:t>
        </w:r>
      </w:hyperlink>
      <w:r>
        <w:t xml:space="preserve">.</w:t>
      </w:r>
    </w:p>
    <w:bookmarkEnd w:id="103"/>
    <w:bookmarkStart w:id="105"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04">
        <w:r>
          <w:rPr>
            <w:rStyle w:val="Hyperlink"/>
          </w:rPr>
          <w:t xml:space="preserve">https://doi.org/10.1111/j.1475-5661.2012.00511.x</w:t>
        </w:r>
      </w:hyperlink>
      <w:r>
        <w:t xml:space="preserve">.</w:t>
      </w:r>
    </w:p>
    <w:bookmarkEnd w:id="105"/>
    <w:bookmarkStart w:id="107"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06">
        <w:r>
          <w:rPr>
            <w:rStyle w:val="Hyperlink"/>
          </w:rPr>
          <w:t xml:space="preserve">https://doi.org/10.1080/0305764X.2024.2420611</w:t>
        </w:r>
      </w:hyperlink>
      <w:r>
        <w:t xml:space="preserve">.</w:t>
      </w:r>
    </w:p>
    <w:bookmarkEnd w:id="107"/>
    <w:bookmarkStart w:id="109"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08">
        <w:r>
          <w:rPr>
            <w:rStyle w:val="Hyperlink"/>
          </w:rPr>
          <w:t xml:space="preserve">https://www.urban.org/sites/default/files/publication/99027/time_to_school_and_student_outcomes_in_dc_1.pdf</w:t>
        </w:r>
      </w:hyperlink>
      <w:r>
        <w:t xml:space="preserve">.</w:t>
      </w:r>
    </w:p>
    <w:bookmarkEnd w:id="109"/>
    <w:bookmarkStart w:id="111"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10">
        <w:r>
          <w:rPr>
            <w:rStyle w:val="Hyperlink"/>
          </w:rPr>
          <w:t xml:space="preserve">https://doi.org/10.1177/0308518X18787820</w:t>
        </w:r>
      </w:hyperlink>
      <w:r>
        <w:t xml:space="preserve">.</w:t>
      </w:r>
    </w:p>
    <w:bookmarkEnd w:id="111"/>
    <w:bookmarkStart w:id="113"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12">
        <w:r>
          <w:rPr>
            <w:rStyle w:val="Hyperlink"/>
          </w:rPr>
          <w:t xml:space="preserve">https://doi.org/10.1016/j.econedurev.2023.102405</w:t>
        </w:r>
      </w:hyperlink>
      <w:r>
        <w:t xml:space="preserve">.</w:t>
      </w:r>
    </w:p>
    <w:bookmarkEnd w:id="113"/>
    <w:bookmarkStart w:id="115"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14">
        <w:r>
          <w:rPr>
            <w:rStyle w:val="Hyperlink"/>
          </w:rPr>
          <w:t xml:space="preserve">https://doi.org/10.1371/journal.pone.0314687</w:t>
        </w:r>
      </w:hyperlink>
      <w:r>
        <w:t xml:space="preserve">.</w:t>
      </w:r>
    </w:p>
    <w:bookmarkEnd w:id="115"/>
    <w:bookmarkStart w:id="117"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16">
        <w:r>
          <w:rPr>
            <w:rStyle w:val="Hyperlink"/>
          </w:rPr>
          <w:t xml:space="preserve">https://committees.parliament.uk/committee/203/education-committee/news/156024/forgotten-white-workingclass-pupils-let-down-by-decades-of-neglect-mps-say/</w:t>
        </w:r>
      </w:hyperlink>
      <w:r>
        <w:t xml:space="preserve">.</w:t>
      </w:r>
    </w:p>
    <w:bookmarkEnd w:id="117"/>
    <w:bookmarkStart w:id="119"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18">
        <w:r>
          <w:rPr>
            <w:rStyle w:val="Hyperlink"/>
          </w:rPr>
          <w:t xml:space="preserve">https://doi.org/10.3102/01623737221092450</w:t>
        </w:r>
      </w:hyperlink>
      <w:r>
        <w:t xml:space="preserve">.</w:t>
      </w:r>
    </w:p>
    <w:bookmarkEnd w:id="119"/>
    <w:bookmarkStart w:id="121"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20">
        <w:r>
          <w:rPr>
            <w:rStyle w:val="Hyperlink"/>
          </w:rPr>
          <w:t xml:space="preserve">https://explore-education-statistics.service.gov.uk/find-statistics/the-link-between-absence-and-attainment-at-ks2-and-ks4/2018-19</w:t>
        </w:r>
      </w:hyperlink>
      <w:r>
        <w:t xml:space="preserve">.</w:t>
      </w:r>
    </w:p>
    <w:bookmarkEnd w:id="121"/>
    <w:bookmarkStart w:id="123"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22">
        <w:r>
          <w:rPr>
            <w:rStyle w:val="Hyperlink"/>
          </w:rPr>
          <w:t xml:space="preserve">https://www.gov.uk/government/publications/link-between-attendance-and-attainment</w:t>
        </w:r>
      </w:hyperlink>
      <w:r>
        <w:t xml:space="preserve">.</w:t>
      </w:r>
    </w:p>
    <w:bookmarkEnd w:id="123"/>
    <w:bookmarkStart w:id="125"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24">
        <w:r>
          <w:rPr>
            <w:rStyle w:val="Hyperlink"/>
          </w:rPr>
          <w:t xml:space="preserve">https://explore-education-statistics.service.gov.uk/find-statistics/pupil-absence-in-schools-in-england/2024-25-autumn-and-spring-term</w:t>
        </w:r>
      </w:hyperlink>
      <w:r>
        <w:t xml:space="preserve">.</w:t>
      </w:r>
    </w:p>
    <w:bookmarkEnd w:id="125"/>
    <w:bookmarkStart w:id="127"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26">
        <w:r>
          <w:rPr>
            <w:rStyle w:val="Hyperlink"/>
          </w:rPr>
          <w:t xml:space="preserve">https://www.gov.uk/government/publications/every-child-achieving-and-thriving/every-child-achieving-and-thriving-html-version</w:t>
        </w:r>
      </w:hyperlink>
      <w:r>
        <w:t xml:space="preserve">.</w:t>
      </w:r>
    </w:p>
    <w:bookmarkEnd w:id="127"/>
    <w:bookmarkStart w:id="129"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28">
        <w:r>
          <w:rPr>
            <w:rStyle w:val="Hyperlink"/>
          </w:rPr>
          <w:t xml:space="preserve">https://doi.org/10.1016/j.jth.2023.101605</w:t>
        </w:r>
      </w:hyperlink>
      <w:r>
        <w:t xml:space="preserve">.</w:t>
      </w:r>
    </w:p>
    <w:bookmarkEnd w:id="129"/>
    <w:bookmarkStart w:id="131"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30">
        <w:r>
          <w:rPr>
            <w:rStyle w:val="Hyperlink"/>
          </w:rPr>
          <w:t xml:space="preserve">https://doi.org/10.1002/berj.3992</w:t>
        </w:r>
      </w:hyperlink>
      <w:r>
        <w:t xml:space="preserve">.</w:t>
      </w:r>
    </w:p>
    <w:bookmarkEnd w:id="131"/>
    <w:bookmarkStart w:id="133"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32">
        <w:r>
          <w:rPr>
            <w:rStyle w:val="Hyperlink"/>
          </w:rPr>
          <w:t xml:space="preserve">https://doi.org/10.1093/ooec/odad029</w:t>
        </w:r>
      </w:hyperlink>
      <w:r>
        <w:t xml:space="preserve">.</w:t>
      </w:r>
    </w:p>
    <w:bookmarkEnd w:id="133"/>
    <w:bookmarkStart w:id="135"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34">
        <w:r>
          <w:rPr>
            <w:rStyle w:val="Hyperlink"/>
          </w:rPr>
          <w:t xml:space="preserve">https://doi.org/10.1186/1471-2458-13-1166</w:t>
        </w:r>
      </w:hyperlink>
      <w:r>
        <w:t xml:space="preserve">.</w:t>
      </w:r>
    </w:p>
    <w:bookmarkEnd w:id="135"/>
    <w:bookmarkStart w:id="137" w:name="ref-Fredriksen2004"/>
    <w:p>
      <w:pPr>
        <w:pStyle w:val="Bibliography"/>
      </w:pPr>
      <w:r>
        <w:t xml:space="preserve">Fredriksen, Katia, Jean Rhodes, Ranjini Reddy, and Niobe Way. 2004.</w:t>
      </w:r>
      <w:r>
        <w:t xml:space="preserve"> </w:t>
      </w:r>
      <w:r>
        <w:t xml:space="preserve">“Sleepless in Chicago: Tracking the Effects of Adolescent Sleep Loss During the Middle School Years.”</w:t>
      </w:r>
      <w:r>
        <w:t xml:space="preserve"> </w:t>
      </w:r>
      <w:r>
        <w:rPr>
          <w:i/>
          <w:iCs/>
        </w:rPr>
        <w:t xml:space="preserve">Child Development</w:t>
      </w:r>
      <w:r>
        <w:t xml:space="preserve"> </w:t>
      </w:r>
      <w:r>
        <w:t xml:space="preserve">75 (1): 84–95. https://doi.org/</w:t>
      </w:r>
      <w:hyperlink r:id="rId136">
        <w:r>
          <w:rPr>
            <w:rStyle w:val="Hyperlink"/>
          </w:rPr>
          <w:t xml:space="preserve">https://doi.org/10.1111/j.1467-8624.2004.00655.x</w:t>
        </w:r>
      </w:hyperlink>
      <w:r>
        <w:t xml:space="preserve">.</w:t>
      </w:r>
    </w:p>
    <w:bookmarkEnd w:id="137"/>
    <w:bookmarkStart w:id="139"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38">
        <w:r>
          <w:rPr>
            <w:rStyle w:val="Hyperlink"/>
          </w:rPr>
          <w:t xml:space="preserve">https://cep.lse.ac.uk/_new/publications/abstract.asp?index=5752</w:t>
        </w:r>
      </w:hyperlink>
      <w:r>
        <w:t xml:space="preserve">.</w:t>
      </w:r>
    </w:p>
    <w:bookmarkEnd w:id="139"/>
    <w:bookmarkStart w:id="141"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40">
        <w:r>
          <w:rPr>
            <w:rStyle w:val="Hyperlink"/>
          </w:rPr>
          <w:t xml:space="preserve">https://doi.org/10.1002/berj.3297</w:t>
        </w:r>
      </w:hyperlink>
      <w:r>
        <w:t xml:space="preserve">.</w:t>
      </w:r>
    </w:p>
    <w:bookmarkEnd w:id="141"/>
    <w:bookmarkStart w:id="143"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42">
        <w:r>
          <w:rPr>
            <w:rStyle w:val="Hyperlink"/>
          </w:rPr>
          <w:t xml:space="preserve">https://doi.org/10.1177/2158244018825171</w:t>
        </w:r>
      </w:hyperlink>
      <w:r>
        <w:t xml:space="preserve">.</w:t>
      </w:r>
    </w:p>
    <w:bookmarkEnd w:id="143"/>
    <w:bookmarkStart w:id="145"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44">
        <w:r>
          <w:rPr>
            <w:rStyle w:val="Hyperlink"/>
          </w:rPr>
          <w:t xml:space="preserve">https://doi.org/10.3390/educsci15010006</w:t>
        </w:r>
      </w:hyperlink>
      <w:r>
        <w:t xml:space="preserve">.</w:t>
      </w:r>
    </w:p>
    <w:bookmarkEnd w:id="145"/>
    <w:bookmarkStart w:id="147"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46">
        <w:r>
          <w:rPr>
            <w:rStyle w:val="Hyperlink"/>
          </w:rPr>
          <w:t xml:space="preserve">https://opendocs.ids.ac.uk/articles/report/The_Contribution_of_Education_to_Economic_Growth/26453986/1</w:t>
        </w:r>
      </w:hyperlink>
      <w:r>
        <w:t xml:space="preserve">.</w:t>
      </w:r>
    </w:p>
    <w:bookmarkEnd w:id="147"/>
    <w:bookmarkStart w:id="149"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48">
        <w:r>
          <w:rPr>
            <w:rStyle w:val="Hyperlink"/>
          </w:rPr>
          <w:t xml:space="preserve">https://doi.org/10.1186/s12889-025-22861-7</w:t>
        </w:r>
      </w:hyperlink>
      <w:r>
        <w:t xml:space="preserve">.</w:t>
      </w:r>
    </w:p>
    <w:bookmarkEnd w:id="149"/>
    <w:bookmarkStart w:id="151" w:name="ref-houtepen_associations_2020"/>
    <w:p>
      <w:pPr>
        <w:pStyle w:val="Bibliography"/>
      </w:pPr>
      <w:r>
        <w:t xml:space="preserve">Houtepen, Lotte C., Jon Heron, Matthew J. Suderman, Abigail Fraser, Catherine R. Chittleborough, and Laura D. Howe. 2020.</w:t>
      </w:r>
      <w:r>
        <w:t xml:space="preserve"> </w:t>
      </w:r>
      <w:r>
        <w:t xml:space="preserve">“Associations of Adverse Childhood Experiences with Educational Attainment and Adolescent Health and the Role of Family and Socioeconomic Factors:</w:t>
      </w:r>
      <w:r>
        <w:t xml:space="preserve"> </w:t>
      </w:r>
      <w:r>
        <w:t xml:space="preserve">A</w:t>
      </w:r>
      <w:r>
        <w:t xml:space="preserve"> </w:t>
      </w:r>
      <w:r>
        <w:t xml:space="preserve">Prospective Cohort Study in the</w:t>
      </w:r>
      <w:r>
        <w:t xml:space="preserve"> </w:t>
      </w:r>
      <w:r>
        <w:t xml:space="preserve">UK</w:t>
      </w:r>
      <w:r>
        <w:t xml:space="preserve">.”</w:t>
      </w:r>
      <w:r>
        <w:t xml:space="preserve"> </w:t>
      </w:r>
      <w:r>
        <w:rPr>
          <w:i/>
          <w:iCs/>
        </w:rPr>
        <w:t xml:space="preserve">PLOS Medicine</w:t>
      </w:r>
      <w:r>
        <w:t xml:space="preserve"> </w:t>
      </w:r>
      <w:r>
        <w:t xml:space="preserve">17 (3): e1003031.</w:t>
      </w:r>
      <w:r>
        <w:t xml:space="preserve"> </w:t>
      </w:r>
      <w:hyperlink r:id="rId150">
        <w:r>
          <w:rPr>
            <w:rStyle w:val="Hyperlink"/>
          </w:rPr>
          <w:t xml:space="preserve">https://doi.org/10.1371/journal.pmed.1003031</w:t>
        </w:r>
      </w:hyperlink>
      <w:r>
        <w:t xml:space="preserve">.</w:t>
      </w:r>
    </w:p>
    <w:bookmarkEnd w:id="151"/>
    <w:bookmarkStart w:id="153"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52">
        <w:r>
          <w:rPr>
            <w:rStyle w:val="Hyperlink"/>
          </w:rPr>
          <w:t xml:space="preserve">https://doi.org/10.1016/j.psyneuen.2021.105371</w:t>
        </w:r>
      </w:hyperlink>
      <w:r>
        <w:t xml:space="preserve">.</w:t>
      </w:r>
    </w:p>
    <w:bookmarkEnd w:id="153"/>
    <w:bookmarkStart w:id="155"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54">
        <w:r>
          <w:rPr>
            <w:rStyle w:val="Hyperlink"/>
          </w:rPr>
          <w:t xml:space="preserve">https://www.nfer.ac.uk/publications/supporting-the-attainment-of-disadvantaged-pupils-articulating-success-and-good-practice/</w:t>
        </w:r>
      </w:hyperlink>
      <w:r>
        <w:t xml:space="preserve">.</w:t>
      </w:r>
    </w:p>
    <w:bookmarkEnd w:id="155"/>
    <w:bookmarkStart w:id="157"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56">
        <w:r>
          <w:rPr>
            <w:rStyle w:val="Hyperlink"/>
          </w:rPr>
          <w:t xml:space="preserve">https://doi.org/10.14324/LRE.21.1.20</w:t>
        </w:r>
      </w:hyperlink>
      <w:r>
        <w:t xml:space="preserve">.</w:t>
      </w:r>
    </w:p>
    <w:bookmarkEnd w:id="157"/>
    <w:bookmarkStart w:id="159" w:name="ref-Moore2026"/>
    <w:p>
      <w:pPr>
        <w:pStyle w:val="Bibliography"/>
      </w:pPr>
      <w:r>
        <w:t xml:space="preserve">Moore, Emma, Juan Manuel Del Pozo Segura, and Jenna Julius. 2026.</w:t>
      </w:r>
      <w:r>
        <w:t xml:space="preserve"> </w:t>
      </w:r>
      <w:r>
        <w:rPr>
          <w:i/>
          <w:iCs/>
        </w:rPr>
        <w:t xml:space="preserve">Understanding the Relationship Between Attendance, Wellbeing and Sense of Belonging</w:t>
      </w:r>
      <w:r>
        <w:t xml:space="preserve">. National Foundation for Educational Research.</w:t>
      </w:r>
      <w:r>
        <w:t xml:space="preserve"> </w:t>
      </w:r>
      <w:hyperlink r:id="rId158">
        <w:r>
          <w:rPr>
            <w:rStyle w:val="Hyperlink"/>
          </w:rPr>
          <w:t xml:space="preserve">https://www.nfer.ac.uk/publications/understanding-the-relationship-between-attendance-wellbeing-and-sense-of-belonging/</w:t>
        </w:r>
      </w:hyperlink>
      <w:r>
        <w:t xml:space="preserve">.</w:t>
      </w:r>
    </w:p>
    <w:bookmarkEnd w:id="159"/>
    <w:bookmarkStart w:id="161" w:name="ref-nakagawa_coefficient_2017"/>
    <w:p>
      <w:pPr>
        <w:pStyle w:val="Bibliography"/>
      </w:pPr>
      <w:r>
        <w:t xml:space="preserve">Nakagawa, Shinichi, Paul C. D. Johnson, and Holger Schielzeth. 2017.</w:t>
      </w:r>
      <w:r>
        <w:t xml:space="preserve"> </w:t>
      </w:r>
      <w:r>
        <w:t xml:space="preserve">“The Coefficient of Determination</w:t>
      </w:r>
      <w:r>
        <w:t xml:space="preserve"> </w:t>
      </w:r>
      <w:r>
        <w:t xml:space="preserve">R2</w:t>
      </w:r>
      <w:r>
        <w:t xml:space="preserve"> </w:t>
      </w:r>
      <w:r>
        <w:t xml:space="preserve">and Intra-Class Correlation Coefficient from Generalized Linear Mixed-Effects Models Revisited and Expanded.”</w:t>
      </w:r>
      <w:r>
        <w:t xml:space="preserve"> </w:t>
      </w:r>
      <w:r>
        <w:rPr>
          <w:i/>
          <w:iCs/>
        </w:rPr>
        <w:t xml:space="preserve">Journal of The Royal Society Interface</w:t>
      </w:r>
      <w:r>
        <w:t xml:space="preserve"> </w:t>
      </w:r>
      <w:r>
        <w:t xml:space="preserve">14 (134): 20170213.</w:t>
      </w:r>
      <w:r>
        <w:t xml:space="preserve"> </w:t>
      </w:r>
      <w:hyperlink r:id="rId160">
        <w:r>
          <w:rPr>
            <w:rStyle w:val="Hyperlink"/>
          </w:rPr>
          <w:t xml:space="preserve">https://doi.org/10.1098/rsif.2017.0213</w:t>
        </w:r>
      </w:hyperlink>
      <w:r>
        <w:t xml:space="preserve">.</w:t>
      </w:r>
    </w:p>
    <w:bookmarkEnd w:id="161"/>
    <w:bookmarkStart w:id="163" w:name="ref-nakagawa_general_2013"/>
    <w:p>
      <w:pPr>
        <w:pStyle w:val="Bibliography"/>
      </w:pPr>
      <w:r>
        <w:t xml:space="preserve">Nakagawa, Shinichi, and Holger Schielzeth. 2013.</w:t>
      </w:r>
      <w:r>
        <w:t xml:space="preserve"> </w:t>
      </w:r>
      <w:r>
        <w:t xml:space="preserve">“A General and Simple Method for Obtaining</w:t>
      </w:r>
      <w:r>
        <w:t xml:space="preserve"> </w:t>
      </w:r>
      <w:r>
        <w:t xml:space="preserve">R2</w:t>
      </w:r>
      <w:r>
        <w:t xml:space="preserve"> </w:t>
      </w:r>
      <w:r>
        <w:t xml:space="preserve">from Generalized Linear Mixed-Effects Models.”</w:t>
      </w:r>
      <w:r>
        <w:t xml:space="preserve"> </w:t>
      </w:r>
      <w:r>
        <w:rPr>
          <w:i/>
          <w:iCs/>
        </w:rPr>
        <w:t xml:space="preserve">Methods in Ecology and Evolution</w:t>
      </w:r>
      <w:r>
        <w:t xml:space="preserve"> </w:t>
      </w:r>
      <w:r>
        <w:t xml:space="preserve">4 (2): 133–42.</w:t>
      </w:r>
      <w:r>
        <w:t xml:space="preserve"> </w:t>
      </w:r>
      <w:hyperlink r:id="rId162">
        <w:r>
          <w:rPr>
            <w:rStyle w:val="Hyperlink"/>
          </w:rPr>
          <w:t xml:space="preserve">https://doi.org/10.1111/j.2041-210x.2012.00261.x</w:t>
        </w:r>
      </w:hyperlink>
      <w:r>
        <w:t xml:space="preserve">.</w:t>
      </w:r>
    </w:p>
    <w:bookmarkEnd w:id="163"/>
    <w:bookmarkStart w:id="165"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64">
        <w:r>
          <w:rPr>
            <w:rStyle w:val="Hyperlink"/>
          </w:rPr>
          <w:t xml:space="preserve">https://doi.org/10.1111/pcn.13714</w:t>
        </w:r>
      </w:hyperlink>
      <w:r>
        <w:t xml:space="preserve">.</w:t>
      </w:r>
    </w:p>
    <w:bookmarkEnd w:id="165"/>
    <w:bookmarkStart w:id="167"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66">
        <w:r>
          <w:rPr>
            <w:rStyle w:val="Hyperlink"/>
          </w:rPr>
          <w:t xml:space="preserve">https://doi.org/10.1265/ehpm.25-00290</w:t>
        </w:r>
      </w:hyperlink>
      <w:r>
        <w:t xml:space="preserve">.</w:t>
      </w:r>
    </w:p>
    <w:bookmarkEnd w:id="167"/>
    <w:bookmarkStart w:id="169"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68">
        <w:r>
          <w:rPr>
            <w:rStyle w:val="Hyperlink"/>
          </w:rPr>
          <w:t xml:space="preserve">https://doi.org/10.3109/07420528.2013.826238</w:t>
        </w:r>
      </w:hyperlink>
      <w:r>
        <w:t xml:space="preserve">.</w:t>
      </w:r>
    </w:p>
    <w:bookmarkEnd w:id="169"/>
    <w:bookmarkStart w:id="171"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70">
        <w:r>
          <w:rPr>
            <w:rStyle w:val="Hyperlink"/>
          </w:rPr>
          <w:t xml:space="preserve">https://doi.org/10.1007/s41105-017-0091-0</w:t>
        </w:r>
      </w:hyperlink>
      <w:r>
        <w:t xml:space="preserve">.</w:t>
      </w:r>
    </w:p>
    <w:bookmarkEnd w:id="171"/>
    <w:bookmarkStart w:id="173" w:name="ref-Rakesh2025"/>
    <w:p>
      <w:pPr>
        <w:pStyle w:val="Bibliography"/>
      </w:pPr>
      <w:r>
        <w:t xml:space="preserve">Rakesh, Divyangana, Paris Anne Lee, Amruta Gaikwad, and Katie A. McLaughlin. 2025.</w:t>
      </w:r>
      <w:r>
        <w:t xml:space="preserve"> </w:t>
      </w:r>
      <w:r>
        <w:t xml:space="preserve">“Annual</w:t>
      </w:r>
      <w:r>
        <w:t xml:space="preserve"> </w:t>
      </w:r>
      <w:r>
        <w:t xml:space="preserve">Research</w:t>
      </w:r>
      <w:r>
        <w:t xml:space="preserve"> </w:t>
      </w:r>
      <w:r>
        <w:t xml:space="preserve">Review</w:t>
      </w:r>
      <w:r>
        <w:t xml:space="preserve">:</w:t>
      </w:r>
      <w:r>
        <w:t xml:space="preserve"> </w:t>
      </w:r>
      <w:r>
        <w:t xml:space="preserve">Associations</w:t>
      </w:r>
      <w:r>
        <w:t xml:space="preserve"> </w:t>
      </w:r>
      <w:r>
        <w:t xml:space="preserve">of Socioeconomic Status with Cognitive Function, Language Ability, and Academic Achievement in Youth: A Systematic Review of Mechanisms and Protective Factors.”</w:t>
      </w:r>
      <w:r>
        <w:t xml:space="preserve"> </w:t>
      </w:r>
      <w:r>
        <w:rPr>
          <w:i/>
          <w:iCs/>
        </w:rPr>
        <w:t xml:space="preserve">Journal of Child Psychology and Psychiatry</w:t>
      </w:r>
      <w:r>
        <w:t xml:space="preserve"> </w:t>
      </w:r>
      <w:r>
        <w:t xml:space="preserve">66 (4): 417–39.</w:t>
      </w:r>
      <w:r>
        <w:t xml:space="preserve"> </w:t>
      </w:r>
      <w:hyperlink r:id="rId172">
        <w:r>
          <w:rPr>
            <w:rStyle w:val="Hyperlink"/>
          </w:rPr>
          <w:t xml:space="preserve">https://doi.org/10.1111/jcpp.14082</w:t>
        </w:r>
      </w:hyperlink>
      <w:r>
        <w:t xml:space="preserve">.</w:t>
      </w:r>
    </w:p>
    <w:bookmarkEnd w:id="173"/>
    <w:bookmarkStart w:id="175"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74">
        <w:r>
          <w:rPr>
            <w:rStyle w:val="Hyperlink"/>
          </w:rPr>
          <w:t xml:space="preserve">https://www.gov.uk/government/publications/against-the-odds</w:t>
        </w:r>
      </w:hyperlink>
      <w:r>
        <w:t xml:space="preserve">.</w:t>
      </w:r>
    </w:p>
    <w:bookmarkEnd w:id="175"/>
    <w:bookmarkStart w:id="177"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76">
        <w:r>
          <w:rPr>
            <w:rStyle w:val="Hyperlink"/>
          </w:rPr>
          <w:t xml:space="preserve">https://www.gov.uk/government/publications/examining-the-london-advantage-in-attainment-evidence-from-lsype</w:t>
        </w:r>
      </w:hyperlink>
      <w:r>
        <w:t xml:space="preserve">.</w:t>
      </w:r>
    </w:p>
    <w:bookmarkEnd w:id="177"/>
    <w:bookmarkStart w:id="179" w:name="ref-Shah2023"/>
    <w:p>
      <w:pPr>
        <w:pStyle w:val="Bibliography"/>
      </w:pPr>
      <w:r>
        <w:t xml:space="preserve">Shah, Kajal B. 2023.</w:t>
      </w:r>
      <w:r>
        <w:t xml:space="preserve"> </w:t>
      </w:r>
      <w:r>
        <w:t xml:space="preserve">“Traversing the</w:t>
      </w:r>
      <w:r>
        <w:t xml:space="preserve"> </w:t>
      </w:r>
      <w:r>
        <w:t xml:space="preserve">City</w:t>
      </w:r>
      <w:r>
        <w:t xml:space="preserve">:</w:t>
      </w:r>
      <w:r>
        <w:t xml:space="preserve"> </w:t>
      </w:r>
      <w:r>
        <w:t xml:space="preserve">Examining</w:t>
      </w:r>
      <w:r>
        <w:t xml:space="preserve"> </w:t>
      </w:r>
      <w:r>
        <w:t xml:space="preserve">the</w:t>
      </w:r>
      <w:r>
        <w:t xml:space="preserve"> </w:t>
      </w:r>
      <w:r>
        <w:t xml:space="preserve">Impacts</w:t>
      </w:r>
      <w:r>
        <w:t xml:space="preserve"> </w:t>
      </w:r>
      <w:r>
        <w:t xml:space="preserve">of</w:t>
      </w:r>
      <w:r>
        <w:t xml:space="preserve"> </w:t>
      </w:r>
      <w:r>
        <w:t xml:space="preserve">Extended</w:t>
      </w:r>
      <w:r>
        <w:t xml:space="preserve"> </w:t>
      </w:r>
      <w:r>
        <w:t xml:space="preserve">Commute</w:t>
      </w:r>
      <w:r>
        <w:t xml:space="preserve"> </w:t>
      </w:r>
      <w:r>
        <w:t xml:space="preserve">on</w:t>
      </w:r>
      <w:r>
        <w:t xml:space="preserve"> </w:t>
      </w:r>
      <w:r>
        <w:t xml:space="preserve">Student</w:t>
      </w:r>
      <w:r>
        <w:t xml:space="preserve"> </w:t>
      </w:r>
      <w:r>
        <w:t xml:space="preserve">Wellbeing</w:t>
      </w:r>
      <w:r>
        <w:t xml:space="preserve"> </w:t>
      </w:r>
      <w:r>
        <w:t xml:space="preserve">&amp;</w:t>
      </w:r>
      <w:r>
        <w:t xml:space="preserve"> </w:t>
      </w:r>
      <w:r>
        <w:t xml:space="preserve">High</w:t>
      </w:r>
      <w:r>
        <w:t xml:space="preserve"> </w:t>
      </w:r>
      <w:r>
        <w:t xml:space="preserve">School</w:t>
      </w:r>
      <w:r>
        <w:t xml:space="preserve"> </w:t>
      </w:r>
      <w:r>
        <w:t xml:space="preserve">Experience</w:t>
      </w:r>
      <w:r>
        <w:t xml:space="preserve"> </w:t>
      </w:r>
      <w:r>
        <w:t xml:space="preserve">in</w:t>
      </w:r>
      <w:r>
        <w:t xml:space="preserve"> </w:t>
      </w:r>
      <w:r>
        <w:t xml:space="preserve">Chicago</w:t>
      </w:r>
      <w:r>
        <w:t xml:space="preserve">.”</w:t>
      </w:r>
      <w:r>
        <w:t xml:space="preserve"> </w:t>
      </w:r>
      <w:r>
        <w:t xml:space="preserve">Master’s thesis, University of Chicago.</w:t>
      </w:r>
      <w:r>
        <w:t xml:space="preserve"> </w:t>
      </w:r>
      <w:hyperlink r:id="rId178">
        <w:r>
          <w:rPr>
            <w:rStyle w:val="Hyperlink"/>
          </w:rPr>
          <w:t xml:space="preserve">https://knowledge.uchicago.edu/record/7216</w:t>
        </w:r>
      </w:hyperlink>
      <w:r>
        <w:t xml:space="preserve">.</w:t>
      </w:r>
    </w:p>
    <w:bookmarkEnd w:id="179"/>
    <w:bookmarkStart w:id="180"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80"/>
    <w:bookmarkStart w:id="182" w:name="ref-Stein2021"/>
    <w:p>
      <w:pPr>
        <w:pStyle w:val="Bibliography"/>
      </w:pPr>
      <w:r>
        <w:t xml:space="preserve">Stein, Marc L., Julia Burdick-Will, and Jeffrey Grigg. 2021.</w:t>
      </w:r>
      <w:r>
        <w:t xml:space="preserve"> </w:t>
      </w:r>
      <w:r>
        <w:t xml:space="preserve">“A Choice Too Far: Transit Difficulty and Early High School Transfer.”</w:t>
      </w:r>
      <w:r>
        <w:t xml:space="preserve"> </w:t>
      </w:r>
      <w:r>
        <w:rPr>
          <w:i/>
          <w:iCs/>
        </w:rPr>
        <w:t xml:space="preserve">Educational Researcher</w:t>
      </w:r>
      <w:r>
        <w:t xml:space="preserve"> </w:t>
      </w:r>
      <w:r>
        <w:t xml:space="preserve">50 (3): 137–44.</w:t>
      </w:r>
      <w:r>
        <w:t xml:space="preserve"> </w:t>
      </w:r>
      <w:hyperlink r:id="rId181">
        <w:r>
          <w:rPr>
            <w:rStyle w:val="Hyperlink"/>
          </w:rPr>
          <w:t xml:space="preserve">https://doi.org/10.3102/0013189X20949504</w:t>
        </w:r>
      </w:hyperlink>
      <w:r>
        <w:t xml:space="preserve">.</w:t>
      </w:r>
    </w:p>
    <w:bookmarkEnd w:id="182"/>
    <w:bookmarkStart w:id="184"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83">
        <w:r>
          <w:rPr>
            <w:rStyle w:val="Hyperlink"/>
          </w:rPr>
          <w:t xml:space="preserve">https://doi.org/10.1080/01425692.2025.2474040</w:t>
        </w:r>
      </w:hyperlink>
      <w:r>
        <w:t xml:space="preserve">.</w:t>
      </w:r>
    </w:p>
    <w:bookmarkEnd w:id="184"/>
    <w:bookmarkStart w:id="186"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85">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86"/>
    <w:bookmarkStart w:id="188"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87">
        <w:r>
          <w:rPr>
            <w:rStyle w:val="Hyperlink"/>
          </w:rPr>
          <w:t xml:space="preserve">https://doi.org/10.1007/978-3-031-98300-9_17</w:t>
        </w:r>
      </w:hyperlink>
      <w:r>
        <w:t xml:space="preserve">.</w:t>
      </w:r>
    </w:p>
    <w:bookmarkEnd w:id="188"/>
    <w:bookmarkStart w:id="190"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89">
        <w:r>
          <w:rPr>
            <w:rStyle w:val="Hyperlink"/>
          </w:rPr>
          <w:t xml:space="preserve">https://ffteducationdatalab.org.uk/2023/11/are-pupils-who-live-further-away-from-their-school-absent-more-often/</w:t>
        </w:r>
      </w:hyperlink>
      <w:r>
        <w:t xml:space="preserve">.</w:t>
      </w:r>
    </w:p>
    <w:bookmarkEnd w:id="190"/>
    <w:bookmarkStart w:id="192"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91">
        <w:r>
          <w:rPr>
            <w:rStyle w:val="Hyperlink"/>
          </w:rPr>
          <w:t xml:space="preserve">https://epi.org.uk/annual-report-2023/</w:t>
        </w:r>
      </w:hyperlink>
      <w:r>
        <w:t xml:space="preserve">.</w:t>
      </w:r>
    </w:p>
    <w:bookmarkEnd w:id="192"/>
    <w:bookmarkStart w:id="194"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93">
        <w:r>
          <w:rPr>
            <w:rStyle w:val="Hyperlink"/>
          </w:rPr>
          <w:t xml:space="preserve">https://doi.org/10.1177/0739456X17725148</w:t>
        </w:r>
      </w:hyperlink>
      <w:r>
        <w:t xml:space="preserve">.</w:t>
      </w:r>
    </w:p>
    <w:bookmarkEnd w:id="194"/>
    <w:bookmarkStart w:id="196"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95">
        <w:r>
          <w:rPr>
            <w:rStyle w:val="Hyperlink"/>
          </w:rPr>
          <w:t xml:space="preserve">https://doi.org/10.1016/j.sleep.2018.10.041</w:t>
        </w:r>
      </w:hyperlink>
      <w:r>
        <w:t xml:space="preserve">.</w:t>
      </w:r>
    </w:p>
    <w:bookmarkEnd w:id="196"/>
    <w:bookmarkStart w:id="198"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97">
        <w:r>
          <w:rPr>
            <w:rStyle w:val="Hyperlink"/>
          </w:rPr>
          <w:t xml:space="preserve">https://epi.org.uk/publications-and-research/the-influence-of-headteachers-on-their-schools/</w:t>
        </w:r>
      </w:hyperlink>
      <w:r>
        <w:t xml:space="preserve">.</w:t>
      </w:r>
    </w:p>
    <w:bookmarkEnd w:id="198"/>
    <w:bookmarkEnd w:id="199"/>
    <w:bookmarkEnd w:id="200"/>
    <w:sectPr w:rsidR="007C468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https://osf.io/x82j3/overview</w:t>
        </w:r>
      </w:hyperlink>
      <w:r>
        <w:t xml:space="preserve"> </w:t>
      </w:r>
      <w:r>
        <w:t xml:space="preserve">(see `about.html` in `supplementary.zip`)</w:t>
      </w:r>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21">
        <w:r>
          <w:rPr>
            <w:rStyle w:val="Hyperlink"/>
          </w:rPr>
          <w:t xml:space="preserve">https://osf.io/x82j3/overview (see `index.html` in `supplementary.zip`)</w:t>
        </w:r>
      </w:hyperlink>
      <w:r>
        <w:t xml:space="preserve"> </w:t>
      </w:r>
      <w:r>
        <w:t xml:space="preserve">- with links through to the source code on Github.</w:t>
      </w:r>
    </w:p>
  </w:footnote>
  <w:footnote w:id="30">
    <w:p>
      <w:pPr>
        <w:pStyle w:val="FootnoteText"/>
      </w:pPr>
      <w:r>
        <w:rPr>
          <w:rStyle w:val="FootnoteReference"/>
        </w:rPr>
        <w:footnoteRef/>
      </w:r>
      <w:r>
        <w:t xml:space="preserve"> </w:t>
      </w:r>
      <w:r>
        <w:t xml:space="preserve">missing data and imputation:</w:t>
      </w:r>
      <w:r>
        <w:t xml:space="preserve"> </w:t>
      </w:r>
      <w:hyperlink r:id="rId21">
        <w:r>
          <w:rPr>
            <w:rStyle w:val="Hyperlink"/>
          </w:rPr>
          <w:t xml:space="preserve">https://osf.io/x82j3/overview (see `data_overview.html#missing-data` in `supplementary.zip`)</w:t>
        </w:r>
      </w:hyperlink>
    </w:p>
  </w:footnote>
  <w:footnote w:id="32">
    <w:p>
      <w:pPr>
        <w:pStyle w:val="FootnoteText"/>
      </w:pPr>
      <w:r>
        <w:rPr>
          <w:rStyle w:val="FootnoteReference"/>
        </w:rPr>
        <w:footnoteRef/>
      </w:r>
      <w:r>
        <w:t xml:space="preserve"> </w:t>
      </w:r>
      <w:r>
        <w:t xml:space="preserve">See data overview for details</w:t>
      </w:r>
      <w:r>
        <w:t xml:space="preserve"> </w:t>
      </w:r>
      <w:hyperlink r:id="rId21">
        <w:r>
          <w:rPr>
            <w:rStyle w:val="Hyperlink"/>
          </w:rPr>
          <w:t xml:space="preserve">https://osf.io/x82j3/overview (see `data_overview.html` in `supplementary.zip`)</w:t>
        </w:r>
      </w:hyperlink>
    </w:p>
  </w:footnote>
  <w:footnote w:id="42">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3">
    <w:p>
      <w:pPr>
        <w:pStyle w:val="FootnoteText"/>
      </w:pPr>
      <w:r>
        <w:rPr>
          <w:rStyle w:val="FootnoteReference"/>
        </w:rPr>
        <w:footnoteRef/>
      </w:r>
      <w:r>
        <w:t xml:space="preserve"> </w:t>
      </w:r>
      <w:r>
        <w:t xml:space="preserve">Stepwise Models for all pupil groups</w:t>
      </w:r>
      <w:r>
        <w:t xml:space="preserve"> </w:t>
      </w:r>
      <w:hyperlink r:id="rId21">
        <w:r>
          <w:rPr>
            <w:rStyle w:val="Hyperlink"/>
          </w:rPr>
          <w:t xml:space="preserve">https://osf.io/x82j3/overview (see `model_results.html#stepwise-model-building` in `supplementary.zip`)</w:t>
        </w:r>
      </w:hyperlink>
    </w:p>
  </w:footnote>
  <w:footnote w:id="44">
    <w:p>
      <w:pPr>
        <w:pStyle w:val="FootnoteText"/>
      </w:pPr>
      <w:r>
        <w:rPr>
          <w:rStyle w:val="FootnoteReference"/>
        </w:rPr>
        <w:footnoteRef/>
      </w:r>
      <w:r>
        <w:t xml:space="preserve"> </w:t>
      </w:r>
      <w:r>
        <w:t xml:space="preserve">See supplementary material for robustness checks:</w:t>
      </w:r>
      <w:r>
        <w:t xml:space="preserve"> </w:t>
      </w:r>
      <w:hyperlink r:id="rId21">
        <w:r>
          <w:rPr>
            <w:rStyle w:val="Hyperlink"/>
          </w:rPr>
          <w:t xml:space="preserve">https://osf.io/x82j3/overview (see `model_experiments.html` in `supplementary.zip`)</w:t>
        </w:r>
      </w:hyperlink>
    </w:p>
  </w:footnote>
  <w:footnote w:id="47">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8">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9">
        <w:r>
          <w:rPr>
            <w:rStyle w:val="Hyperlink"/>
          </w:rPr>
          <w:t xml:space="preserve">https://democracy.brighton-hove.gov.uk/documents/s205834/School%20Admission%20Arrangements%202026-27.pdf</w:t>
        </w:r>
      </w:hyperlink>
      <w:r>
        <w:t xml:space="preserve">.</w:t>
      </w:r>
    </w:p>
  </w:footnote>
  <w:footnote w:id="50">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1">
        <w:r>
          <w:rPr>
            <w:rStyle w:val="Hyperlink"/>
          </w:rPr>
          <w:t xml:space="preserve">https://yourvoice.brighton-hove.gov.uk/en-GB/projects/school-admission-arrangements-public-consultation/1</w:t>
        </w:r>
      </w:hyperlink>
      <w:r>
        <w:t xml:space="preserve">.</w:t>
      </w:r>
    </w:p>
  </w:footnote>
  <w:footnote w:id="52">
    <w:p>
      <w:pPr>
        <w:pStyle w:val="FootnoteText"/>
      </w:pPr>
      <w:r>
        <w:rPr>
          <w:rStyle w:val="FootnoteReference"/>
        </w:rPr>
        <w:footnoteRef/>
      </w:r>
      <w:r>
        <w:t xml:space="preserve"> </w:t>
      </w:r>
      <w:hyperlink r:id="rId53">
        <w:r>
          <w:rPr>
            <w:rStyle w:val="Hyperlink"/>
          </w:rPr>
          <w:t xml:space="preserve">https://www.brighton-hove.gov.uk/schools-and-learning/school-policies-reports-strategies-and-other-documents/better-outcomes-better-lives-brighton-hoves-strategy-tackling-educational-disadvantage</w:t>
        </w:r>
      </w:hyperlink>
    </w:p>
  </w:footnote>
  <w:footnote w:id="75">
    <w:p>
      <w:pPr>
        <w:pStyle w:val="FootnoteText"/>
      </w:pPr>
      <w:r>
        <w:rPr>
          <w:rStyle w:val="FootnoteReference"/>
        </w:rPr>
        <w:footnoteRef/>
      </w:r>
      <w:r>
        <w:t xml:space="preserve"> </w:t>
      </w:r>
      <w:r>
        <w:t xml:space="preserve">Full technical details, model fits, sensitivity checks and a 50-replicate clustered bootstrap of school rank uncertainty are in the supplementary material:</w:t>
      </w:r>
      <w:r>
        <w:t xml:space="preserve"> </w:t>
      </w:r>
      <w:hyperlink r:id="rId21">
        <w:r>
          <w:rPr>
            <w:rStyle w:val="Hyperlink"/>
          </w:rPr>
          <w:t xml:space="preserve">https://osf.io/x82j3/overview (see `model_experiments.html#sec-two-stage-absence` in `supplementary.zip`)</w:t>
        </w:r>
      </w:hyperlink>
    </w:p>
  </w:footnote>
  <w:footnote w:id="82">
    <w:p>
      <w:pPr>
        <w:pStyle w:val="FootnoteText"/>
      </w:pPr>
      <w:r>
        <w:rPr>
          <w:rStyle w:val="FootnoteReference"/>
        </w:rPr>
        <w:footnoteRef/>
      </w:r>
      <w:r>
        <w:t xml:space="preserve"> </w:t>
      </w:r>
      <w:r>
        <w:t xml:space="preserve">Brighton and Hove Council 2024 Consultation Papers:</w:t>
      </w:r>
      <w:r>
        <w:t xml:space="preserve"> </w:t>
      </w:r>
      <w:hyperlink r:id="rId51">
        <w:r>
          <w:rPr>
            <w:rStyle w:val="Hyperlink"/>
          </w:rPr>
          <w:t xml:space="preserve">https://yourvoice.brighton-hove.gov.uk/en-GB/projects/school-admission-arrangements-public-consultation/1</w:t>
        </w:r>
      </w:hyperlink>
    </w:p>
  </w:footnote>
  <w:footnote w:id="84">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8">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9">
        <w:r>
          <w:rPr>
            <w:rStyle w:val="Hyperlink"/>
          </w:rPr>
          <w:t xml:space="preserve">https://democracy.brighton-hove.gov.uk/documents/s205834/School%20Admission%20Arrangements%202026-27.pdf</w:t>
        </w:r>
      </w:hyperlink>
      <w:r>
        <w:t xml:space="preserve">.</w:t>
      </w:r>
    </w:p>
  </w:footnote>
  <w:footnote w:id="85">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2026/27 - Appendix 9: Transport Implications and Considerations</w:t>
      </w:r>
      <w:r>
        <w:t xml:space="preserve">. Cabinet papers accompanying the secondary school admissions consultation, available via the consultation portal:</w:t>
      </w:r>
      <w:r>
        <w:t xml:space="preserve"> </w:t>
      </w:r>
      <w:hyperlink r:id="rId51">
        <w:r>
          <w:rPr>
            <w:rStyle w:val="Hyperlink"/>
          </w:rPr>
          <w:t xml:space="preserve">https://yourvoice.brighton-hove.gov.uk/en-GB/projects/school-admission-arrangements-public-consultation/1</w:t>
        </w:r>
      </w:hyperlink>
      <w:r>
        <w:t xml:space="preserve">.</w:t>
      </w:r>
    </w:p>
  </w:footnote>
  <w:footnote w:id="88">
    <w:p>
      <w:pPr>
        <w:pStyle w:val="FootnoteText"/>
      </w:pPr>
      <w:r>
        <w:rPr>
          <w:rStyle w:val="FootnoteReference"/>
        </w:rPr>
        <w:footnoteRef/>
      </w:r>
      <w:r>
        <w:t xml:space="preserve"> </w:t>
      </w:r>
      <w:hyperlink r:id="rId89">
        <w:r>
          <w:rPr>
            <w:rStyle w:val="Hyperlink"/>
          </w:rPr>
          <w:t xml:space="preserve">https://reports.ofsted.gov.uk/provider/23/136164</w:t>
        </w:r>
      </w:hyperlink>
    </w:p>
  </w:footnote>
  <w:footnote w:id="91">
    <w:p>
      <w:pPr>
        <w:pStyle w:val="FootnoteText"/>
      </w:pPr>
      <w:r>
        <w:rPr>
          <w:rStyle w:val="FootnoteReference"/>
        </w:rPr>
        <w:footnoteRef/>
      </w:r>
      <w:r>
        <w:t xml:space="preserve"> </w:t>
      </w:r>
      <w:r>
        <w:t xml:space="preserve">Brighton and Hove City Council (2024)</w:t>
      </w:r>
      <w:r>
        <w:t xml:space="preserve"> </w:t>
      </w:r>
      <w:r>
        <w:rPr>
          <w:i/>
          <w:iCs/>
        </w:rPr>
        <w:t xml:space="preserve">School Admission Arrangements 2026/27</w:t>
      </w:r>
      <w:r>
        <w:t xml:space="preserve"> </w:t>
      </w:r>
      <w:r>
        <w:t xml:space="preserve">- Cabinet Report, 5 December 2024 (decision to consult):</w:t>
      </w:r>
      <w:r>
        <w:t xml:space="preserve"> </w:t>
      </w:r>
      <w:hyperlink r:id="rId48">
        <w:r>
          <w:rPr>
            <w:rStyle w:val="Hyperlink"/>
          </w:rPr>
          <w:t xml:space="preserve">https://democracy.brighton-hove.gov.uk/documents/s204040/School%20Admission%20Arrangements%202026-27.pdf</w:t>
        </w:r>
      </w:hyperlink>
      <w:r>
        <w:t xml:space="preserve">. Brighton and Hove City Council (2025)</w:t>
      </w:r>
      <w:r>
        <w:t xml:space="preserve"> </w:t>
      </w:r>
      <w:r>
        <w:rPr>
          <w:i/>
          <w:iCs/>
        </w:rPr>
        <w:t xml:space="preserve">School Admission Arrangements 2026/27</w:t>
      </w:r>
      <w:r>
        <w:t xml:space="preserve"> </w:t>
      </w:r>
      <w:r>
        <w:t xml:space="preserve">- Full Council Report, 27 February 2025 (determination):</w:t>
      </w:r>
      <w:r>
        <w:t xml:space="preserve"> </w:t>
      </w:r>
      <w:hyperlink r:id="rId49">
        <w:r>
          <w:rPr>
            <w:rStyle w:val="Hyperlink"/>
          </w:rPr>
          <w:t xml:space="preserve">https://democracy.brighton-hove.gov.uk/documents/s205834/School%20Admission%20Arrangements%202026-27.pdf</w:t>
        </w:r>
      </w:hyperlink>
      <w:r>
        <w:t xml:space="preserve">.</w:t>
      </w:r>
    </w:p>
  </w:footnote>
  <w:footnote w:id="94">
    <w:p>
      <w:pPr>
        <w:pStyle w:val="FootnoteText"/>
      </w:pPr>
      <w:r>
        <w:rPr>
          <w:rStyle w:val="FootnoteReference"/>
        </w:rPr>
        <w:footnoteRef/>
      </w:r>
      <w:r>
        <w:t xml:space="preserve"> </w:t>
      </w:r>
      <w:r>
        <w:t xml:space="preserve">School Attainment Policy Simulator:</w:t>
      </w:r>
      <w:r>
        <w:t xml:space="preserve"> </w:t>
      </w:r>
      <w:hyperlink r:id="rId95">
        <w:r>
          <w:rPr>
            <w:rStyle w:val="Hyperlink"/>
          </w:rPr>
          <w:t xml:space="preserve">https://adam-dennett.shinyapps.io/School_Attainment_Policy_Simulator/</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9AC26D7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2">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3">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6">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7">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8">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9">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20">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43349035" w:numId="1">
    <w:abstractNumId w:val="11"/>
  </w:num>
  <w:num w16cid:durableId="715008937" w:numId="2">
    <w:abstractNumId w:val="16"/>
  </w:num>
  <w:num w16cid:durableId="90863085" w:numId="3">
    <w:abstractNumId w:val="20"/>
  </w:num>
  <w:num w16cid:durableId="285892989" w:numId="4">
    <w:abstractNumId w:val="1"/>
  </w:num>
  <w:num w16cid:durableId="1889688008" w:numId="5">
    <w:abstractNumId w:val="2"/>
  </w:num>
  <w:num w16cid:durableId="1659188007" w:numId="6">
    <w:abstractNumId w:val="3"/>
  </w:num>
  <w:num w16cid:durableId="1748379258" w:numId="7">
    <w:abstractNumId w:val="4"/>
  </w:num>
  <w:num w16cid:durableId="1522279981" w:numId="8">
    <w:abstractNumId w:val="9"/>
  </w:num>
  <w:num w16cid:durableId="1846019313" w:numId="9">
    <w:abstractNumId w:val="5"/>
  </w:num>
  <w:num w16cid:durableId="1511069277" w:numId="10">
    <w:abstractNumId w:val="7"/>
  </w:num>
  <w:num w16cid:durableId="522597845" w:numId="11">
    <w:abstractNumId w:val="6"/>
  </w:num>
  <w:num w16cid:durableId="1183083884" w:numId="12">
    <w:abstractNumId w:val="10"/>
  </w:num>
  <w:num w16cid:durableId="1310789798" w:numId="13">
    <w:abstractNumId w:val="8"/>
  </w:num>
  <w:num w16cid:durableId="530187866" w:numId="14">
    <w:abstractNumId w:val="18"/>
  </w:num>
  <w:num w16cid:durableId="967275065" w:numId="15">
    <w:abstractNumId w:val="21"/>
  </w:num>
  <w:num w16cid:durableId="1562205318" w:numId="16">
    <w:abstractNumId w:val="15"/>
  </w:num>
  <w:num w16cid:durableId="18243480" w:numId="17">
    <w:abstractNumId w:val="17"/>
  </w:num>
  <w:num w16cid:durableId="148324002" w:numId="18">
    <w:abstractNumId w:val="12"/>
  </w:num>
  <w:num w16cid:durableId="1065106568" w:numId="19">
    <w:abstractNumId w:val="0"/>
  </w:num>
  <w:num w16cid:durableId="452943983" w:numId="20">
    <w:abstractNumId w:val="13"/>
  </w:num>
  <w:num w16cid:durableId="518197463" w:numId="21">
    <w:abstractNumId w:val="19"/>
  </w:num>
  <w:num w16cid:durableId="517695458" w:numId="22">
    <w:abstractNumId w:val="22"/>
  </w:num>
  <w:num w16cid:durableId="478576357" w:numId="23">
    <w:abstractNumId w:val="23"/>
  </w:num>
  <w:num w16cid:durableId="1353457913" w:numId="24">
    <w:abstractNumId w:val="14"/>
  </w:num>
  <w:num w16cid:durableId="1522280334" w:numId="25">
    <w:abstractNumId w:val="2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linkStyles/>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60CA6"/>
    <w:rsid w:val="000F697D"/>
    <w:rsid w:val="00162B3B"/>
    <w:rsid w:val="001A76D3"/>
    <w:rsid w:val="00302154"/>
    <w:rsid w:val="00303AF6"/>
    <w:rsid w:val="003E124A"/>
    <w:rsid w:val="00413CD7"/>
    <w:rsid w:val="00413EAF"/>
    <w:rsid w:val="00440721"/>
    <w:rsid w:val="00491C3B"/>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B2F3C"/>
    <w:rsid w:val="00EC7E12"/>
    <w:rsid w:val="00FF7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61F"/>
    <w:pPr>
      <w:spacing w:after="0" w:line="480" w:lineRule="auto"/>
    </w:pPr>
    <w:rPr>
      <w:rFonts w:ascii="Times New Roman" w:cs="Times New Roman" w:eastAsia="Times New Roman" w:hAnsi="Times New Roman"/>
      <w:lang w:eastAsia="en-GB" w:val="en-GB"/>
    </w:rPr>
  </w:style>
  <w:style w:styleId="Heading1" w:type="paragraph">
    <w:name w:val="heading 1"/>
    <w:basedOn w:val="Normal"/>
    <w:next w:val="Paragraph"/>
    <w:link w:val="Heading1Char"/>
    <w:qFormat/>
    <w:rsid w:val="006E261F"/>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6E261F"/>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6E261F"/>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6E261F"/>
    <w:pPr>
      <w:spacing w:before="360"/>
      <w:outlineLvl w:val="3"/>
    </w:pPr>
    <w:rPr>
      <w:bCs/>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unhideWhenUsed/>
    <w:rsid w:val="006E261F"/>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rsid w:val="006E261F"/>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Keywords"/>
    <w:qFormat/>
    <w:rsid w:val="006E261F"/>
    <w:pPr>
      <w:spacing w:after="300" w:before="360" w:line="360" w:lineRule="auto"/>
      <w:ind w:left="720" w:right="567"/>
    </w:pPr>
    <w:rPr>
      <w:sz w:val="22"/>
    </w:rPr>
  </w:style>
  <w:style w:styleId="Bibliography" w:type="paragraph">
    <w:name w:val="Bibliography"/>
    <w:basedOn w:val="Normal"/>
    <w:qFormat/>
  </w:style>
  <w:style w:customStyle="1" w:styleId="Heading1Char" w:type="character">
    <w:name w:val="Heading 1 Char"/>
    <w:basedOn w:val="DefaultParagraphFont"/>
    <w:link w:val="Heading1"/>
    <w:rsid w:val="006E261F"/>
    <w:rPr>
      <w:rFonts w:ascii="Times New Roman" w:cs="Arial" w:eastAsia="Times New Roman" w:hAnsi="Times New Roman"/>
      <w:b/>
      <w:bCs/>
      <w:kern w:val="32"/>
      <w:szCs w:val="32"/>
      <w:lang w:eastAsia="en-GB" w:val="en-GB"/>
    </w:rPr>
  </w:style>
  <w:style w:customStyle="1" w:styleId="Heading2Char" w:type="character">
    <w:name w:val="Heading 2 Char"/>
    <w:basedOn w:val="DefaultParagraphFont"/>
    <w:link w:val="Heading2"/>
    <w:rsid w:val="006E261F"/>
    <w:rPr>
      <w:rFonts w:ascii="Times New Roman" w:cs="Arial" w:eastAsia="Times New Roman" w:hAnsi="Times New Roman"/>
      <w:b/>
      <w:bCs/>
      <w:i/>
      <w:iCs/>
      <w:szCs w:val="28"/>
      <w:lang w:eastAsia="en-GB" w:val="en-GB"/>
    </w:rPr>
  </w:style>
  <w:style w:customStyle="1" w:styleId="Heading3Char" w:type="character">
    <w:name w:val="Heading 3 Char"/>
    <w:basedOn w:val="DefaultParagraphFont"/>
    <w:link w:val="Heading3"/>
    <w:rsid w:val="006E261F"/>
    <w:rPr>
      <w:rFonts w:ascii="Times New Roman" w:cs="Arial" w:eastAsia="Times New Roman" w:hAnsi="Times New Roman"/>
      <w:bCs/>
      <w:i/>
      <w:szCs w:val="26"/>
      <w:lang w:eastAsia="en-GB" w:val="en-GB"/>
    </w:rPr>
  </w:style>
  <w:style w:customStyle="1" w:styleId="Heading4Char" w:type="character">
    <w:name w:val="Heading 4 Char"/>
    <w:basedOn w:val="DefaultParagraphFont"/>
    <w:link w:val="Heading4"/>
    <w:rsid w:val="006E261F"/>
    <w:rPr>
      <w:rFonts w:ascii="Times New Roman" w:cs="Times New Roman" w:eastAsia="Times New Roman" w:hAnsi="Times New Roman"/>
      <w:bCs/>
      <w:szCs w:val="28"/>
      <w:lang w:eastAsia="en-GB" w:val="en-GB"/>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autoRedefine/>
    <w:rsid w:val="006E261F"/>
    <w:pPr>
      <w:ind w:hanging="284" w:left="284"/>
    </w:pPr>
    <w:rPr>
      <w:sz w:val="22"/>
      <w:szCs w:val="20"/>
    </w:rPr>
  </w:style>
  <w:style w:customStyle="1" w:styleId="FootnoteBlockText" w:type="paragraph">
    <w:name w:val="Footnote Block Text"/>
    <w:basedOn w:val="FootnoteText"/>
    <w:next w:val="FootnoteText"/>
    <w:uiPriority w:val="9"/>
    <w:unhideWhenUsed/>
    <w:qFormat/>
    <w:pPr>
      <w:spacing w:after="100" w:before="100"/>
      <w:ind w:firstLine="0"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DefaultParagraphFont"/>
    <w:rsid w:val="006E261F"/>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color w:themeColor="accent1" w:themeShade="BF" w:val="0F476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Articletitle" w:type="paragraph">
    <w:name w:val="Article title"/>
    <w:basedOn w:val="Normal"/>
    <w:next w:val="Normal"/>
    <w:qFormat/>
    <w:rsid w:val="006E261F"/>
    <w:pPr>
      <w:spacing w:after="120" w:line="360" w:lineRule="auto"/>
    </w:pPr>
    <w:rPr>
      <w:b/>
      <w:sz w:val="28"/>
    </w:rPr>
  </w:style>
  <w:style w:customStyle="1" w:styleId="Authornames" w:type="paragraph">
    <w:name w:val="Author names"/>
    <w:basedOn w:val="Normal"/>
    <w:next w:val="Normal"/>
    <w:qFormat/>
    <w:rsid w:val="006E261F"/>
    <w:pPr>
      <w:spacing w:before="240" w:line="360" w:lineRule="auto"/>
    </w:pPr>
    <w:rPr>
      <w:sz w:val="28"/>
    </w:rPr>
  </w:style>
  <w:style w:customStyle="1" w:styleId="Affiliation" w:type="paragraph">
    <w:name w:val="Affiliation"/>
    <w:basedOn w:val="Normal"/>
    <w:qFormat/>
    <w:rsid w:val="006E261F"/>
    <w:pPr>
      <w:spacing w:before="240" w:line="360" w:lineRule="auto"/>
    </w:pPr>
    <w:rPr>
      <w:i/>
    </w:rPr>
  </w:style>
  <w:style w:customStyle="1" w:styleId="Receiveddates" w:type="paragraph">
    <w:name w:val="Received dates"/>
    <w:basedOn w:val="Affiliation"/>
    <w:next w:val="Normal"/>
    <w:qFormat/>
    <w:rsid w:val="006E261F"/>
  </w:style>
  <w:style w:customStyle="1" w:styleId="Keywords" w:type="paragraph">
    <w:name w:val="Keywords"/>
    <w:basedOn w:val="Normal"/>
    <w:next w:val="Paragraph"/>
    <w:qFormat/>
    <w:rsid w:val="006E261F"/>
    <w:pPr>
      <w:spacing w:after="240" w:before="240" w:line="360" w:lineRule="auto"/>
      <w:ind w:left="720" w:right="567"/>
    </w:pPr>
    <w:rPr>
      <w:sz w:val="22"/>
    </w:rPr>
  </w:style>
  <w:style w:customStyle="1" w:styleId="Correspondencedetails" w:type="paragraph">
    <w:name w:val="Correspondence details"/>
    <w:basedOn w:val="Normal"/>
    <w:qFormat/>
    <w:rsid w:val="006E261F"/>
    <w:pPr>
      <w:spacing w:before="240" w:line="360" w:lineRule="auto"/>
    </w:pPr>
  </w:style>
  <w:style w:customStyle="1" w:styleId="Displayedquotation" w:type="paragraph">
    <w:name w:val="Displayed quotation"/>
    <w:basedOn w:val="Normal"/>
    <w:qFormat/>
    <w:rsid w:val="006E261F"/>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6E261F"/>
    <w:pPr>
      <w:widowControl/>
      <w:numPr>
        <w:numId w:val="14"/>
      </w:numPr>
      <w:spacing w:after="240"/>
      <w:contextualSpacing/>
    </w:pPr>
  </w:style>
  <w:style w:customStyle="1" w:styleId="Displayedequation" w:type="paragraph">
    <w:name w:val="Displayed equation"/>
    <w:basedOn w:val="Normal"/>
    <w:next w:val="Paragraph"/>
    <w:qFormat/>
    <w:rsid w:val="006E261F"/>
    <w:pPr>
      <w:tabs>
        <w:tab w:pos="4253" w:val="center"/>
        <w:tab w:pos="8222" w:val="right"/>
      </w:tabs>
      <w:spacing w:after="240" w:before="240"/>
      <w:jc w:val="center"/>
    </w:pPr>
  </w:style>
  <w:style w:customStyle="1" w:styleId="Acknowledgements" w:type="paragraph">
    <w:name w:val="Acknowledgements"/>
    <w:basedOn w:val="Normal"/>
    <w:next w:val="Normal"/>
    <w:qFormat/>
    <w:rsid w:val="006E261F"/>
    <w:pPr>
      <w:spacing w:before="120" w:line="360" w:lineRule="auto"/>
    </w:pPr>
    <w:rPr>
      <w:sz w:val="22"/>
    </w:rPr>
  </w:style>
  <w:style w:customStyle="1" w:styleId="Tabletitle" w:type="paragraph">
    <w:name w:val="Table title"/>
    <w:basedOn w:val="Normal"/>
    <w:next w:val="Normal"/>
    <w:qFormat/>
    <w:rsid w:val="006E261F"/>
    <w:pPr>
      <w:spacing w:before="240" w:line="360" w:lineRule="auto"/>
    </w:pPr>
  </w:style>
  <w:style w:customStyle="1" w:styleId="Figurecaption" w:type="paragraph">
    <w:name w:val="Figure caption"/>
    <w:basedOn w:val="Normal"/>
    <w:next w:val="Normal"/>
    <w:qFormat/>
    <w:rsid w:val="006E261F"/>
    <w:pPr>
      <w:spacing w:before="240" w:line="360" w:lineRule="auto"/>
    </w:pPr>
  </w:style>
  <w:style w:customStyle="1" w:styleId="Footnotes" w:type="paragraph">
    <w:name w:val="Footnotes"/>
    <w:basedOn w:val="Normal"/>
    <w:qFormat/>
    <w:rsid w:val="006E261F"/>
    <w:pPr>
      <w:spacing w:before="120" w:line="360" w:lineRule="auto"/>
      <w:ind w:hanging="482" w:left="482"/>
      <w:contextualSpacing/>
    </w:pPr>
    <w:rPr>
      <w:sz w:val="22"/>
    </w:rPr>
  </w:style>
  <w:style w:customStyle="1" w:styleId="Notesoncontributors" w:type="paragraph">
    <w:name w:val="Notes on contributors"/>
    <w:basedOn w:val="Normal"/>
    <w:qFormat/>
    <w:rsid w:val="006E261F"/>
    <w:pPr>
      <w:spacing w:before="240" w:line="360" w:lineRule="auto"/>
    </w:pPr>
    <w:rPr>
      <w:sz w:val="22"/>
    </w:rPr>
  </w:style>
  <w:style w:customStyle="1" w:styleId="Normalparagraphstyle" w:type="paragraph">
    <w:name w:val="Normal paragraph style"/>
    <w:basedOn w:val="Normal"/>
    <w:next w:val="Normal"/>
    <w:rsid w:val="006E261F"/>
  </w:style>
  <w:style w:customStyle="1" w:styleId="Paragraph" w:type="paragraph">
    <w:name w:val="Paragraph"/>
    <w:basedOn w:val="Normal"/>
    <w:next w:val="Newparagraph"/>
    <w:qFormat/>
    <w:rsid w:val="006E261F"/>
    <w:pPr>
      <w:widowControl w:val="0"/>
      <w:spacing w:before="240"/>
    </w:pPr>
  </w:style>
  <w:style w:customStyle="1" w:styleId="Newparagraph" w:type="paragraph">
    <w:name w:val="New paragraph"/>
    <w:basedOn w:val="Normal"/>
    <w:qFormat/>
    <w:rsid w:val="006E261F"/>
    <w:pPr>
      <w:ind w:firstLine="720"/>
    </w:pPr>
  </w:style>
  <w:style w:styleId="NormalIndent" w:type="paragraph">
    <w:name w:val="Normal Indent"/>
    <w:basedOn w:val="Normal"/>
    <w:rsid w:val="006E261F"/>
    <w:pPr>
      <w:ind w:left="720"/>
    </w:pPr>
  </w:style>
  <w:style w:customStyle="1" w:styleId="References" w:type="paragraph">
    <w:name w:val="References"/>
    <w:basedOn w:val="Normal"/>
    <w:qFormat/>
    <w:rsid w:val="006E261F"/>
    <w:pPr>
      <w:spacing w:before="120" w:line="360" w:lineRule="auto"/>
      <w:ind w:hanging="720" w:left="720"/>
      <w:contextualSpacing/>
    </w:pPr>
  </w:style>
  <w:style w:customStyle="1" w:styleId="Subjectcodes" w:type="paragraph">
    <w:name w:val="Subject codes"/>
    <w:basedOn w:val="Keywords"/>
    <w:next w:val="Paragraph"/>
    <w:qFormat/>
    <w:rsid w:val="006E261F"/>
  </w:style>
  <w:style w:customStyle="1" w:styleId="Bulletedlist" w:type="paragraph">
    <w:name w:val="Bulleted list"/>
    <w:basedOn w:val="Paragraph"/>
    <w:next w:val="Paragraph"/>
    <w:qFormat/>
    <w:rsid w:val="006E261F"/>
    <w:pPr>
      <w:widowControl/>
      <w:numPr>
        <w:numId w:val="15"/>
      </w:numPr>
      <w:spacing w:after="240"/>
      <w:contextualSpacing/>
    </w:pPr>
  </w:style>
  <w:style w:customStyle="1" w:styleId="FootnoteTextChar" w:type="character">
    <w:name w:val="Footnote Text Char"/>
    <w:basedOn w:val="DefaultParagraphFont"/>
    <w:link w:val="FootnoteText"/>
    <w:rsid w:val="006E261F"/>
    <w:rPr>
      <w:rFonts w:ascii="Times New Roman" w:cs="Times New Roman" w:eastAsia="Times New Roman" w:hAnsi="Times New Roman"/>
      <w:sz w:val="22"/>
      <w:szCs w:val="20"/>
      <w:lang w:eastAsia="en-GB" w:val="en-GB"/>
    </w:rPr>
  </w:style>
  <w:style w:styleId="EndnoteText" w:type="paragraph">
    <w:name w:val="endnote text"/>
    <w:basedOn w:val="Normal"/>
    <w:link w:val="EndnoteTextChar"/>
    <w:autoRedefine/>
    <w:rsid w:val="006E261F"/>
    <w:pPr>
      <w:ind w:hanging="284" w:left="284"/>
    </w:pPr>
    <w:rPr>
      <w:sz w:val="22"/>
      <w:szCs w:val="20"/>
    </w:rPr>
  </w:style>
  <w:style w:customStyle="1" w:styleId="EndnoteTextChar" w:type="character">
    <w:name w:val="Endnote Text Char"/>
    <w:basedOn w:val="DefaultParagraphFont"/>
    <w:link w:val="EndnoteText"/>
    <w:rsid w:val="006E261F"/>
    <w:rPr>
      <w:rFonts w:ascii="Times New Roman" w:cs="Times New Roman" w:eastAsia="Times New Roman" w:hAnsi="Times New Roman"/>
      <w:sz w:val="22"/>
      <w:szCs w:val="20"/>
      <w:lang w:eastAsia="en-GB" w:val="en-GB"/>
    </w:rPr>
  </w:style>
  <w:style w:styleId="EndnoteReference" w:type="character">
    <w:name w:val="endnote reference"/>
    <w:basedOn w:val="DefaultParagraphFont"/>
    <w:rsid w:val="006E261F"/>
    <w:rPr>
      <w:vertAlign w:val="superscript"/>
    </w:rPr>
  </w:style>
  <w:style w:styleId="Header" w:type="paragraph">
    <w:name w:val="header"/>
    <w:basedOn w:val="Normal"/>
    <w:link w:val="HeaderChar"/>
    <w:rsid w:val="006E261F"/>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6E261F"/>
    <w:rPr>
      <w:rFonts w:ascii="Times New Roman" w:cs="Times New Roman" w:eastAsia="Times New Roman" w:hAnsi="Times New Roman"/>
      <w:lang w:eastAsia="en-GB" w:val="en-GB"/>
    </w:rPr>
  </w:style>
  <w:style w:styleId="Footer" w:type="paragraph">
    <w:name w:val="footer"/>
    <w:basedOn w:val="Normal"/>
    <w:link w:val="FooterChar"/>
    <w:rsid w:val="006E261F"/>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6E261F"/>
    <w:rPr>
      <w:rFonts w:ascii="Times New Roman" w:cs="Times New Roman" w:eastAsia="Times New Roman" w:hAnsi="Times New Roman"/>
      <w:lang w:eastAsia="en-GB" w:val="en-GB"/>
    </w:rPr>
  </w:style>
  <w:style w:customStyle="1" w:styleId="Heading4Paragraph" w:type="paragraph">
    <w:name w:val="Heading 4 + Paragraph"/>
    <w:basedOn w:val="Paragraph"/>
    <w:next w:val="Newparagraph"/>
    <w:qFormat/>
    <w:rsid w:val="006E261F"/>
    <w:pPr>
      <w:widowControl/>
      <w:spacing w:before="360"/>
    </w:pPr>
  </w:style>
  <w:style w:styleId="TableGridLight" w:type="table">
    <w:name w:val="Grid Table Light"/>
    <w:basedOn w:val="TableNormal"/>
    <w:rsid w:val="003E124A"/>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38" Target="media/rId38.png" /><Relationship Type="http://schemas.openxmlformats.org/officeDocument/2006/relationships/hyperlink" Id="rId95" Target="https://adam-dennett.shinyapps.io/School_Attainment_Policy_Simulator/" TargetMode="External" /><Relationship Type="http://schemas.openxmlformats.org/officeDocument/2006/relationships/hyperlink" Id="rId138" Target="https://cep.lse.ac.uk/_new/publications/abstract.asp?index=5752" TargetMode="External" /><Relationship Type="http://schemas.openxmlformats.org/officeDocument/2006/relationships/hyperlink" Id="rId116" Target="https://committees.parliament.uk/committee/203/education-committee/news/156024/forgotten-white-workingclass-pupils-let-down-by-decades-of-neglect-mps-say/" TargetMode="External" /><Relationship Type="http://schemas.openxmlformats.org/officeDocument/2006/relationships/hyperlink" Id="rId48" Target="https://democracy.brighton-hove.gov.uk/documents/s204040/School%20Admission%20Arrangements%202026-27.pdf" TargetMode="External" /><Relationship Type="http://schemas.openxmlformats.org/officeDocument/2006/relationships/hyperlink" Id="rId49" Target="https://democracy.brighton-hove.gov.uk/documents/s205834/School%20Admission%20Arrangements%202026-27.pdf" TargetMode="External" /><Relationship Type="http://schemas.openxmlformats.org/officeDocument/2006/relationships/hyperlink" Id="rId140" Target="https://doi.org/10.1002/berj.3297" TargetMode="External" /><Relationship Type="http://schemas.openxmlformats.org/officeDocument/2006/relationships/hyperlink" Id="rId130" Target="https://doi.org/10.1002/berj.3992" TargetMode="External" /><Relationship Type="http://schemas.openxmlformats.org/officeDocument/2006/relationships/hyperlink" Id="rId187" Target="https://doi.org/10.1007/978-3-031-98300-9_17" TargetMode="External" /><Relationship Type="http://schemas.openxmlformats.org/officeDocument/2006/relationships/hyperlink" Id="rId170" Target="https://doi.org/10.1007/s41105-017-0091-0" TargetMode="External" /><Relationship Type="http://schemas.openxmlformats.org/officeDocument/2006/relationships/hyperlink" Id="rId112" Target="https://doi.org/10.1016/j.econedurev.2023.102405" TargetMode="External" /><Relationship Type="http://schemas.openxmlformats.org/officeDocument/2006/relationships/hyperlink" Id="rId128" Target="https://doi.org/10.1016/j.jth.2023.101605" TargetMode="External" /><Relationship Type="http://schemas.openxmlformats.org/officeDocument/2006/relationships/hyperlink" Id="rId152" Target="https://doi.org/10.1016/j.psyneuen.2021.105371" TargetMode="External" /><Relationship Type="http://schemas.openxmlformats.org/officeDocument/2006/relationships/hyperlink" Id="rId195" Target="https://doi.org/10.1016/j.sleep.2018.10.041" TargetMode="External" /><Relationship Type="http://schemas.openxmlformats.org/officeDocument/2006/relationships/hyperlink" Id="rId183" Target="https://doi.org/10.1080/01425692.2025.2474040" TargetMode="External" /><Relationship Type="http://schemas.openxmlformats.org/officeDocument/2006/relationships/hyperlink" Id="rId106" Target="https://doi.org/10.1080/0305764X.2024.2420611" TargetMode="External" /><Relationship Type="http://schemas.openxmlformats.org/officeDocument/2006/relationships/hyperlink" Id="rId102" Target="https://doi.org/10.1080/09645292.2017.1366425" TargetMode="External" /><Relationship Type="http://schemas.openxmlformats.org/officeDocument/2006/relationships/hyperlink" Id="rId132" Target="https://doi.org/10.1093/ooec/odad029" TargetMode="External" /><Relationship Type="http://schemas.openxmlformats.org/officeDocument/2006/relationships/hyperlink" Id="rId160" Target="https://doi.org/10.1098/rsif.2017.0213" TargetMode="External" /><Relationship Type="http://schemas.openxmlformats.org/officeDocument/2006/relationships/hyperlink" Id="rId136" Target="https://doi.org/10.1111/j.1467-8624.2004.00655.x" TargetMode="External" /><Relationship Type="http://schemas.openxmlformats.org/officeDocument/2006/relationships/hyperlink" Id="rId104" Target="https://doi.org/10.1111/j.1475-5661.2012.00511.x" TargetMode="External" /><Relationship Type="http://schemas.openxmlformats.org/officeDocument/2006/relationships/hyperlink" Id="rId162" Target="https://doi.org/10.1111/j.2041-210x.2012.00261.x" TargetMode="External" /><Relationship Type="http://schemas.openxmlformats.org/officeDocument/2006/relationships/hyperlink" Id="rId172" Target="https://doi.org/10.1111/jcpp.14082" TargetMode="External" /><Relationship Type="http://schemas.openxmlformats.org/officeDocument/2006/relationships/hyperlink" Id="rId164" Target="https://doi.org/10.1111/pcn.13714" TargetMode="External" /><Relationship Type="http://schemas.openxmlformats.org/officeDocument/2006/relationships/hyperlink" Id="rId110" Target="https://doi.org/10.1177/0308518X18787820" TargetMode="External" /><Relationship Type="http://schemas.openxmlformats.org/officeDocument/2006/relationships/hyperlink" Id="rId193" Target="https://doi.org/10.1177/0739456X17725148" TargetMode="External" /><Relationship Type="http://schemas.openxmlformats.org/officeDocument/2006/relationships/hyperlink" Id="rId142" Target="https://doi.org/10.1177/2158244018825171" TargetMode="External" /><Relationship Type="http://schemas.openxmlformats.org/officeDocument/2006/relationships/hyperlink" Id="rId134" Target="https://doi.org/10.1186/1471-2458-13-1166" TargetMode="External" /><Relationship Type="http://schemas.openxmlformats.org/officeDocument/2006/relationships/hyperlink" Id="rId148" Target="https://doi.org/10.1186/s12889-025-22861-7" TargetMode="External" /><Relationship Type="http://schemas.openxmlformats.org/officeDocument/2006/relationships/hyperlink" Id="rId166" Target="https://doi.org/10.1265/ehpm.25-00290" TargetMode="External" /><Relationship Type="http://schemas.openxmlformats.org/officeDocument/2006/relationships/hyperlink" Id="rId150" Target="https://doi.org/10.1371/journal.pmed.1003031" TargetMode="External" /><Relationship Type="http://schemas.openxmlformats.org/officeDocument/2006/relationships/hyperlink" Id="rId114" Target="https://doi.org/10.1371/journal.pone.0314687" TargetMode="External" /><Relationship Type="http://schemas.openxmlformats.org/officeDocument/2006/relationships/hyperlink" Id="rId156" Target="https://doi.org/10.14324/LRE.21.1.20" TargetMode="External" /><Relationship Type="http://schemas.openxmlformats.org/officeDocument/2006/relationships/hyperlink" Id="rId181" Target="https://doi.org/10.3102/0013189X20949504" TargetMode="External" /><Relationship Type="http://schemas.openxmlformats.org/officeDocument/2006/relationships/hyperlink" Id="rId118" Target="https://doi.org/10.3102/01623737221092450" TargetMode="External" /><Relationship Type="http://schemas.openxmlformats.org/officeDocument/2006/relationships/hyperlink" Id="rId168" Target="https://doi.org/10.3109/07420528.2013.826238" TargetMode="External" /><Relationship Type="http://schemas.openxmlformats.org/officeDocument/2006/relationships/hyperlink" Id="rId144" Target="https://doi.org/10.3390/educsci15010006" TargetMode="External" /><Relationship Type="http://schemas.openxmlformats.org/officeDocument/2006/relationships/hyperlink" Id="rId191" Target="https://epi.org.uk/annual-report-2023/" TargetMode="External" /><Relationship Type="http://schemas.openxmlformats.org/officeDocument/2006/relationships/hyperlink" Id="rId197" Target="https://epi.org.uk/publications-and-research/the-influence-of-headteachers-on-their-schools/" TargetMode="External" /><Relationship Type="http://schemas.openxmlformats.org/officeDocument/2006/relationships/hyperlink" Id="rId124" Target="https://explore-education-statistics.service.gov.uk/find-statistics/pupil-absence-in-schools-in-england/2024-25-autumn-and-spring-term" TargetMode="External" /><Relationship Type="http://schemas.openxmlformats.org/officeDocument/2006/relationships/hyperlink" Id="rId120" Target="https://explore-education-statistics.service.gov.uk/find-statistics/the-link-between-absence-and-attainment-at-ks2-and-ks4/2018-19" TargetMode="External" /><Relationship Type="http://schemas.openxmlformats.org/officeDocument/2006/relationships/hyperlink" Id="rId189" Target="https://ffteducationdatalab.org.uk/2023/11/are-pupils-who-live-further-away-from-their-school-absent-more-often/" TargetMode="External" /><Relationship Type="http://schemas.openxmlformats.org/officeDocument/2006/relationships/hyperlink" Id="rId178" Target="https://knowledge.uchicago.edu/record/7216" TargetMode="External" /><Relationship Type="http://schemas.openxmlformats.org/officeDocument/2006/relationships/hyperlink" Id="rId146"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89" Target="https://reports.ofsted.gov.uk/provider/23/136164" TargetMode="External" /><Relationship Type="http://schemas.openxmlformats.org/officeDocument/2006/relationships/hyperlink" Id="rId53"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174" Target="https://www.gov.uk/government/publications/against-the-odds" TargetMode="External" /><Relationship Type="http://schemas.openxmlformats.org/officeDocument/2006/relationships/hyperlink" Id="rId126" Target="https://www.gov.uk/government/publications/every-child-achieving-and-thriving/every-child-achieving-and-thriving-html-version" TargetMode="External" /><Relationship Type="http://schemas.openxmlformats.org/officeDocument/2006/relationships/hyperlink" Id="rId176" Target="https://www.gov.uk/government/publications/examining-the-london-advantage-in-attainment-evidence-from-lsype" TargetMode="External" /><Relationship Type="http://schemas.openxmlformats.org/officeDocument/2006/relationships/hyperlink" Id="rId122" Target="https://www.gov.uk/government/publications/link-between-attendance-and-attainment" TargetMode="External" /><Relationship Type="http://schemas.openxmlformats.org/officeDocument/2006/relationships/hyperlink" Id="rId185"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4" Target="https://www.nfer.ac.uk/publications/supporting-the-attainment-of-disadvantaged-pupils-articulating-success-and-good-practice/" TargetMode="External" /><Relationship Type="http://schemas.openxmlformats.org/officeDocument/2006/relationships/hyperlink" Id="rId158" Target="https://www.nfer.ac.uk/publications/understanding-the-relationship-between-attendance-wellbeing-and-sense-of-belonging/" TargetMode="External" /><Relationship Type="http://schemas.openxmlformats.org/officeDocument/2006/relationships/hyperlink" Id="rId108" Target="https://www.urban.org/sites/default/files/publication/99027/time_to_school_and_student_outcomes_in_dc_1.pdf" TargetMode="External" /><Relationship Type="http://schemas.openxmlformats.org/officeDocument/2006/relationships/hyperlink" Id="rId51" Target="https://yourvoice.brighton-hove.gov.uk/en-GB/projects/school-admission-arrangements-public-consultation/1" TargetMode="External" /></Relationships>
</file>

<file path=word/_rels/footnotes.xml.rels><?xml version="1.0" encoding="UTF-8"?><Relationships xmlns="http://schemas.openxmlformats.org/package/2006/relationships"><Relationship Type="http://schemas.openxmlformats.org/officeDocument/2006/relationships/hyperlink" Id="rId95" Target="https://adam-dennett.shinyapps.io/School_Attainment_Policy_Simulator/" TargetMode="External" /><Relationship Type="http://schemas.openxmlformats.org/officeDocument/2006/relationships/hyperlink" Id="rId138" Target="https://cep.lse.ac.uk/_new/publications/abstract.asp?index=5752" TargetMode="External" /><Relationship Type="http://schemas.openxmlformats.org/officeDocument/2006/relationships/hyperlink" Id="rId116" Target="https://committees.parliament.uk/committee/203/education-committee/news/156024/forgotten-white-workingclass-pupils-let-down-by-decades-of-neglect-mps-say/" TargetMode="External" /><Relationship Type="http://schemas.openxmlformats.org/officeDocument/2006/relationships/hyperlink" Id="rId48" Target="https://democracy.brighton-hove.gov.uk/documents/s204040/School%20Admission%20Arrangements%202026-27.pdf" TargetMode="External" /><Relationship Type="http://schemas.openxmlformats.org/officeDocument/2006/relationships/hyperlink" Id="rId49" Target="https://democracy.brighton-hove.gov.uk/documents/s205834/School%20Admission%20Arrangements%202026-27.pdf" TargetMode="External" /><Relationship Type="http://schemas.openxmlformats.org/officeDocument/2006/relationships/hyperlink" Id="rId140" Target="https://doi.org/10.1002/berj.3297" TargetMode="External" /><Relationship Type="http://schemas.openxmlformats.org/officeDocument/2006/relationships/hyperlink" Id="rId130" Target="https://doi.org/10.1002/berj.3992" TargetMode="External" /><Relationship Type="http://schemas.openxmlformats.org/officeDocument/2006/relationships/hyperlink" Id="rId187" Target="https://doi.org/10.1007/978-3-031-98300-9_17" TargetMode="External" /><Relationship Type="http://schemas.openxmlformats.org/officeDocument/2006/relationships/hyperlink" Id="rId170" Target="https://doi.org/10.1007/s41105-017-0091-0" TargetMode="External" /><Relationship Type="http://schemas.openxmlformats.org/officeDocument/2006/relationships/hyperlink" Id="rId112" Target="https://doi.org/10.1016/j.econedurev.2023.102405" TargetMode="External" /><Relationship Type="http://schemas.openxmlformats.org/officeDocument/2006/relationships/hyperlink" Id="rId128" Target="https://doi.org/10.1016/j.jth.2023.101605" TargetMode="External" /><Relationship Type="http://schemas.openxmlformats.org/officeDocument/2006/relationships/hyperlink" Id="rId152" Target="https://doi.org/10.1016/j.psyneuen.2021.105371" TargetMode="External" /><Relationship Type="http://schemas.openxmlformats.org/officeDocument/2006/relationships/hyperlink" Id="rId195" Target="https://doi.org/10.1016/j.sleep.2018.10.041" TargetMode="External" /><Relationship Type="http://schemas.openxmlformats.org/officeDocument/2006/relationships/hyperlink" Id="rId183" Target="https://doi.org/10.1080/01425692.2025.2474040" TargetMode="External" /><Relationship Type="http://schemas.openxmlformats.org/officeDocument/2006/relationships/hyperlink" Id="rId106" Target="https://doi.org/10.1080/0305764X.2024.2420611" TargetMode="External" /><Relationship Type="http://schemas.openxmlformats.org/officeDocument/2006/relationships/hyperlink" Id="rId102" Target="https://doi.org/10.1080/09645292.2017.1366425" TargetMode="External" /><Relationship Type="http://schemas.openxmlformats.org/officeDocument/2006/relationships/hyperlink" Id="rId132" Target="https://doi.org/10.1093/ooec/odad029" TargetMode="External" /><Relationship Type="http://schemas.openxmlformats.org/officeDocument/2006/relationships/hyperlink" Id="rId160" Target="https://doi.org/10.1098/rsif.2017.0213" TargetMode="External" /><Relationship Type="http://schemas.openxmlformats.org/officeDocument/2006/relationships/hyperlink" Id="rId136" Target="https://doi.org/10.1111/j.1467-8624.2004.00655.x" TargetMode="External" /><Relationship Type="http://schemas.openxmlformats.org/officeDocument/2006/relationships/hyperlink" Id="rId104" Target="https://doi.org/10.1111/j.1475-5661.2012.00511.x" TargetMode="External" /><Relationship Type="http://schemas.openxmlformats.org/officeDocument/2006/relationships/hyperlink" Id="rId162" Target="https://doi.org/10.1111/j.2041-210x.2012.00261.x" TargetMode="External" /><Relationship Type="http://schemas.openxmlformats.org/officeDocument/2006/relationships/hyperlink" Id="rId172" Target="https://doi.org/10.1111/jcpp.14082" TargetMode="External" /><Relationship Type="http://schemas.openxmlformats.org/officeDocument/2006/relationships/hyperlink" Id="rId164" Target="https://doi.org/10.1111/pcn.13714" TargetMode="External" /><Relationship Type="http://schemas.openxmlformats.org/officeDocument/2006/relationships/hyperlink" Id="rId110" Target="https://doi.org/10.1177/0308518X18787820" TargetMode="External" /><Relationship Type="http://schemas.openxmlformats.org/officeDocument/2006/relationships/hyperlink" Id="rId193" Target="https://doi.org/10.1177/0739456X17725148" TargetMode="External" /><Relationship Type="http://schemas.openxmlformats.org/officeDocument/2006/relationships/hyperlink" Id="rId142" Target="https://doi.org/10.1177/2158244018825171" TargetMode="External" /><Relationship Type="http://schemas.openxmlformats.org/officeDocument/2006/relationships/hyperlink" Id="rId134" Target="https://doi.org/10.1186/1471-2458-13-1166" TargetMode="External" /><Relationship Type="http://schemas.openxmlformats.org/officeDocument/2006/relationships/hyperlink" Id="rId148" Target="https://doi.org/10.1186/s12889-025-22861-7" TargetMode="External" /><Relationship Type="http://schemas.openxmlformats.org/officeDocument/2006/relationships/hyperlink" Id="rId166" Target="https://doi.org/10.1265/ehpm.25-00290" TargetMode="External" /><Relationship Type="http://schemas.openxmlformats.org/officeDocument/2006/relationships/hyperlink" Id="rId150" Target="https://doi.org/10.1371/journal.pmed.1003031" TargetMode="External" /><Relationship Type="http://schemas.openxmlformats.org/officeDocument/2006/relationships/hyperlink" Id="rId114" Target="https://doi.org/10.1371/journal.pone.0314687" TargetMode="External" /><Relationship Type="http://schemas.openxmlformats.org/officeDocument/2006/relationships/hyperlink" Id="rId156" Target="https://doi.org/10.14324/LRE.21.1.20" TargetMode="External" /><Relationship Type="http://schemas.openxmlformats.org/officeDocument/2006/relationships/hyperlink" Id="rId181" Target="https://doi.org/10.3102/0013189X20949504" TargetMode="External" /><Relationship Type="http://schemas.openxmlformats.org/officeDocument/2006/relationships/hyperlink" Id="rId118" Target="https://doi.org/10.3102/01623737221092450" TargetMode="External" /><Relationship Type="http://schemas.openxmlformats.org/officeDocument/2006/relationships/hyperlink" Id="rId168" Target="https://doi.org/10.3109/07420528.2013.826238" TargetMode="External" /><Relationship Type="http://schemas.openxmlformats.org/officeDocument/2006/relationships/hyperlink" Id="rId144" Target="https://doi.org/10.3390/educsci15010006" TargetMode="External" /><Relationship Type="http://schemas.openxmlformats.org/officeDocument/2006/relationships/hyperlink" Id="rId191" Target="https://epi.org.uk/annual-report-2023/" TargetMode="External" /><Relationship Type="http://schemas.openxmlformats.org/officeDocument/2006/relationships/hyperlink" Id="rId197" Target="https://epi.org.uk/publications-and-research/the-influence-of-headteachers-on-their-schools/" TargetMode="External" /><Relationship Type="http://schemas.openxmlformats.org/officeDocument/2006/relationships/hyperlink" Id="rId124" Target="https://explore-education-statistics.service.gov.uk/find-statistics/pupil-absence-in-schools-in-england/2024-25-autumn-and-spring-term" TargetMode="External" /><Relationship Type="http://schemas.openxmlformats.org/officeDocument/2006/relationships/hyperlink" Id="rId120" Target="https://explore-education-statistics.service.gov.uk/find-statistics/the-link-between-absence-and-attainment-at-ks2-and-ks4/2018-19" TargetMode="External" /><Relationship Type="http://schemas.openxmlformats.org/officeDocument/2006/relationships/hyperlink" Id="rId189" Target="https://ffteducationdatalab.org.uk/2023/11/are-pupils-who-live-further-away-from-their-school-absent-more-often/" TargetMode="External" /><Relationship Type="http://schemas.openxmlformats.org/officeDocument/2006/relationships/hyperlink" Id="rId178" Target="https://knowledge.uchicago.edu/record/7216" TargetMode="External" /><Relationship Type="http://schemas.openxmlformats.org/officeDocument/2006/relationships/hyperlink" Id="rId146" Target="https://opendocs.ids.ac.uk/articles/report/The_Contribution_of_Education_to_Economic_Growth/26453986/1" TargetMode="External" /><Relationship Type="http://schemas.openxmlformats.org/officeDocument/2006/relationships/hyperlink" Id="rId21" Target="https://osf.io/x82j3/overview" TargetMode="External" /><Relationship Type="http://schemas.openxmlformats.org/officeDocument/2006/relationships/hyperlink" Id="rId89" Target="https://reports.ofsted.gov.uk/provider/23/136164" TargetMode="External" /><Relationship Type="http://schemas.openxmlformats.org/officeDocument/2006/relationships/hyperlink" Id="rId53" Target="https://www.brighton-hove.gov.uk/schools-and-learning/school-policies-reports-strategies-and-other-documents/better-outcomes-better-lives-brighton-hoves-strategy-tackling-educational-disadvantage" TargetMode="External" /><Relationship Type="http://schemas.openxmlformats.org/officeDocument/2006/relationships/hyperlink" Id="rId174" Target="https://www.gov.uk/government/publications/against-the-odds" TargetMode="External" /><Relationship Type="http://schemas.openxmlformats.org/officeDocument/2006/relationships/hyperlink" Id="rId126" Target="https://www.gov.uk/government/publications/every-child-achieving-and-thriving/every-child-achieving-and-thriving-html-version" TargetMode="External" /><Relationship Type="http://schemas.openxmlformats.org/officeDocument/2006/relationships/hyperlink" Id="rId176" Target="https://www.gov.uk/government/publications/examining-the-london-advantage-in-attainment-evidence-from-lsype" TargetMode="External" /><Relationship Type="http://schemas.openxmlformats.org/officeDocument/2006/relationships/hyperlink" Id="rId122" Target="https://www.gov.uk/government/publications/link-between-attendance-and-attainment" TargetMode="External" /><Relationship Type="http://schemas.openxmlformats.org/officeDocument/2006/relationships/hyperlink" Id="rId185"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4" Target="https://www.nfer.ac.uk/publications/supporting-the-attainment-of-disadvantaged-pupils-articulating-success-and-good-practice/" TargetMode="External" /><Relationship Type="http://schemas.openxmlformats.org/officeDocument/2006/relationships/hyperlink" Id="rId158" Target="https://www.nfer.ac.uk/publications/understanding-the-relationship-between-attendance-wellbeing-and-sense-of-belonging/" TargetMode="External" /><Relationship Type="http://schemas.openxmlformats.org/officeDocument/2006/relationships/hyperlink" Id="rId108" Target="https://www.urban.org/sites/default/files/publication/99027/time_to_school_and_student_outcomes_in_dc_1.pdf" TargetMode="External" /><Relationship Type="http://schemas.openxmlformats.org/officeDocument/2006/relationships/hyperlink" Id="rId51" Target="https://yourvoice.brighton-hove.gov.uk/en-GB/projects/school-admission-arrangements-public-consultation/1"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2</TotalTime>
  <Pages>49</Pages>
  <Words>11160</Words>
  <Characters>63615</Characters>
  <Application>Microsoft Office Word</Application>
  <DocSecurity>0</DocSecurity>
  <Lines>530</Lines>
  <Paragraphs>149</Paragraphs>
  <ScaleCrop>false</ScaleCrop>
  <Company/>
  <LinksUpToDate>false</LinksUpToDate>
  <CharactersWithSpaces>74626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dcterms:created xsi:type="dcterms:W3CDTF">2026-08-19T18:26:19Z</dcterms:created>
  <dcterms:modified xsi:type="dcterms:W3CDTF">2026-08-19T18:26:19Z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2026-08-19</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