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56.png" ContentType="image/png"/>
  <Override PartName="/word/media/rId61.png" ContentType="image/png"/>
  <Override PartName="/word/media/rId72.png" ContentType="image/png"/>
  <Override PartName="/word/media/rId78.png" ContentType="image/png"/>
  <Override PartName="/word/media/rId40.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Pulling the Right Lever: School Attainment, Open Data Analytics and Local Education Policy in England</w:t>
      </w:r>
    </w:p>
    <w:p>
      <w:pPr>
        <w:pStyle w:val="Author"/>
      </w:pPr>
      <w:r>
        <w:t xml:space="preserve">Adam Dennett</w:t>
      </w:r>
    </w:p>
    <w:p>
      <w:pPr>
        <w:pStyle w:val="Author"/>
      </w:pPr>
      <w:r>
        <w:t xml:space="preserve">Beatrice Taylor</w:t>
      </w:r>
    </w:p>
    <w:p>
      <w:pPr>
        <w:pStyle w:val="Author"/>
      </w:pPr>
      <w:r>
        <w:t xml:space="preserve">Dan Campbell-Meiklejohn</w:t>
      </w:r>
    </w:p>
    <w:p>
      <w:pPr>
        <w:pStyle w:val="Date"/>
      </w:pPr>
      <w:r>
        <w:t xml:space="preserve">2026-08-25</w:t>
      </w:r>
    </w:p>
    <w:p>
      <w:pPr>
        <w:pStyle w:val="AbstractTitle"/>
      </w:pPr>
      <w:r>
        <w:t xml:space="preserve">Abstract</w:t>
      </w:r>
    </w:p>
    <w:p>
      <w:pPr>
        <w:pStyle w:val="Abstract"/>
      </w:pPr>
      <w:r>
        <w:t xml:space="preserve">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in their areas and choose interventions accordingly.</w:t>
      </w:r>
    </w:p>
    <w:p>
      <w:pPr>
        <w:pStyle w:val="BodyText"/>
      </w:pPr>
      <w:r>
        <w:t xml:space="preserve">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w:t>
      </w:r>
      <w:r>
        <w:t xml:space="preserve"> </w:t>
      </w:r>
      <w:r>
        <w:t xml:space="preserve">(Allen et al. 2013)</w:t>
      </w:r>
      <w:r>
        <w:t xml:space="preserve">,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public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 that,</w:t>
      </w:r>
      <w:r>
        <w:t xml:space="preserve"> </w:t>
      </w:r>
      <w:r>
        <w:rPr>
          <w:i/>
          <w:iCs/>
        </w:rPr>
        <w:t xml:space="preserve">after controlling for absence in particular</w:t>
      </w:r>
      <w:r>
        <w:t xml:space="preserve">, Brighton and Hove was already among the highest-performing LEAs nationally for taking students beyond those factors - ranking 15th of 151 for disadvantaged pupils and 4th for non-disadvantaged pupils. As we show later, that conditional ranking is itself a measure of how much the city’s severe absence problem is costing its disadvantaged pupils: set absence aside and the schools look exceptional; leave it in the ledger and the city is ordinary. 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 paper</w:t>
      </w:r>
      <w:r>
        <w:rPr>
          <w:rStyle w:val="FootnoteReference"/>
        </w:rPr>
        <w:footnoteReference w:id="20"/>
      </w:r>
      <w:r>
        <w:t xml:space="preserve">, 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and school governors. We do not claim our model is optimal or novel - the variables and effects are very similar to those reported by</w:t>
      </w:r>
      <w:r>
        <w:t xml:space="preserve"> </w:t>
      </w:r>
      <w:r>
        <w:t xml:space="preserve">Macleod et al. (2015)</w:t>
      </w:r>
      <w:r>
        <w:t xml:space="preserve"> </w:t>
      </w:r>
      <w:r>
        <w:t xml:space="preserve">over a decade ago. Our intention is to show that with freely available open data and a small set of well-chosen variables, it is possible to build a model explaining over 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 (for wider reviews and evidence syntheses, see e.g.</w:t>
      </w:r>
      <w:r>
        <w:t xml:space="preserve"> </w:t>
      </w:r>
      <w:r>
        <w:t xml:space="preserve">Stopforth and Gayle (2025)</w:t>
      </w:r>
      <w:r>
        <w:t xml:space="preserve">;</w:t>
      </w:r>
      <w:r>
        <w:t xml:space="preserve"> </w:t>
      </w:r>
      <w:r>
        <w:t xml:space="preserve">Macleod et al. (2015)</w:t>
      </w:r>
      <w:r>
        <w:t xml:space="preserve">;</w:t>
      </w:r>
      <w:r>
        <w:t xml:space="preserve"> </w:t>
      </w:r>
      <w:r>
        <w:t xml:space="preserve">Tuckett et al. (2023)</w:t>
      </w:r>
      <w:r>
        <w:t xml:space="preserve">).</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 11</w:t>
      </w:r>
      <w:r>
        <w:rPr>
          <w:rStyle w:val="FootnoteReference"/>
        </w:rPr>
        <w:footnoteReference w:id="23"/>
      </w:r>
      <w:r>
        <w:t xml:space="preserve">), reflecting accumulated inequalities from before secondary school</w:t>
      </w:r>
      <w:r>
        <w:t xml:space="preserve"> </w:t>
      </w:r>
      <w:r>
        <w:t xml:space="preserve">(Stopforth and Gayle 2025)</w:t>
      </w:r>
      <w:r>
        <w:t xml:space="preserve">.</w:t>
      </w:r>
      <w:r>
        <w:t xml:space="preserve"> </w:t>
      </w:r>
      <w:r>
        <w:t xml:space="preserve">Gorard and Siddiqui (2019)</w:t>
      </w:r>
      <w:r>
        <w:t xml:space="preserve"> </w:t>
      </w:r>
      <w:r>
        <w:t xml:space="preserve">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p>
      <w:pPr>
        <w:pStyle w:val="BodyText"/>
      </w:pPr>
      <w:r>
        <w:t xml:space="preserve">How far attendance is amenable to</w:t>
      </w:r>
      <w:r>
        <w:t xml:space="preserve"> </w:t>
      </w:r>
      <w:r>
        <w:rPr>
          <w:i/>
          <w:iCs/>
        </w:rPr>
        <w:t xml:space="preserve">school-level</w:t>
      </w:r>
      <w:r>
        <w:t xml:space="preserve"> </w:t>
      </w:r>
      <w:r>
        <w:t xml:space="preserve">action is an important question. Some of the variation reflects school practice - pastoral systems, attendance follow-up and ethos - but a substantial share is driven by circumstances beyond the school gate: family poverty, physical and mental ill-health, special educational needs, caring responsibilities, and the broader adversities that depress attainment through multiple channels</w:t>
      </w:r>
      <w:r>
        <w:t xml:space="preserve"> </w:t>
      </w:r>
      <w:r>
        <w:t xml:space="preserve">(Houtepen et al. 2020; Rakesh et al. 2025)</w:t>
      </w:r>
      <w:r>
        <w:t xml:space="preserve">.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section 5.5. It also implies that authority-wide improvement is unlikely to come from school-led practice-sharing alone, and more probably requires strategic, council-led, cross-departmental action spanning health, children’s services and family support alongside schools.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(Burgess et al. 2023)</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(the apparent boost to attainment for disadvantaged pupils who live in the Capital)</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6" w:name="data-and-methods"/>
    <w:p>
      <w:pPr>
        <w:pStyle w:val="Heading1"/>
      </w:pPr>
      <w:r>
        <w:t xml:space="preserve">3. Data and methods</w:t>
      </w:r>
    </w:p>
    <w:bookmarkStart w:id="31"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 2024-25, together with KS2 prior attainment, which is not published for that year because the relevant cohort’s primary assessments were cancelled during the pandemic - see section 3.2</w:t>
      </w:r>
      <w:r>
        <w:rPr>
          <w:rStyle w:val="FootnoteReference"/>
        </w:rPr>
        <w:footnoteReference w:id="30"/>
      </w:r>
      <w:r>
        <w:t xml:space="preserve">), the analysis sample used in the models is approximately 12,200 observations. All data are school-level aggregates; interpretations relate to this level of aggregation.</w:t>
      </w:r>
    </w:p>
    <w:bookmarkEnd w:id="31"/>
    <w:bookmarkStart w:id="35"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(for all, disadvantaged and non-disadvantaged pupils),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 We should be clear that the log transformation is</w:t>
      </w:r>
      <w:r>
        <w:t xml:space="preserve"> </w:t>
      </w:r>
      <w:r>
        <w:rPr>
          <w:i/>
          <w:iCs/>
        </w:rPr>
        <w:t xml:space="preserve">not</w:t>
      </w:r>
      <w:r>
        <w:t xml:space="preserve"> </w:t>
      </w:r>
      <w:r>
        <w:t xml:space="preserve">applied uniformly to every predictor: only the four skewed, strictly-positive count-and-rate variables - the disadvantage, absence and EAL percentages and teacher sickness days - enter in logged form, chosen on the basis of fit and the interpretability of elasticities. This variable-by-variable choice, together with supporting diagnostics (component-plus-residual plots and a comparison of logged, linear and spline treatments), is documented in the supplementary material; the log form is retained where it both improves fit and yields a policy-legible elasticity, and a linear form is used otherwise. The remaining predictors, including the low-prior-attainment percentage, the segregation index and the workforce proportions, enter linearly.</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 mean KS2 prior attainment (the cohort’s average KS2 scaled score, centred at the national standard of 100),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2"/>
      </w:r>
      <w:r>
        <w:t xml:space="preserve">.</w:t>
      </w:r>
    </w:p>
    <w:p>
      <w:pPr>
        <w:pStyle w:val="BodyText"/>
      </w:pPr>
      <w:r>
        <w:t xml:space="preserve">The selective-admissions variable is the DfE’s own performance-tables admissions classification, and within our state-funded sample it distinguishes three groups: wholly</w:t>
      </w:r>
      <w:r>
        <w:t xml:space="preserve"> </w:t>
      </w:r>
      <w:r>
        <w:rPr>
          <w:i/>
          <w:iCs/>
        </w:rPr>
        <w:t xml:space="preserve">selective</w:t>
      </w:r>
      <w:r>
        <w:t xml:space="preserve"> </w:t>
      </w:r>
      <w:r>
        <w:t xml:space="preserve">state grammar schools that admit by an entrance test (166 schools, 4.8% of the sample); non-selective schools located in otherwise selective areas (234 schools, the reference category); and all other non-selective schools (the remaining ~88%). The estimate we report is therefore the effect of</w:t>
      </w:r>
      <w:r>
        <w:t xml:space="preserve"> </w:t>
      </w:r>
      <w:r>
        <w:rPr>
          <w:i/>
          <w:iCs/>
        </w:rPr>
        <w:t xml:space="preserve">full</w:t>
      </w:r>
      <w:r>
        <w:t xml:space="preserve"> </w:t>
      </w:r>
      <w:r>
        <w:t xml:space="preserve">academic selection, benchmarked against non-selective schools whose intakes are shaped by the same local grammar systems. It does not capture partial selection, banding, aptitude-based selection or faith-based oversubscription criteria, all of which fall within the</w:t>
      </w:r>
      <w:r>
        <w:t xml:space="preserve"> </w:t>
      </w:r>
      <w:r>
        <w:t xml:space="preserve">‘other non-selective’</w:t>
      </w:r>
      <w:r>
        <w:t xml:space="preserve"> </w:t>
      </w:r>
      <w:r>
        <w:t xml:space="preserve">category and are consequently unmeasured here; faith schools in particular are not separately identified in the main model.</w:t>
      </w:r>
    </w:p>
    <w:p>
      <w:pPr>
        <w:pStyle w:val="BodyText"/>
      </w:pPr>
      <w:r>
        <w:t xml:space="preserve">Two points on the prior-attainment control deserve emphasis. First, we control for prior attainment using the cohort’s</w:t>
      </w:r>
      <w:r>
        <w:t xml:space="preserve"> </w:t>
      </w:r>
      <w:r>
        <w:rPr>
          <w:i/>
          <w:iCs/>
        </w:rPr>
        <w:t xml:space="preserve">mean KS2 scaled score</w:t>
      </w:r>
      <w:r>
        <w:t xml:space="preserve">, and for the final year of our panel no observed prior-attainment data exists at all. Because the KS2 tests and assessments of 2019-20 and 2020-21 were cancelled during the pandemic, the cohorts reaching the end of KS4 in 2024-25 and 2025-26 have no KS2 results of any kind; the DfE accordingly publishes neither prior-attainment measures nor Progress 8 for those years.</w:t>
      </w:r>
      <w:r>
        <w:rPr>
          <w:rStyle w:val="FootnoteReference"/>
        </w:rPr>
        <w:footnoteReference w:id="33"/>
      </w:r>
      <w:r>
        <w:t xml:space="preserve"> </w:t>
      </w:r>
      <w:r>
        <w:t xml:space="preserve">For 2024-25 we therefore carry forward each school’s most recently observed value (or, where that is unavailable, its mean across observed years), and the affected rows are flagged in the panel. Second, because we lack pupil-level data, prior attainment is corrected only at the school level; this is a coarser adjustment than a pupil-and-school-level correction would provide, and some residual confounding of the intake coefficients cannot be ruled out. We return to this limitation later in the paper.</w:t>
      </w:r>
    </w:p>
    <w:p>
      <w:pPr>
        <w:pStyle w:val="BodyText"/>
      </w:pPr>
      <w:r>
        <w:t xml:space="preserve">An earlier version of this analysis controlled for prior attainment using only the</w:t>
      </w:r>
      <w:r>
        <w:t xml:space="preserve"> </w:t>
      </w:r>
      <w:r>
        <w:rPr>
          <w:i/>
          <w:iCs/>
        </w:rPr>
        <w:t xml:space="preserve">percentage of pupils with low KS2 prior attainment</w:t>
      </w:r>
      <w:r>
        <w:t xml:space="preserve">. We report the change because it is instructive, and because it materially affects two of our estimates. The low-attainment share measures only the bottom of a school’s intake distribution: it records how many pupils arrived already behind, but says nothing about how many arrived ahead. Two schools with identical proportions of low prior attainers can have very different intakes, one with a large middle and a thin upper tail, the other with a substantial group of high attainers. A model controlling only for the low-attainment share cannot distinguish them, and so systematically under-adjusts for schools whose advantage lies at the</w:t>
      </w:r>
      <w:r>
        <w:t xml:space="preserve"> </w:t>
      </w:r>
      <w:r>
        <w:rPr>
          <w:i/>
          <w:iCs/>
        </w:rPr>
        <w:t xml:space="preserve">top</w:t>
      </w:r>
      <w:r>
        <w:t xml:space="preserve"> </w:t>
      </w:r>
      <w:r>
        <w:t xml:space="preserve">of the distribution. Mean KS2 score, by contrast, reflects the whole distribution — both tails — and fits markedly better (a reduction in AIC of over 500 for the all-pupil model); once it is included, the low-attainment share adds nothing further (t = -0.45).</w:t>
      </w:r>
    </w:p>
    <w:p>
      <w:pPr>
        <w:pStyle w:val="BodyText"/>
      </w:pPr>
      <w:r>
        <w:t xml:space="preserve">The consequences are worth stating plainly. The coefficient on concentration of disadvantage falls by roughly a quarter for all pupils, because the low-attainment share had been leaving part of the intake difference between high- and low-FSM schools unmeasured, and the FSM variable had been absorbing it. Properly controlled, disadvantage concentration is an even weaker predictor of attainment than our earlier specification implied. For disadvantaged pupils specifically, the positive coefficient on disadvantage concentration becomes both larger and far more clearly distinguishable from zero (</w:t>
      </w:r>
      <w:r>
        <w:rPr>
          <w:i/>
          <w:iCs/>
        </w:rPr>
        <w:t xml:space="preserve">t</w:t>
      </w:r>
      <w:r>
        <w:t xml:space="preserve"> </w:t>
      </w:r>
      <w:r>
        <w:t xml:space="preserve">rising from 2.1 to 5.6). The absence coefficient, by contrast, barely moves — under 3% in either pupil group — so the paper’s central finding is unaffected by the choice. The practical lesson is that in modelling KS4 outcomes it is not sufficient to ask how many pupils arrived behind; how many arrived ahead matters just as much, and a control that sees only one tail will quietly credit schools for intake advantages they did not create.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bookmarkEnd w:id="35"/>
    <w:bookmarkEnd w:id="36"/>
    <w:bookmarkStart w:id="48" w:name="results"/>
    <w:p>
      <w:pPr>
        <w:pStyle w:val="Heading1"/>
      </w:pPr>
      <w:r>
        <w:t xml:space="preserve">4. Results</w:t>
      </w:r>
    </w:p>
    <w:bookmarkStart w:id="37"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w:t>
      </w:r>
      <w:r>
        <w:t xml:space="preserve"> </w:t>
      </w:r>
      <w:r>
        <w:t xml:space="preserve">Nakagawa and Schielzeth (2013)</w:t>
      </w:r>
      <w:r>
        <w:t xml:space="preserve"> </w:t>
      </w:r>
      <w:r>
        <w:t xml:space="preserve">and</w:t>
      </w:r>
      <w:r>
        <w:t xml:space="preserve"> </w:t>
      </w:r>
      <w:r>
        <w:t xml:space="preserve">Nakagawa et al. (2017)</w:t>
      </w:r>
      <w:r>
        <w:t xml:space="preserve">@nakagawa_coefficient_2017 to calculate indicative</w:t>
      </w:r>
      <w:r>
        <w:t xml:space="preserve"> </w:t>
      </w:r>
      <m:oMath>
        <m:sSup>
          <m:e>
            <m:r>
              <m:t>R</m:t>
            </m:r>
          </m:e>
          <m:sup>
            <m:r>
              <m:t>2</m:t>
            </m:r>
          </m:sup>
        </m:sSup>
      </m:oMath>
      <w:r>
        <w:t xml:space="preserve"> </w:t>
      </w:r>
      <w:r>
        <w:t xml:space="preserve">values. For all pupils, the conditional</w:t>
      </w:r>
      <w:r>
        <w:t xml:space="preserve"> </w:t>
      </w:r>
      <m:oMath>
        <m:sSup>
          <m:e>
            <m:r>
              <m:t>R</m:t>
            </m:r>
          </m:e>
          <m:sup>
            <m:r>
              <m:t>2</m:t>
            </m:r>
          </m:sup>
        </m:sSup>
      </m:oMath>
      <w:r>
        <w:t xml:space="preserve"> </w:t>
      </w:r>
      <w:r>
        <w:t xml:space="preserve">(fixed plus random effects) is 0.78, with marginal</w:t>
      </w:r>
      <w:r>
        <w:t xml:space="preserve"> </w:t>
      </w:r>
      <m:oMath>
        <m:sSup>
          <m:e>
            <m:r>
              <m:t>R</m:t>
            </m:r>
          </m:e>
          <m:sup>
            <m:r>
              <m:t>2</m:t>
            </m:r>
          </m:sup>
        </m:sSup>
      </m:oMath>
      <w:r>
        <w:t xml:space="preserve"> </w:t>
      </w:r>
      <w:r>
        <w:t xml:space="preserve">(fixed effects alone) of 0.65. For disadvantaged pupils the conditional</w:t>
      </w:r>
      <w:r>
        <w:t xml:space="preserve"> </w:t>
      </w:r>
      <m:oMath>
        <m:sSup>
          <m:e>
            <m:r>
              <m:t>R</m:t>
            </m:r>
          </m:e>
          <m:sup>
            <m:r>
              <m:t>2</m:t>
            </m:r>
          </m:sup>
        </m:sSup>
      </m:oMath>
      <w:r>
        <w:t xml:space="preserve"> </w:t>
      </w:r>
      <w:r>
        <w:t xml:space="preserve">is 0.73; for non-disadvantaged pupils, 0.8. School-level attainment is remarkably predictable from these structural factors, which makes them very useful for exploring the effectiveness of local policy levers.</w:t>
      </w:r>
    </w:p>
    <w:bookmarkEnd w:id="37"/>
    <w:bookmarkStart w:id="39"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8"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4.412***</w:t>
                  </w:r>
                </w:p>
              </w:tc>
              <w:tc>
                <w:tcPr/>
                <w:p>
                  <w:pPr>
                    <w:pStyle w:val="Compact"/>
                    <w:jc w:val="left"/>
                    <w:jc w:val="center"/>
                  </w:pPr>
                  <w:r>
                    <w:t xml:space="preserve">345.92</w:t>
                  </w:r>
                </w:p>
              </w:tc>
              <w:tc>
                <w:tcPr/>
                <w:p>
                  <w:pPr>
                    <w:pStyle w:val="Compact"/>
                    <w:jc w:val="right"/>
                    <w:jc w:val="center"/>
                  </w:pPr>
                  <w:r>
                    <w:t xml:space="preserve">4.304***</w:t>
                  </w:r>
                </w:p>
              </w:tc>
              <w:tc>
                <w:tcPr/>
                <w:p>
                  <w:pPr>
                    <w:pStyle w:val="Compact"/>
                    <w:jc w:val="left"/>
                    <w:jc w:val="center"/>
                  </w:pPr>
                  <w:r>
                    <w:t xml:space="preserve">263.27</w:t>
                  </w:r>
                </w:p>
              </w:tc>
              <w:tc>
                <w:tcPr/>
                <w:p>
                  <w:pPr>
                    <w:pStyle w:val="Compact"/>
                    <w:jc w:val="right"/>
                    <w:jc w:val="center"/>
                  </w:pPr>
                  <w:r>
                    <w:t xml:space="preserve">4.261***</w:t>
                  </w:r>
                </w:p>
              </w:tc>
              <w:tc>
                <w:tcPr/>
                <w:p>
                  <w:pPr>
                    <w:pStyle w:val="Compact"/>
                    <w:jc w:val="left"/>
                    <w:jc w:val="center"/>
                  </w:pPr>
                  <w:r>
                    <w:t xml:space="preserve">114.98</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-0.047***</w:t>
                  </w:r>
                </w:p>
              </w:tc>
              <w:tc>
                <w:tcPr/>
                <w:p>
                  <w:pPr>
                    <w:pStyle w:val="Compact"/>
                    <w:jc w:val="left"/>
                    <w:jc w:val="center"/>
                  </w:pPr>
                  <w:r>
                    <w:t xml:space="preserve">-21.04</w:t>
                  </w:r>
                </w:p>
              </w:tc>
              <w:tc>
                <w:tcPr/>
                <w:p>
                  <w:pPr>
                    <w:pStyle w:val="Compact"/>
                    <w:jc w:val="right"/>
                    <w:jc w:val="center"/>
                  </w:pPr>
                  <w:r>
                    <w:t xml:space="preserve">-0.054***</w:t>
                  </w:r>
                </w:p>
              </w:tc>
              <w:tc>
                <w:tcPr/>
                <w:p>
                  <w:pPr>
                    <w:pStyle w:val="Compact"/>
                    <w:jc w:val="left"/>
                    <w:jc w:val="center"/>
                  </w:pPr>
                  <w:r>
                    <w:t xml:space="preserve">-21.47</w:t>
                  </w:r>
                </w:p>
              </w:tc>
              <w:tc>
                <w:tcPr/>
                <w:p>
                  <w:pPr>
                    <w:pStyle w:val="Compact"/>
                    <w:jc w:val="right"/>
                    <w:jc w:val="center"/>
                  </w:pPr>
                  <w:r>
                    <w:t xml:space="preserve">-0.050***</w:t>
                  </w:r>
                </w:p>
              </w:tc>
              <w:tc>
                <w:tcPr/>
                <w:p>
                  <w:pPr>
                    <w:pStyle w:val="Compact"/>
                    <w:jc w:val="left"/>
                    <w:jc w:val="center"/>
                  </w:pPr>
                  <w:r>
                    <w:t xml:space="preserve">-18.18</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-0.259***</w:t>
                  </w:r>
                </w:p>
              </w:tc>
              <w:tc>
                <w:tcPr/>
                <w:p>
                  <w:pPr>
                    <w:pStyle w:val="Compact"/>
                    <w:jc w:val="left"/>
                    <w:jc w:val="center"/>
                  </w:pPr>
                  <w:r>
                    <w:t xml:space="preserve">-60.47</w:t>
                  </w:r>
                </w:p>
              </w:tc>
              <w:tc>
                <w:tcPr/>
                <w:p>
                  <w:pPr>
                    <w:pStyle w:val="Compact"/>
                    <w:jc w:val="right"/>
                    <w:jc w:val="center"/>
                  </w:pPr>
                  <w:r>
                    <w:t xml:space="preserve">-0.229***</w:t>
                  </w:r>
                </w:p>
              </w:tc>
              <w:tc>
                <w:tcPr/>
                <w:p>
                  <w:pPr>
                    <w:pStyle w:val="Compact"/>
                    <w:jc w:val="left"/>
                    <w:jc w:val="center"/>
                  </w:pPr>
                  <w:r>
                    <w:t xml:space="preserve">-49.98</w:t>
                  </w:r>
                </w:p>
              </w:tc>
              <w:tc>
                <w:tcPr/>
                <w:p>
                  <w:pPr>
                    <w:pStyle w:val="Compact"/>
                    <w:jc w:val="right"/>
                    <w:jc w:val="center"/>
                  </w:pPr>
                  <w:r>
                    <w:t xml:space="preserve">-0.207***</w:t>
                  </w:r>
                </w:p>
              </w:tc>
              <w:tc>
                <w:tcPr/>
                <w:p>
                  <w:pPr>
                    <w:pStyle w:val="Compact"/>
                    <w:jc w:val="left"/>
                    <w:jc w:val="center"/>
                  </w:pPr>
                  <w:r>
                    <w:t xml:space="preserve">-45.74</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0.013***</w:t>
                  </w:r>
                </w:p>
              </w:tc>
              <w:tc>
                <w:tcPr/>
                <w:p>
                  <w:pPr>
                    <w:pStyle w:val="Compact"/>
                    <w:jc w:val="left"/>
                    <w:jc w:val="center"/>
                  </w:pPr>
                  <w:r>
                    <w:t xml:space="preserve">12.83</w:t>
                  </w:r>
                </w:p>
              </w:tc>
              <w:tc>
                <w:tcPr/>
                <w:p>
                  <w:pPr>
                    <w:pStyle w:val="Compact"/>
                    <w:jc w:val="right"/>
                    <w:jc w:val="center"/>
                  </w:pPr>
                  <w:r>
                    <w:t xml:space="preserve">0.007***</w:t>
                  </w:r>
                </w:p>
              </w:tc>
              <w:tc>
                <w:tcPr/>
                <w:p>
                  <w:pPr>
                    <w:pStyle w:val="Compact"/>
                    <w:jc w:val="left"/>
                    <w:jc w:val="center"/>
                  </w:pPr>
                  <w:r>
                    <w:t xml:space="preserve">6.09</w:t>
                  </w:r>
                </w:p>
              </w:tc>
            </w:tr>
            <w:tr>
              <w:tc>
                <w:tcPr/>
                <w:p>
                  <w:pPr>
                    <w:pStyle w:val="Compact"/>
                    <w:jc w:val="left"/>
                    <w:jc w:val="center"/>
                  </w:pPr>
                  <w:r>
                    <w:t xml:space="preserve">Mean KS2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0.031***</w:t>
                  </w:r>
                </w:p>
              </w:tc>
              <w:tc>
                <w:tcPr/>
                <w:p>
                  <w:pPr>
                    <w:pStyle w:val="Compact"/>
                    <w:jc w:val="left"/>
                    <w:jc w:val="center"/>
                  </w:pPr>
                  <w:r>
                    <w:t xml:space="preserve">58.18</w:t>
                  </w:r>
                </w:p>
              </w:tc>
              <w:tc>
                <w:tcPr/>
                <w:p>
                  <w:pPr>
                    <w:pStyle w:val="Compact"/>
                    <w:jc w:val="right"/>
                    <w:jc w:val="center"/>
                  </w:pPr>
                  <w:r>
                    <w:t xml:space="preserve">0.030***</w:t>
                  </w:r>
                </w:p>
              </w:tc>
              <w:tc>
                <w:tcPr/>
                <w:p>
                  <w:pPr>
                    <w:pStyle w:val="Compact"/>
                    <w:jc w:val="left"/>
                    <w:jc w:val="center"/>
                  </w:pPr>
                  <w:r>
                    <w:t xml:space="preserve">46.70</w:t>
                  </w:r>
                </w:p>
              </w:tc>
              <w:tc>
                <w:tcPr/>
                <w:p>
                  <w:pPr>
                    <w:pStyle w:val="Compact"/>
                    <w:jc w:val="right"/>
                    <w:jc w:val="center"/>
                  </w:pPr>
                  <w:r>
                    <w:t xml:space="preserve">0.032***</w:t>
                  </w:r>
                </w:p>
              </w:tc>
              <w:tc>
                <w:tcPr/>
                <w:p>
                  <w:pPr>
                    <w:pStyle w:val="Compact"/>
                    <w:jc w:val="left"/>
                    <w:jc w:val="center"/>
                  </w:pPr>
                  <w:r>
                    <w:t xml:space="preserve">48.46</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0.039***</w:t>
                  </w:r>
                </w:p>
              </w:tc>
              <w:tc>
                <w:tcPr/>
                <w:p>
                  <w:pPr>
                    <w:pStyle w:val="Compact"/>
                    <w:jc w:val="left"/>
                    <w:jc w:val="center"/>
                  </w:pPr>
                  <w:r>
                    <w:t xml:space="preserve">8.73</w:t>
                  </w:r>
                </w:p>
              </w:tc>
              <w:tc>
                <w:tcPr/>
                <w:p>
                  <w:pPr>
                    <w:pStyle w:val="Compact"/>
                    <w:jc w:val="right"/>
                    <w:jc w:val="center"/>
                  </w:pPr>
                  <w:r>
                    <w:t xml:space="preserve">0.028***</w:t>
                  </w:r>
                </w:p>
              </w:tc>
              <w:tc>
                <w:tcPr/>
                <w:p>
                  <w:pPr>
                    <w:pStyle w:val="Compact"/>
                    <w:jc w:val="left"/>
                    <w:jc w:val="center"/>
                  </w:pPr>
                  <w:r>
                    <w:t xml:space="preserve">4.06</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0.019*</w:t>
                  </w:r>
                </w:p>
              </w:tc>
              <w:tc>
                <w:tcPr/>
                <w:p>
                  <w:pPr>
                    <w:pStyle w:val="Compact"/>
                    <w:jc w:val="left"/>
                    <w:jc w:val="center"/>
                  </w:pPr>
                  <w:r>
                    <w:t xml:space="preserve">2.44</w:t>
                  </w:r>
                </w:p>
              </w:tc>
              <w:tc>
                <w:tcPr/>
                <w:p>
                  <w:pPr>
                    <w:pStyle w:val="Compact"/>
                    <w:jc w:val="right"/>
                    <w:jc w:val="center"/>
                  </w:pPr>
                  <w:r>
                    <w:t xml:space="preserve">-0.004</w:t>
                  </w:r>
                </w:p>
              </w:tc>
              <w:tc>
                <w:tcPr/>
                <w:p>
                  <w:pPr>
                    <w:pStyle w:val="Compact"/>
                    <w:jc w:val="left"/>
                    <w:jc w:val="center"/>
                  </w:pPr>
                  <w:r>
                    <w:t xml:space="preserve">-0.55</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0.075**</w:t>
                  </w:r>
                </w:p>
              </w:tc>
              <w:tc>
                <w:tcPr/>
                <w:p>
                  <w:pPr>
                    <w:pStyle w:val="Compact"/>
                    <w:jc w:val="left"/>
                    <w:jc w:val="center"/>
                  </w:pPr>
                  <w:r>
                    <w:t xml:space="preserve">2.84</w:t>
                  </w:r>
                </w:p>
              </w:tc>
              <w:tc>
                <w:tcPr/>
                <w:p>
                  <w:pPr>
                    <w:pStyle w:val="Compact"/>
                    <w:jc w:val="right"/>
                    <w:jc w:val="center"/>
                  </w:pPr>
                  <w:r>
                    <w:t xml:space="preserve">0.026</w:t>
                  </w:r>
                </w:p>
              </w:tc>
              <w:tc>
                <w:tcPr/>
                <w:p>
                  <w:pPr>
                    <w:pStyle w:val="Compact"/>
                    <w:jc w:val="left"/>
                    <w:jc w:val="center"/>
                  </w:pPr>
                  <w:r>
                    <w:t xml:space="preserve">0.58</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11.66</w:t>
                  </w:r>
                </w:p>
              </w:tc>
              <w:tc>
                <w:tcPr/>
                <w:p>
                  <w:pPr>
                    <w:pStyle w:val="Compact"/>
                    <w:jc w:val="right"/>
                    <w:jc w:val="center"/>
                  </w:pPr>
                  <w:r>
                    <w:t xml:space="preserve">0.000***</w:t>
                  </w:r>
                </w:p>
              </w:tc>
              <w:tc>
                <w:tcPr/>
                <w:p>
                  <w:pPr>
                    <w:pStyle w:val="Compact"/>
                    <w:jc w:val="left"/>
                    <w:jc w:val="center"/>
                  </w:pPr>
                  <w:r>
                    <w:t xml:space="preserve">8.99</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-5.45</w:t>
                  </w:r>
                </w:p>
              </w:tc>
              <w:tc>
                <w:tcPr/>
                <w:p>
                  <w:pPr>
                    <w:pStyle w:val="Compact"/>
                    <w:jc w:val="right"/>
                    <w:jc w:val="center"/>
                  </w:pPr>
                  <w:r>
                    <w:t xml:space="preserve">-0.001***</w:t>
                  </w:r>
                </w:p>
              </w:tc>
              <w:tc>
                <w:tcPr/>
                <w:p>
                  <w:pPr>
                    <w:pStyle w:val="Compact"/>
                    <w:jc w:val="left"/>
                    <w:jc w:val="center"/>
                  </w:pPr>
                  <w:r>
                    <w:t xml:space="preserve">-4.52</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-0.013***</w:t>
                  </w:r>
                </w:p>
              </w:tc>
              <w:tc>
                <w:tcPr/>
                <w:p>
                  <w:pPr>
                    <w:pStyle w:val="Compact"/>
                    <w:jc w:val="left"/>
                    <w:jc w:val="center"/>
                  </w:pPr>
                  <w:r>
                    <w:t xml:space="preserve">-5.20</w:t>
                  </w:r>
                </w:p>
              </w:tc>
              <w:tc>
                <w:tcPr/>
                <w:p>
                  <w:pPr>
                    <w:pStyle w:val="Compact"/>
                    <w:jc w:val="right"/>
                    <w:jc w:val="center"/>
                  </w:pPr>
                  <w:r>
                    <w:t xml:space="preserve">-0.013***</w:t>
                  </w:r>
                </w:p>
              </w:tc>
              <w:tc>
                <w:tcPr/>
                <w:p>
                  <w:pPr>
                    <w:pStyle w:val="Compact"/>
                    <w:jc w:val="left"/>
                    <w:jc w:val="center"/>
                  </w:pPr>
                  <w:r>
                    <w:t xml:space="preserve">-5.69</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0.026</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0.045</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0.045</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0.092</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0.696</w:t>
                  </w:r>
                </w:p>
              </w:tc>
              <w:tc>
                <w:tcPr/>
                <w:p>
                  <w:pPr>
                    <w:pStyle w:val="Compact"/>
                  </w:pPr>
                </w:p>
              </w:tc>
              <w:tc>
                <w:tcPr/>
                <w:p>
                  <w:pPr>
                    <w:pStyle w:val="Compact"/>
                    <w:jc w:val="right"/>
                    <w:jc w:val="center"/>
                  </w:pPr>
                  <w:r>
                    <w:t xml:space="preserve">0.709</w:t>
                  </w:r>
                </w:p>
              </w:tc>
              <w:tc>
                <w:tcPr/>
                <w:p>
                  <w:pPr>
                    <w:pStyle w:val="Compact"/>
                  </w:pPr>
                </w:p>
              </w:tc>
              <w:tc>
                <w:tcPr/>
                <w:p>
                  <w:pPr>
                    <w:pStyle w:val="Compact"/>
                    <w:jc w:val="right"/>
                    <w:jc w:val="center"/>
                  </w:pPr>
                  <w:r>
                    <w:t xml:space="preserve">0.651</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0.779</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8"/>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mean KS2 prior attainment (t = 48.49)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 The fixed-effect form is also informative in its own right: relative to an</w:t>
      </w:r>
      <w:r>
        <w:t xml:space="preserve"> </w:t>
      </w:r>
      <w:r>
        <w:t xml:space="preserve">‘Outstanding’</w:t>
      </w:r>
      <w:r>
        <w:t xml:space="preserve"> </w:t>
      </w:r>
      <w:r>
        <w:t xml:space="preserve">school, and holding intake constant, a</w:t>
      </w:r>
      <w:r>
        <w:t xml:space="preserve"> </w:t>
      </w:r>
      <w:r>
        <w:t xml:space="preserve">‘Good’</w:t>
      </w:r>
      <w:r>
        <w:t xml:space="preserve"> </w:t>
      </w:r>
      <w:r>
        <w:t xml:space="preserve">rating is associated with roughly 2.2 fewer Attainment 8 points,</w:t>
      </w:r>
      <w:r>
        <w:t xml:space="preserve"> </w:t>
      </w:r>
      <w:r>
        <w:t xml:space="preserve">‘Requires Improvement’</w:t>
      </w:r>
      <w:r>
        <w:t xml:space="preserve"> </w:t>
      </w:r>
      <w:r>
        <w:t xml:space="preserve">with 4.2 fewer, and</w:t>
      </w:r>
      <w:r>
        <w:t xml:space="preserve"> </w:t>
      </w:r>
      <w:r>
        <w:t xml:space="preserve">‘Inadequate’</w:t>
      </w:r>
      <w:r>
        <w:t xml:space="preserve"> </w:t>
      </w:r>
      <w:r>
        <w:t xml:space="preserve">with 4.7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driver of it; consistent with this, omitting Ofsted entirely</w:t>
      </w:r>
      <w:r>
        <w:t xml:space="preserve"> </w:t>
      </w:r>
      <w:r>
        <w:rPr>
          <w:i/>
          <w:iCs/>
        </w:rPr>
        <w:t xml:space="preserve">increases</w:t>
      </w:r>
      <w:r>
        <w:t xml:space="preserve"> </w:t>
      </w:r>
      <w:r>
        <w:t xml:space="preserve">the estimated absence effect by 13–16%, so its inclusion makes our headline absence figure, if anything, conservative.</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We make the practical magnitude concrete in section 5.3 (</w:t>
      </w:r>
      <w:hyperlink w:anchor="fig-accelerating-returns">
        <w:r>
          <w:rPr>
            <w:rStyle w:val="Hyperlink"/>
          </w:rPr>
          <w:t xml:space="preserve">Figure 4</w:t>
        </w:r>
      </w:hyperlink>
      <w:r>
        <w:t xml:space="preserve">), which translates the coefficients into the expected Attainment 8 gain from a one-percentage-point change at each point along the absence and disadvantage distributions.</w:t>
      </w:r>
    </w:p>
    <w:bookmarkEnd w:id="39"/>
    <w:bookmarkStart w:id="47"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3" w:name="fig-standardised-coefficients"/>
          <w:p>
            <w:pPr>
              <w:pStyle w:val="Compact"/>
              <w:jc w:val="center"/>
            </w:pPr>
            <w:r>
              <w:drawing>
                <wp:inline>
                  <wp:extent cx="5943600" cy="4245428"/>
                  <wp:effectExtent b="0" l="0" r="0" t="0"/>
                  <wp:docPr descr="" title="" id="41" name="Picture"/>
                  <a:graphic>
                    <a:graphicData uri="http://schemas.openxmlformats.org/drawingml/2006/picture">
                      <pic:pic>
                        <pic:nvPicPr>
                          <pic:cNvPr descr="RPE_Paper_files/figure-docx/fig-standardised-coefficients-1.png" id="42" name="Picture"/>
                          <pic:cNvPicPr>
                            <a:picLocks noChangeArrowheads="1" noChangeAspect="1"/>
                          </pic:cNvPicPr>
                        </pic:nvPicPr>
                        <pic:blipFill>
                          <a:blip r:embed="rId4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3"/>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4"/>
      </w:r>
      <w:r>
        <w:t xml:space="preserve"> </w:t>
      </w:r>
      <w:r>
        <w:t xml:space="preserve">across all three pupil groups (all pupils, disadvantaged pupils and non-disadvantaged pupils - full model outputs available in the supplementary materials</w:t>
      </w:r>
      <w:r>
        <w:rPr>
          <w:rStyle w:val="FootnoteReference"/>
        </w:rPr>
        <w:footnoteReference w:id="45"/>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hyperlink w:anchor="fig-standardised-coefficients">
        <w:r>
          <w:rPr>
            <w:rStyle w:val="Hyperlink"/>
          </w:rPr>
          <w:t xml:space="preserve">Figure 1</w:t>
        </w:r>
      </w:hyperlink>
      <w:r>
        <w:t xml:space="preserve"> </w:t>
      </w:r>
      <w:r>
        <w:t xml:space="preserve">makes the relative importance of the predictors explicit, and the ordering is the central empirical message of the paper. School absence is the dominant lever by a clear margin; prior attainment at KS2 is second; and the concentration of disadvantage - the variable around which the Brighton and Hove policy was built - is a distant contributor whose sign, as we discuss next, actually depends on the pupil group. Recognising this ordering matters, because a policy debate anchored on disadvantage concentration is, on this evidence, anchored on one of the weakest of the levers available.</w:t>
      </w:r>
    </w:p>
    <w:p>
      <w:pPr>
        <w:pStyle w:val="BodyText"/>
      </w:pPr>
      <w:r>
        <w:t xml:space="preserve">The most contentious finding in our analysis concerns concentrations of disadvantage (contentious in Brighton and Hove - although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6"/>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We should be careful about the interpretation of this positive coefficient. One reading is that equivalent disadvantaged pupils do genuinely better in higher-concentration schools (</w:t>
      </w:r>
      <w:r>
        <w:t xml:space="preserve">‘differing effects’</w:t>
      </w:r>
      <w:r>
        <w:t xml:space="preserve">). But an alternative is that the FSM binary cannot distinguish the depth or duration of disadvantage, so the disadvantaged pupils in a 50%-FSM school may differ systematically from those in a 20%-FSM school in ways our aggregate measures do not capture (</w:t>
      </w:r>
      <w:r>
        <w:t xml:space="preserve">‘differing pupils’</w:t>
      </w:r>
      <w:r>
        <w:t xml:space="preserve">). We cannot adjudicate between these with school-level data, and we do not claim to. The consistency of the result across multiple operationalisations of both disadvantage and disadvantaged attainment makes a pure measurement artefact less likely, and the stronger positive association we observe on the vocational/technical component of Attainment 8 (supplementary material) is at least suggestive of a genuine specialisation mechanism rather than pure composition. But the composition interpretation cannot be excluded, and distinguishing the two would require pupil-level data with disadvantage histories. Importantly, our policy argument does not depend on which interpretation holds: under either, there is no evidence that concentrating disadvantaged pupils</w:t>
      </w:r>
      <w:r>
        <w:t xml:space="preserve"> </w:t>
      </w:r>
      <w:r>
        <w:rPr>
          <w:i/>
          <w:iCs/>
        </w:rPr>
        <w:t xml:space="preserve">harms</w:t>
      </w:r>
      <w:r>
        <w:t xml:space="preserve"> </w:t>
      </w:r>
      <w:r>
        <w:t xml:space="preserve">their attainment, and therefore no support for the premise that de-concentration would</w:t>
      </w:r>
      <w:r>
        <w:t xml:space="preserve"> </w:t>
      </w:r>
      <w:r>
        <w:rPr>
          <w:i/>
          <w:iCs/>
        </w:rPr>
        <w:t xml:space="preserve">improve</w:t>
      </w:r>
      <w:r>
        <w:t xml:space="preserve"> </w:t>
      </w:r>
      <w:r>
        <w:t xml:space="preserve">it.</w:t>
      </w:r>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 could be counter-productive for disadvantaged attainment.</w:t>
      </w:r>
    </w:p>
    <w:p>
      <w:pPr>
        <w:pStyle w:val="BodyText"/>
      </w:pPr>
      <w:r>
        <w:t xml:space="preserve">Absence is the biggest predictor across all groups and is even more important for disadvantaged pupils, for whom nearly half of the school-level variation in performance is explained by attendance alone.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w:t>
      </w:r>
      <w:r>
        <w:t xml:space="preserve"> </w:t>
      </w:r>
      <w:r>
        <w:t xml:space="preserve">(Thomson 2023)</w:t>
      </w:r>
      <w:r>
        <w:t xml:space="preserve">, they could be actively counter-productive.</w:t>
      </w:r>
    </w:p>
    <w:bookmarkEnd w:id="47"/>
    <w:bookmarkEnd w:id="48"/>
    <w:bookmarkStart w:id="83" w:name="brighton-and-hove-case-study"/>
    <w:p>
      <w:pPr>
        <w:pStyle w:val="Heading1"/>
      </w:pPr>
      <w:r>
        <w:t xml:space="preserve">5. Brighton and Hove case study</w:t>
      </w:r>
    </w:p>
    <w:bookmarkStart w:id="60"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In October 2024, the council launched proposals to amend the secondary school admissions process. The cabinet papers</w:t>
      </w:r>
      <w:r>
        <w:rPr>
          <w:rStyle w:val="FootnoteReference"/>
        </w:rPr>
        <w:footnoteReference w:id="49"/>
      </w:r>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w:t>
      </w:r>
      <w:r>
        <w:t xml:space="preserve"> </w:t>
      </w:r>
      <w:r>
        <w:t xml:space="preserve">Gorard and Siddiqui (2019)</w:t>
      </w:r>
      <w:r>
        <w:t xml:space="preserve"> </w:t>
      </w:r>
      <w:r>
        <w:t xml:space="preserve">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framing that implied that those who could afford to do so paid a housing premium to be near better schools in the city, but a characterisation empirically challenged in this context by</w:t>
      </w:r>
      <w:r>
        <w:t xml:space="preserve"> </w:t>
      </w:r>
      <w:r>
        <w:t xml:space="preserve">Tan and Dennett (2025)</w:t>
      </w:r>
      <w:r>
        <w:t xml:space="preserve"> </w:t>
      </w:r>
      <w:r>
        <w:t xml:space="preserve">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 appendix</w:t>
      </w:r>
      <w:r>
        <w:rPr>
          <w:rStyle w:val="FootnoteReference"/>
        </w:rPr>
        <w:footnoteReference w:id="52"/>
      </w:r>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disadvantage</w:t>
      </w:r>
      <w:r>
        <w:rPr>
          <w:rStyle w:val="FootnoteReference"/>
        </w:rPr>
        <w:footnoteReference w:id="54"/>
      </w:r>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tbl>
      <w:tblPr>
        <w:tblStyle w:val="Table"/>
        <w:tblW w:type="pct" w:w="5000"/>
        <w:tblLayout w:type="fixed"/>
        <w:tblLook w:firstRow="0" w:lastRow="0" w:firstColumn="0" w:lastColumn="0" w:noHBand="0" w:noVBand="0" w:val="0000"/>
      </w:tblPr>
      <w:tblGrid>
        <w:gridCol w:w="7920"/>
      </w:tblGrid>
      <w:tr>
        <w:tc>
          <w:tcPr/>
          <w:bookmarkStart w:id="59" w:name="fig-catchments"/>
          <w:p>
            <w:pPr>
              <w:pStyle w:val="Compact"/>
              <w:jc w:val="center"/>
            </w:pPr>
            <w:r>
              <w:drawing>
                <wp:inline>
                  <wp:extent cx="5943600" cy="5094514"/>
                  <wp:effectExtent b="0" l="0" r="0" t="0"/>
                  <wp:docPr descr="" title="" id="57" name="Picture"/>
                  <a:graphic>
                    <a:graphicData uri="http://schemas.openxmlformats.org/drawingml/2006/picture">
                      <pic:pic>
                        <pic:nvPicPr>
                          <pic:cNvPr descr="RPE_Paper_files/figure-docx/fig-catchments-1.png" id="58" name="Picture"/>
                          <pic:cNvPicPr>
                            <a:picLocks noChangeArrowheads="1" noChangeAspect="1"/>
                          </pic:cNvPicPr>
                        </pic:nvPicPr>
                        <pic:blipFill>
                          <a:blip r:embed="rId56"/>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59"/>
        </w:tc>
      </w:tr>
    </w:tbl>
    <w:bookmarkEnd w:id="60"/>
    <w:bookmarkStart w:id="66"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64" w:name="fig-caterpillar"/>
          <w:p>
            <w:pPr>
              <w:pStyle w:val="Compact"/>
              <w:jc w:val="center"/>
            </w:pPr>
            <w:r>
              <w:drawing>
                <wp:inline>
                  <wp:extent cx="5943600" cy="5094514"/>
                  <wp:effectExtent b="0" l="0" r="0" t="0"/>
                  <wp:docPr descr="" title="" id="62" name="Picture"/>
                  <a:graphic>
                    <a:graphicData uri="http://schemas.openxmlformats.org/drawingml/2006/picture">
                      <pic:pic>
                        <pic:nvPicPr>
                          <pic:cNvPr descr="RPE_Paper_files/figure-docx/fig-caterpillar-1.png" id="63" name="Picture"/>
                          <pic:cNvPicPr>
                            <a:picLocks noChangeArrowheads="1" noChangeAspect="1"/>
                          </pic:cNvPicPr>
                        </pic:nvPicPr>
                        <pic:blipFill>
                          <a:blip r:embed="rId61"/>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64"/>
        </w:tc>
      </w:tr>
    </w:tbl>
    <w:p>
      <w:pPr>
        <w:pStyle w:val="BodyText"/>
      </w:pPr>
      <w:hyperlink w:anchor="fig-caterpillar">
        <w:r>
          <w:rPr>
            <w:rStyle w:val="Hyperlink"/>
          </w:rPr>
          <w:t xml:space="preserve">Figure 3</w:t>
        </w:r>
      </w:hyperlink>
      <w:r>
        <w:t xml:space="preserve"> </w:t>
      </w:r>
      <w:r>
        <w:t xml:space="preserve">shows the local-authority random intercepts for disadvantaged-pupil attainment. Conditional on the structural factors in the model - including school absence - Brighton and Hove ranks</w:t>
      </w:r>
      <w:r>
        <w:t xml:space="preserve"> </w:t>
      </w:r>
      <w:r>
        <w:rPr>
          <w:b/>
          <w:bCs/>
        </w:rPr>
        <w:t xml:space="preserve">15th of 151</w:t>
      </w:r>
      <w:r>
        <w:t xml:space="preserve"> </w:t>
      </w:r>
      <w:r>
        <w:t xml:space="preserve">local authorities, a positive random intercept equivalent to roughly</w:t>
      </w:r>
      <w:r>
        <w:t xml:space="preserve"> </w:t>
      </w:r>
      <w:r>
        <w:rPr>
          <w:b/>
          <w:bCs/>
        </w:rPr>
        <w:t xml:space="preserve">+1.6 Attainment 8 points</w:t>
      </w:r>
      <w:r>
        <w:t xml:space="preserve"> </w:t>
      </w:r>
      <w:r>
        <w:t xml:space="preserve">above what those factors would predict. On the same conditional basis the city ranks 4th for non-disadvantaged pupils and 5th for all pupils. This was unknown at the time of the 2024 consultation and entirely absent from a public narrative framed around the raw attainment gap alone.</w:t>
      </w:r>
    </w:p>
    <w:p>
      <w:pPr>
        <w:pStyle w:val="BodyText"/>
      </w:pPr>
      <w:r>
        <w:t xml:space="preserve">That conditional ranking, however, depends on a modelling choice that turns out to carry most of the result. Controlling for absence estimates the city’s performance</w:t>
      </w:r>
      <w:r>
        <w:t xml:space="preserve"> </w:t>
      </w:r>
      <w:r>
        <w:rPr>
          <w:i/>
          <w:iCs/>
        </w:rPr>
        <w:t xml:space="preserve">given</w:t>
      </w:r>
      <w:r>
        <w:t xml:space="preserve"> </w:t>
      </w:r>
      <w:r>
        <w:t xml:space="preserve">the attendance its pupils actually record - and Brighton and Hove has among the worst attendance of any authority in England.</w:t>
      </w:r>
      <w:r>
        <w:t xml:space="preserve"> </w:t>
      </w:r>
      <w:hyperlink w:anchor="tbl-la-absence">
        <w:r>
          <w:rPr>
            <w:rStyle w:val="Hyperlink"/>
          </w:rPr>
          <w:t xml:space="preserve">Table 2</w:t>
        </w:r>
      </w:hyperlink>
      <w:r>
        <w:t xml:space="preserve"> </w:t>
      </w:r>
      <w:r>
        <w:t xml:space="preserve">reports the disadvantaged-attainment effect with and without that control. Without any absence term, the city falls from 15th to</w:t>
      </w:r>
      <w:r>
        <w:t xml:space="preserve"> </w:t>
      </w:r>
      <w:r>
        <w:rPr>
          <w:b/>
          <w:bCs/>
        </w:rPr>
        <w:t xml:space="preserve">69th of 151</w:t>
      </w:r>
      <w:r>
        <w:t xml:space="preserve"> </w:t>
      </w:r>
      <w:r>
        <w:t xml:space="preserve">and its effect is no longer statistically distinguishable from the national average. The city’s apparent excellence for disadvantaged pupils is, in this precise sense, conditional on setting its attendance problem aside.</w:t>
      </w:r>
    </w:p>
    <w:tbl>
      <w:tblPr>
        <w:tblStyle w:val="Table"/>
        <w:tblW w:type="pct" w:w="5000"/>
        <w:tblLayout w:type="fixed"/>
        <w:tblLook w:firstRow="0" w:lastRow="0" w:firstColumn="0" w:lastColumn="0" w:noHBand="0" w:noVBand="0" w:val="0000"/>
      </w:tblPr>
      <w:tblGrid>
        <w:gridCol w:w="7920"/>
      </w:tblGrid>
      <w:tr>
        <w:tc>
          <w:tcPr/>
          <w:bookmarkStart w:id="65" w:name="tbl-la-absence"/>
          <w:p>
            <w:pPr>
              <w:jc w:val="center"/>
            </w:pPr>
            <w:pPr>
              <w:jc w:val="left"/>
              <w:spacing w:before="200"/>
              <w:pStyle w:val="ImageCaption"/>
            </w:pPr>
            <w:r>
              <w:t xml:space="preserve">Table 2: Brighton and Hove’s local-authority effect for disadvantaged-pupil attainment, with and without a control for school absence. The intake-predicted specification controls only for the part of absence that intake predicts, leaving the city’s excess absence in the residual.</w:t>
            </w:r>
          </w:p>
          <w:tbl>
            <w:tblPr>
              <w:tblStyle w:val="Table"/>
              <w:tblW w:type="pct" w:w="5000"/>
              <w:tblLayout w:type="fixed"/>
              <w:tblLook w:firstRow="1" w:lastRow="0" w:firstColumn="0" w:lastColumn="0" w:noHBand="0" w:noVBand="0" w:val="0020"/>
            </w:tblPr>
            <w:tblGrid>
              <w:gridCol w:w="3203"/>
              <w:gridCol w:w="978"/>
              <w:gridCol w:w="1423"/>
              <w:gridCol w:w="1512"/>
              <w:gridCol w:w="800"/>
            </w:tblGrid>
            <w:tr>
              <w:trPr>
                <w:tblHeader w:val="on"/>
              </w:trPr>
              <w:tc>
                <w:tcPr/>
                <w:p>
                  <w:pPr>
                    <w:pStyle w:val="Compact"/>
                    <w:jc w:val="left"/>
                    <w:jc w:val="center"/>
                  </w:pPr>
                  <w:r>
                    <w:t xml:space="preserve">Specification</w:t>
                  </w:r>
                </w:p>
              </w:tc>
              <w:tc>
                <w:tcPr/>
                <w:p>
                  <w:pPr>
                    <w:pStyle w:val="Compact"/>
                    <w:jc w:val="right"/>
                    <w:jc w:val="center"/>
                  </w:pPr>
                  <w:r>
                    <w:t xml:space="preserve">B&amp;H effect</w:t>
                  </w:r>
                </w:p>
              </w:tc>
              <w:tc>
                <w:tcPr/>
                <w:p>
                  <w:pPr>
                    <w:pStyle w:val="Compact"/>
                    <w:jc w:val="right"/>
                    <w:jc w:val="center"/>
                  </w:pPr>
                  <w:r>
                    <w:t xml:space="preserve">95% CI</w:t>
                  </w:r>
                </w:p>
              </w:tc>
              <w:tc>
                <w:tcPr/>
                <w:p>
                  <w:pPr>
                    <w:pStyle w:val="Compact"/>
                    <w:jc w:val="left"/>
                    <w:jc w:val="center"/>
                  </w:pPr>
                  <w:r>
                    <w:t xml:space="preserve">Rank</w:t>
                  </w:r>
                </w:p>
              </w:tc>
              <w:tc>
                <w:tcPr/>
                <w:p>
                  <w:pPr>
                    <w:pStyle w:val="Compact"/>
                    <w:jc w:val="right"/>
                    <w:jc w:val="center"/>
                  </w:pPr>
                  <w:r>
                    <w:t xml:space="preserve">ATT8 pts</w:t>
                  </w:r>
                </w:p>
              </w:tc>
            </w:tr>
            <w:tr>
              <w:tc>
                <w:tcPr/>
                <w:p>
                  <w:pPr>
                    <w:pStyle w:val="Compact"/>
                    <w:jc w:val="left"/>
                    <w:jc w:val="center"/>
                  </w:pPr>
                  <w:r>
                    <w:t xml:space="preserve">No absence control</w:t>
                  </w:r>
                </w:p>
              </w:tc>
              <w:tc>
                <w:tcPr/>
                <w:p>
                  <w:pPr>
                    <w:pStyle w:val="Compact"/>
                    <w:jc w:val="right"/>
                    <w:jc w:val="center"/>
                  </w:pPr>
                  <w:r>
                    <w:t xml:space="preserve">+0.006</w:t>
                  </w:r>
                </w:p>
              </w:tc>
              <w:tc>
                <w:tcPr/>
                <w:p>
                  <w:pPr>
                    <w:pStyle w:val="Compact"/>
                    <w:jc w:val="right"/>
                    <w:jc w:val="center"/>
                  </w:pPr>
                  <w:r>
                    <w:t xml:space="preserve">-0.034 to 0.046</w:t>
                  </w:r>
                </w:p>
              </w:tc>
              <w:tc>
                <w:tcPr/>
                <w:p>
                  <w:pPr>
                    <w:pStyle w:val="Compact"/>
                    <w:jc w:val="left"/>
                    <w:jc w:val="center"/>
                  </w:pPr>
                  <w:r>
                    <w:t xml:space="preserve">69 of 151 (n.s.)</w:t>
                  </w:r>
                </w:p>
              </w:tc>
              <w:tc>
                <w:tcPr/>
                <w:p>
                  <w:pPr>
                    <w:pStyle w:val="Compact"/>
                    <w:jc w:val="right"/>
                    <w:jc w:val="center"/>
                  </w:pPr>
                  <w:r>
                    <w:t xml:space="preserve">+0.2</w:t>
                  </w:r>
                </w:p>
              </w:tc>
            </w:tr>
            <w:tr>
              <w:tc>
                <w:tcPr/>
                <w:p>
                  <w:pPr>
                    <w:pStyle w:val="Compact"/>
                    <w:jc w:val="left"/>
                    <w:jc w:val="center"/>
                  </w:pPr>
                  <w:r>
                    <w:t xml:space="preserve">Absence controlled (main model)</w:t>
                  </w:r>
                </w:p>
              </w:tc>
              <w:tc>
                <w:tcPr/>
                <w:p>
                  <w:pPr>
                    <w:pStyle w:val="Compact"/>
                    <w:jc w:val="right"/>
                    <w:jc w:val="center"/>
                  </w:pPr>
                  <w:r>
                    <w:t xml:space="preserve">+0.041</w:t>
                  </w:r>
                </w:p>
              </w:tc>
              <w:tc>
                <w:tcPr/>
                <w:p>
                  <w:pPr>
                    <w:pStyle w:val="Compact"/>
                    <w:jc w:val="right"/>
                    <w:jc w:val="center"/>
                  </w:pPr>
                  <w:r>
                    <w:t xml:space="preserve">0.006 to 0.076</w:t>
                  </w:r>
                </w:p>
              </w:tc>
              <w:tc>
                <w:tcPr/>
                <w:p>
                  <w:pPr>
                    <w:pStyle w:val="Compact"/>
                    <w:jc w:val="left"/>
                    <w:jc w:val="center"/>
                  </w:pPr>
                  <w:r>
                    <w:t xml:space="preserve">15 of 151</w:t>
                  </w:r>
                </w:p>
              </w:tc>
              <w:tc>
                <w:tcPr/>
                <w:p>
                  <w:pPr>
                    <w:pStyle w:val="Compact"/>
                    <w:jc w:val="right"/>
                    <w:jc w:val="center"/>
                  </w:pPr>
                  <w:r>
                    <w:t xml:space="preserve">+1.6</w:t>
                  </w:r>
                </w:p>
              </w:tc>
            </w:tr>
            <w:tr>
              <w:tc>
                <w:tcPr/>
                <w:p>
                  <w:pPr>
                    <w:pStyle w:val="Compact"/>
                    <w:jc w:val="left"/>
                    <w:jc w:val="center"/>
                  </w:pPr>
                  <w:r>
                    <w:t xml:space="preserve">Intake-predicted absence controlled</w:t>
                  </w:r>
                </w:p>
              </w:tc>
              <w:tc>
                <w:tcPr/>
                <w:p>
                  <w:pPr>
                    <w:pStyle w:val="Compact"/>
                    <w:jc w:val="right"/>
                    <w:jc w:val="center"/>
                  </w:pPr>
                  <w:r>
                    <w:t xml:space="preserve">+0.005</w:t>
                  </w:r>
                </w:p>
              </w:tc>
              <w:tc>
                <w:tcPr/>
                <w:p>
                  <w:pPr>
                    <w:pStyle w:val="Compact"/>
                    <w:jc w:val="right"/>
                    <w:jc w:val="center"/>
                  </w:pPr>
                  <w:r>
                    <w:t xml:space="preserve">-0.035 to 0.044</w:t>
                  </w:r>
                </w:p>
              </w:tc>
              <w:tc>
                <w:tcPr/>
                <w:p>
                  <w:pPr>
                    <w:pStyle w:val="Compact"/>
                    <w:jc w:val="left"/>
                    <w:jc w:val="center"/>
                  </w:pPr>
                  <w:r>
                    <w:t xml:space="preserve">71 of 151 (n.s.)</w:t>
                  </w:r>
                </w:p>
              </w:tc>
              <w:tc>
                <w:tcPr/>
                <w:p>
                  <w:pPr>
                    <w:pStyle w:val="Compact"/>
                    <w:jc w:val="right"/>
                    <w:jc w:val="center"/>
                  </w:pPr>
                  <w:r>
                    <w:t xml:space="preserve">+0.2</w:t>
                  </w:r>
                </w:p>
              </w:tc>
            </w:tr>
          </w:tbl>
          <w:bookmarkEnd w:id="65"/>
          <w:p/>
        </w:tc>
      </w:tr>
    </w:tbl>
    <w:p>
      <w:pPr>
        <w:pStyle w:val="BodyText"/>
      </w:pPr>
      <w:r>
        <w:t xml:space="preserve">This is not an artefact peculiar to Brighton and Hove: controlling for absence reshuffles the whole distribution of local-authority effects, and 8 authorities that appear significantly above average once absence is controlled are indistinguishable from average without it. Absence does a great deal of work in any model of attainment, and where an authority sits on it materially changes how its schools appear to perform. But the shift is unusually consequential for Brighton and Hove precisely because its attendance is so extreme.</w:t>
      </w:r>
    </w:p>
    <w:p>
      <w:pPr>
        <w:pStyle w:val="BodyText"/>
      </w:pPr>
      <w:r>
        <w:t xml:space="preserve">We regard the distance between these two numbers as the finding, rather than either number alone. Conditional on the absence its pupils face, Brighton and Hove’s schools sit within the strongest tenth of authorities in England for disadvantaged attainment; unconditionally they are unremarkable.</w:t>
      </w:r>
      <w:r>
        <w:t xml:space="preserve"> </w:t>
      </w:r>
      <w:r>
        <w:rPr>
          <w:b/>
          <w:bCs/>
        </w:rPr>
        <w:t xml:space="preserve">The gap between the two - about 1.4 Attainment 8 points per disadvantaged pupil - is a direct measure of what the city’s attendance problem costs its most disadvantaged children.</w:t>
      </w:r>
      <w:r>
        <w:t xml:space="preserve"> </w:t>
      </w:r>
      <w:r>
        <w:t xml:space="preserve">It is not a reason to discount the schools’ underlying effectiveness; it is a reason to treat attendance as the single most valuable lever available to the city, a point we develop in section 5.5 and quantify through the accelerating-returns analysis below. (For all pupils the city’s advantage is more robust to this choice, remaining significantly positive without an absence control at 69th; it is specifically the disadvantaged-pupil result that rests on it.)</w:t>
      </w:r>
    </w:p>
    <w:p>
      <w:pPr>
        <w:pStyle w:val="BodyText"/>
      </w:pPr>
      <w:r>
        <w:t xml:space="preserve">Two features of the city’s absence confirm that this is a local problem rather than an inevitability of its intake. First, Brighton and Hove’s disadvantage is unexceptional: its mean school-level free-school-meal rate (25.2%) is slightly</w:t>
      </w:r>
      <w:r>
        <w:t xml:space="preserve"> </w:t>
      </w:r>
      <w:r>
        <w:rPr>
          <w:i/>
          <w:iCs/>
        </w:rPr>
        <w:t xml:space="preserve">below</w:t>
      </w:r>
      <w:r>
        <w:t xml:space="preserve"> </w:t>
      </w:r>
      <w:r>
        <w:t xml:space="preserve">the national average (27.1%). When we model expected absence from intake alone (section 5.5), the city’s schools should record about 8.8% absence; they actually record 10.8%. Almost two percentage points of absence sit above what the intake predicts. Second, the problem has not been improving. Between 2021–22 and 2024–25, absence fell in 94% of English local authorities - the national mean dropping by 0.88 percentage points as attendance recovered from the pandemic - while Brighton and Hove’s barely moved (-0.03 points), leaving it 143th of 152 authorities for improvement. The city did not become an outlier because its absence rose; it became an outlier because, almost alone, its absence did not fall.</w:t>
      </w:r>
    </w:p>
    <w:bookmarkEnd w:id="66"/>
    <w:bookmarkStart w:id="71"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70" w:name="fig-accelerating-returns"/>
          <w:p>
            <w:pPr>
              <w:pStyle w:val="Compact"/>
              <w:jc w:val="center"/>
            </w:pPr>
            <w:r>
              <w:drawing>
                <wp:inline>
                  <wp:extent cx="5943600" cy="3820885"/>
                  <wp:effectExtent b="0" l="0" r="0" t="0"/>
                  <wp:docPr descr="" title="" id="68" name="Picture"/>
                  <a:graphic>
                    <a:graphicData uri="http://schemas.openxmlformats.org/drawingml/2006/picture">
                      <pic:pic>
                        <pic:nvPicPr>
                          <pic:cNvPr descr="RPE_Paper_files/figure-docx/fig-accelerating-returns-1.png" id="69" name="Picture"/>
                          <pic:cNvPicPr>
                            <a:picLocks noChangeArrowheads="1" noChangeAspect="1"/>
                          </pic:cNvPicPr>
                        </pic:nvPicPr>
                        <pic:blipFill>
                          <a:blip r:embed="rId67"/>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70"/>
        </w:tc>
      </w:tr>
    </w:tbl>
    <w:p>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w:t>
      </w:r>
      <w:r>
        <w:t xml:space="preserve"> </w:t>
      </w:r>
      <w:r>
        <w:rPr>
          <w:i/>
          <w:iCs/>
        </w:rPr>
        <w:t xml:space="preserve">widens</w:t>
      </w:r>
      <w:r>
        <w:t xml:space="preserve"> </w:t>
      </w:r>
      <w:r>
        <w:t xml:space="preserve">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3.4 times as important as FSM for predicting attainment.</w:t>
      </w:r>
    </w:p>
    <w:p>
      <w:pPr>
        <w:pStyle w:val="BodyText"/>
      </w:pPr>
      <w:r>
        <w:t xml:space="preserve">Bringing schools above the national average for absence down to it would produce predicted gains averaging +2.8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71"/>
    <w:bookmarkStart w:id="76"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75" w:name="fig-obs-vs-pred"/>
          <w:p>
            <w:pPr>
              <w:pStyle w:val="Compact"/>
              <w:jc w:val="center"/>
            </w:pPr>
            <w:r>
              <w:drawing>
                <wp:inline>
                  <wp:extent cx="5943600" cy="7641771"/>
                  <wp:effectExtent b="0" l="0" r="0" t="0"/>
                  <wp:docPr descr="" title="" id="73" name="Picture"/>
                  <a:graphic>
                    <a:graphicData uri="http://schemas.openxmlformats.org/drawingml/2006/picture">
                      <pic:pic>
                        <pic:nvPicPr>
                          <pic:cNvPr descr="RPE_Paper_files/figure-docx/fig-obs-vs-pred-1.png" id="74" name="Picture"/>
                          <pic:cNvPicPr>
                            <a:picLocks noChangeArrowheads="1" noChangeAspect="1"/>
                          </pic:cNvPicPr>
                        </pic:nvPicPr>
                        <pic:blipFill>
                          <a:blip r:embed="rId72"/>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75"/>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76"/>
    <w:bookmarkStart w:id="82"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 regressor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r>
        <w:t xml:space="preserve">A two-stage decomposition</w:t>
      </w:r>
      <w:r>
        <w:rPr>
          <w:rStyle w:val="FootnoteReference"/>
        </w:rPr>
        <w:footnoteReference w:id="77"/>
      </w:r>
      <w:r>
        <w:t xml:space="preserve"> </w:t>
      </w:r>
      <w:r>
        <w:t xml:space="preserve">separates these elements. First, we model school-level absence on the variables we treat as exogenous (FSM, EAL, mean KS2 prior attainment, segregation, plus place and year random effects), producing for every school-year an</w:t>
      </w:r>
      <w:r>
        <w:t xml:space="preserve"> </w:t>
      </w:r>
      <w:r>
        <w:rPr>
          <w:i/>
          <w:iCs/>
        </w:rPr>
        <w:t xml:space="preserve">expected absence</w:t>
      </w:r>
      <w:r>
        <w:t xml:space="preserve"> </w:t>
      </w:r>
      <w:r>
        <w:t xml:space="preserve">(intake-predicted) and a</w:t>
      </w:r>
      <w:r>
        <w:t xml:space="preserve"> </w:t>
      </w:r>
      <w:r>
        <w:rPr>
          <w:i/>
          <w:iCs/>
        </w:rPr>
        <w:t xml:space="preserve">residual absence</w:t>
      </w:r>
      <w:r>
        <w:t xml:space="preserve"> </w:t>
      </w:r>
      <w:r>
        <w:t xml:space="preserve">(school-controllable). Second, we refit the attainment model with intake-predicted absence in place of raw absence, dropping the workforce predictors. The school-level residual from this refitted model is a more honest value-added measure: attendance management is now counted as part of the school’s contribution rather than stripped away as a control.</w:t>
      </w:r>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tbl>
      <w:tblPr>
        <w:tblStyle w:val="Table"/>
        <w:tblW w:type="pct" w:w="5000"/>
        <w:tblLayout w:type="fixed"/>
        <w:tblLook w:firstRow="0" w:lastRow="0" w:firstColumn="0" w:lastColumn="0" w:noHBand="0" w:noVBand="0" w:val="0000"/>
      </w:tblPr>
      <w:tblGrid>
        <w:gridCol w:w="7920"/>
      </w:tblGrid>
      <w:tr>
        <w:tc>
          <w:tcPr/>
          <w:bookmarkStart w:id="81" w:name="fig-quadrant"/>
          <w:p>
            <w:pPr>
              <w:pStyle w:val="Compact"/>
              <w:jc w:val="center"/>
            </w:pPr>
            <w:r>
              <w:drawing>
                <wp:inline>
                  <wp:extent cx="5943600" cy="4245428"/>
                  <wp:effectExtent b="0" l="0" r="0" t="0"/>
                  <wp:docPr descr="" title="" id="79" name="Picture"/>
                  <a:graphic>
                    <a:graphicData uri="http://schemas.openxmlformats.org/drawingml/2006/picture">
                      <pic:pic>
                        <pic:nvPicPr>
                          <pic:cNvPr descr="RPE_Paper_files/figure-docx/fig-quadrant-1.png" id="80" name="Picture"/>
                          <pic:cNvPicPr>
                            <a:picLocks noChangeArrowheads="1" noChangeAspect="1"/>
                          </pic:cNvPicPr>
                        </pic:nvPicPr>
                        <pic:blipFill>
                          <a:blip r:embed="rId7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bookmarkEnd w:id="81"/>
        </w:tc>
      </w:tr>
    </w:tbl>
    <w:p>
      <w:pPr>
        <w:pStyle w:val="BodyText"/>
      </w:pPr>
      <w:r>
        <w:t xml:space="preserve">For local school-level diagnostics the decomposition becomes considerably more informative. Two signals can now be read side by side: the school’s contextualised value-added, and its residual absence (positive when the school has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w:t>
      </w:r>
    </w:p>
    <w:p>
      <w:pPr>
        <w:pStyle w:val="BodyText"/>
      </w:pPr>
      <w:r>
        <w:t xml:space="preserve">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bookmarkEnd w:id="82"/>
    <w:bookmarkEnd w:id="83"/>
    <w:bookmarkStart w:id="100" w:name="discussion"/>
    <w:p>
      <w:pPr>
        <w:pStyle w:val="Heading1"/>
      </w:pPr>
      <w:r>
        <w:t xml:space="preserve">6. Discussion</w:t>
      </w:r>
    </w:p>
    <w:bookmarkStart w:id="85"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public</w:t>
      </w:r>
      <w:r>
        <w:rPr>
          <w:rStyle w:val="FootnoteReference"/>
        </w:rPr>
        <w:footnoteReference w:id="84"/>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w:t>
      </w:r>
      <w:r>
        <w:t xml:space="preserve"> </w:t>
      </w:r>
      <w:r>
        <w:t xml:space="preserve">Macleod et al. (2015)</w:t>
      </w:r>
      <w:r>
        <w:t xml:space="preserve">’s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the opposite outcome.</w:t>
      </w:r>
    </w:p>
    <w:p>
      <w:pPr>
        <w:pStyle w:val="BodyText"/>
      </w:pPr>
      <w:r>
        <w:t xml:space="preserve">The chosen lever also carries risks that the proposals did not engage with. Redistribution generates longer journeys to school, and the wider literature is clear that long commutes are associated with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consequences, including stress</w:t>
      </w:r>
      <w:r>
        <w:t xml:space="preserve"> </w:t>
      </w:r>
      <w:r>
        <w:t xml:space="preserve">(Karan et al. 2021)</w:t>
      </w:r>
      <w:r>
        <w:t xml:space="preserve">, lower wellbeing</w:t>
      </w:r>
      <w:r>
        <w:t xml:space="preserve"> </w:t>
      </w:r>
      <w:r>
        <w:t xml:space="preserve">(Ding et al. 2023)</w:t>
      </w:r>
      <w:r>
        <w:t xml:space="preserve">, and higher absence across multiple national settings</w:t>
      </w:r>
      <w:r>
        <w:t xml:space="preserve"> </w:t>
      </w:r>
      <w:r>
        <w:t xml:space="preserve">(Otsuka et al. 2025; Cordes et al. 2022; Blagg et al. 2018)</w:t>
      </w:r>
      <w:r>
        <w:t xml:space="preserve">, including England</w:t>
      </w:r>
      <w:r>
        <w:t xml:space="preserve"> </w:t>
      </w:r>
      <w:r>
        <w:t xml:space="preserve">(Thomson 2023)</w:t>
      </w:r>
      <w:r>
        <w:t xml:space="preserve">.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w:t>
      </w:r>
      <w:r>
        <w:t xml:space="preserve"> </w:t>
      </w:r>
      <w:r>
        <w:t xml:space="preserve">(Faulkner et al. 2013)</w:t>
      </w:r>
      <w:r>
        <w:t xml:space="preserve">. A Chicago case study</w:t>
      </w:r>
      <w:r>
        <w:t xml:space="preserve"> </w:t>
      </w:r>
      <w:r>
        <w:t xml:space="preserve">(Shah 2023)</w:t>
      </w:r>
      <w:r>
        <w:t xml:space="preserve"> </w:t>
      </w:r>
      <w:r>
        <w:t xml:space="preserve">argues that the burden of long commutes falls disproportionately on pupils already experiencing other forms of marginalisation, and long-distance transit predicts early high school transfer</w:t>
      </w:r>
      <w:r>
        <w:t xml:space="preserve"> </w:t>
      </w:r>
      <w:r>
        <w:t xml:space="preserve">(Stein et al. 2021)</w:t>
      </w:r>
      <w:r>
        <w:t xml:space="preserve">, itself a risk factor for poor attainment. These are not peripheral concerns; they are part of the cost-benefit calculus any redistribution policy needs to engage with, and were largely missing from the 2024 deliberation. The claim that social mixing can be achieved at</w:t>
      </w:r>
      <w:r>
        <w:t xml:space="preserve"> </w:t>
      </w:r>
      <w:r>
        <w:t xml:space="preserve">‘almost no cost’</w:t>
      </w:r>
      <w:r>
        <w:t xml:space="preserve"> </w:t>
      </w:r>
      <w:r>
        <w:t xml:space="preserve">(Gorard and Siddiqui 2019)</w:t>
      </w:r>
      <w:r>
        <w:t xml:space="preserve"> </w:t>
      </w:r>
      <w:r>
        <w:t xml:space="preserve">sits awkwardly with this second-order literature.</w:t>
      </w:r>
    </w:p>
    <w:p>
      <w:pPr>
        <w:pStyle w:val="BodyText"/>
      </w:pPr>
      <w:r>
        <w:t xml:space="preserve">It is worth making the mechanism explicit, because it clarifies how an admissions reform actually reaches attainment. There are two pathways. The first is the intended one: changing where pupils go alters the</w:t>
      </w:r>
      <w:r>
        <w:t xml:space="preserve"> </w:t>
      </w:r>
      <w:r>
        <w:rPr>
          <w:i/>
          <w:iCs/>
        </w:rPr>
        <w:t xml:space="preserve">FSM composition</w:t>
      </w:r>
      <w:r>
        <w:t xml:space="preserve"> </w:t>
      </w:r>
      <w:r>
        <w:t xml:space="preserve">of individual schools, which our modelling shows has, at most, a small effect on attainment - and for disadvantaged pupils, an effect that if anything runs the wrong way. The second is unintended: moving pupils further from home increases</w:t>
      </w:r>
      <w:r>
        <w:t xml:space="preserve"> </w:t>
      </w:r>
      <w:r>
        <w:rPr>
          <w:i/>
          <w:iCs/>
        </w:rPr>
        <w:t xml:space="preserve">travel</w:t>
      </w:r>
      <w:r>
        <w:t xml:space="preserve">, which the evidence above links to</w:t>
      </w:r>
      <w:r>
        <w:t xml:space="preserve"> </w:t>
      </w:r>
      <w:r>
        <w:rPr>
          <w:i/>
          <w:iCs/>
        </w:rPr>
        <w:t xml:space="preserve">higher absence.</w:t>
      </w:r>
      <w:r>
        <w:t xml:space="preserve"> </w:t>
      </w:r>
      <w:r>
        <w:t xml:space="preserve">Recent research also clearly links attendance with the sense of well-being, life satisfaction and belonging in students</w:t>
      </w:r>
      <w:r>
        <w:t xml:space="preserve"> </w:t>
      </w:r>
      <w:r>
        <w:t xml:space="preserve">(Moore et al. 2026)</w:t>
      </w:r>
      <w:r>
        <w:t xml:space="preserve">. While it may not necessarily follow that this will be diminished in students attending schools far from their home communities and established friendship groups, it is reasonable to hypothesise this as a further risk factor to consider, particularly where absence is by a wide margin the strongest predictor of attainment we identify. In other words, 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w:t>
      </w:r>
      <w:r>
        <w:t xml:space="preserve"> </w:t>
      </w:r>
      <w:r>
        <w:rPr>
          <w:i/>
          <w:iCs/>
        </w:rPr>
        <w:t xml:space="preserve">expected</w:t>
      </w:r>
      <w:r>
        <w:t xml:space="preserve"> </w:t>
      </w:r>
      <w:r>
        <w:t xml:space="preserve">effects derived from national associations, not an evaluation of the 2023 free-school-meal-priority policy or the 2026 arrangements, which post-date our outcome data and whose effects the council’s own commissioned follow-up work has yet to report.</w:t>
      </w:r>
    </w:p>
    <w:bookmarkEnd w:id="85"/>
    <w:bookmarkStart w:id="88"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w:t>
      </w:r>
      <w:r>
        <w:t xml:space="preserve"> </w:t>
      </w:r>
      <w:r>
        <w:rPr>
          <w:b/>
          <w:bCs/>
        </w:rPr>
        <w:t xml:space="preserve">attendance</w:t>
      </w:r>
      <w:r>
        <w:t xml:space="preserve"> </w:t>
      </w:r>
      <w:r>
        <w:t xml:space="preserve">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r>
        <w:rPr>
          <w:rStyle w:val="FootnoteReference"/>
        </w:rPr>
        <w:footnoteReference w:id="86"/>
      </w:r>
      <w:r>
        <w:t xml:space="preserve">. 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 England in 2024-25 - and, unlike almost every other authority, one that has barely improved since the pandemic - 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might produce.</w:t>
      </w:r>
    </w:p>
    <w:p>
      <w:pPr>
        <w:pStyle w:val="BodyText"/>
      </w:pPr>
      <w:r>
        <w:t xml:space="preserve">We should reiterate that Brighton and Hove’s absence rates are not a necessary consequence of its intake. The city has near-average FSM eligibility but near-worst absence, suggesting the problem reflects local factors - attendance culture, enforcement practices, transport friction or community dynamics - rather than being an unavoidable correlate of disadvantage. If the city is not already running a substantial cross-departmental attendance programme alongside its school-level work, the case for one is strong. There is a budget question too: the £606,000 already spent annually on supported bus routes and passes</w:t>
      </w:r>
      <w:r>
        <w:rPr>
          <w:rStyle w:val="FootnoteReference"/>
        </w:rPr>
        <w:footnoteReference w:id="87"/>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p>
    <w:bookmarkEnd w:id="88"/>
    <w:bookmarkStart w:id="92"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tbl>
      <w:tblPr>
        <w:tblStyle w:val="Table"/>
        <w:tblW w:type="pct" w:w="5000"/>
        <w:tblLayout w:type="fixed"/>
        <w:tblLook w:firstRow="0" w:lastRow="0" w:firstColumn="0" w:lastColumn="0" w:noHBand="0" w:noVBand="0" w:val="0000"/>
      </w:tblPr>
      <w:tblGrid>
        <w:gridCol w:w="7920"/>
      </w:tblGrid>
      <w:tr>
        <w:tc>
          <w:tcPr/>
          <w:bookmarkStart w:id="89" w:name="tbl-league"/>
          <w:p>
            <w:pPr>
              <w:jc w:val="center"/>
            </w:pPr>
            <w:pPr>
              <w:jc w:val="left"/>
              <w:spacing w:before="200"/>
              <w:pStyle w:val="ImageCaption"/>
            </w:pPr>
            <w:r>
              <w:t xml:space="preserve">Table 3: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+3.1</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+2.7</w:t>
                  </w:r>
                </w:p>
              </w:tc>
              <w:tc>
                <w:tcPr/>
                <w:p>
                  <w:pPr>
                    <w:pStyle w:val="Compact"/>
                    <w:jc w:val="right"/>
                    <w:jc w:val="center"/>
                  </w:pPr>
                  <w:r>
                    <w:t xml:space="preserve">+2.6</w:t>
                  </w:r>
                </w:p>
              </w:tc>
              <w:tc>
                <w:tcPr/>
                <w:p>
                  <w:pPr>
                    <w:pStyle w:val="Compact"/>
                    <w:jc w:val="right"/>
                    <w:jc w:val="center"/>
                  </w:pPr>
                  <w:r>
                    <w:t xml:space="preserve">+5.3</w:t>
                  </w:r>
                </w:p>
              </w:tc>
              <w:tc>
                <w:tcPr/>
                <w:p>
                  <w:pPr>
                    <w:pStyle w:val="Compact"/>
                    <w:jc w:val="right"/>
                    <w:jc w:val="center"/>
                  </w:pPr>
                  <w:r>
                    <w:t xml:space="preserve">+0.5</w:t>
                  </w:r>
                </w:p>
              </w:tc>
              <w:tc>
                <w:tcPr/>
                <w:p>
                  <w:pPr>
                    <w:pStyle w:val="Compact"/>
                    <w:jc w:val="right"/>
                    <w:jc w:val="center"/>
                  </w:pPr>
                  <w:r>
                    <w:t xml:space="preserve">+2.8</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+3.5</w:t>
                  </w:r>
                </w:p>
              </w:tc>
              <w:tc>
                <w:tcPr/>
                <w:p>
                  <w:pPr>
                    <w:pStyle w:val="Compact"/>
                    <w:jc w:val="right"/>
                    <w:jc w:val="center"/>
                  </w:pPr>
                  <w:r>
                    <w:t xml:space="preserve">+0.9</w:t>
                  </w:r>
                </w:p>
              </w:tc>
              <w:tc>
                <w:tcPr/>
                <w:p>
                  <w:pPr>
                    <w:pStyle w:val="Compact"/>
                    <w:jc w:val="right"/>
                    <w:jc w:val="center"/>
                  </w:pPr>
                  <w:r>
                    <w:t xml:space="preserve">+5.0</w:t>
                  </w:r>
                </w:p>
              </w:tc>
              <w:tc>
                <w:tcPr/>
                <w:p>
                  <w:pPr>
                    <w:pStyle w:val="Compact"/>
                    <w:jc w:val="right"/>
                    <w:jc w:val="center"/>
                  </w:pPr>
                  <w:r>
                    <w:t xml:space="preserve">-0.5</w:t>
                  </w:r>
                </w:p>
              </w:tc>
              <w:tc>
                <w:tcPr/>
                <w:p>
                  <w:pPr>
                    <w:pStyle w:val="Compact"/>
                    <w:jc w:val="right"/>
                    <w:jc w:val="center"/>
                  </w:pPr>
                  <w:r>
                    <w:t xml:space="preserve">+2.2</w:t>
                  </w:r>
                </w:p>
              </w:tc>
            </w:tr>
            <w:tr>
              <w:tc>
                <w:tcPr/>
                <w:p>
                  <w:pPr>
                    <w:pStyle w:val="Compact"/>
                    <w:jc w:val="right"/>
                    <w:jc w:val="center"/>
                  </w:pPr>
                  <w:r>
                    <w:t xml:space="preserve">4</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+0.8</w:t>
                  </w:r>
                </w:p>
              </w:tc>
              <w:tc>
                <w:tcPr/>
                <w:p>
                  <w:pPr>
                    <w:pStyle w:val="Compact"/>
                    <w:jc w:val="right"/>
                    <w:jc w:val="center"/>
                  </w:pPr>
                  <w:r>
                    <w:t xml:space="preserve">+1.4</w:t>
                  </w:r>
                </w:p>
              </w:tc>
            </w:tr>
            <w:tr>
              <w:tc>
                <w:tcPr/>
                <w:p>
                  <w:pPr>
                    <w:pStyle w:val="Compact"/>
                    <w:jc w:val="right"/>
                    <w:jc w:val="center"/>
                  </w:pPr>
                  <w:r>
                    <w:t xml:space="preserve">5</w:t>
                  </w:r>
                </w:p>
              </w:tc>
              <w:tc>
                <w:tcPr/>
                <w:p>
                  <w:pPr>
                    <w:pStyle w:val="Compact"/>
                    <w:jc w:val="left"/>
                    <w:jc w:val="center"/>
                  </w:pPr>
                  <w:r>
                    <w:t xml:space="preserve">Portslade Aldridge Community Academy</w:t>
                  </w:r>
                </w:p>
              </w:tc>
              <w:tc>
                <w:tcPr/>
                <w:p>
                  <w:pPr>
                    <w:pStyle w:val="Compact"/>
                    <w:jc w:val="right"/>
                    <w:jc w:val="center"/>
                  </w:pPr>
                  <w:r>
                    <w:t xml:space="preserve">+3.8</w:t>
                  </w:r>
                </w:p>
              </w:tc>
              <w:tc>
                <w:tcPr/>
                <w:p>
                  <w:pPr>
                    <w:pStyle w:val="Compact"/>
                    <w:jc w:val="right"/>
                    <w:jc w:val="center"/>
                  </w:pPr>
                  <w:r>
                    <w:t xml:space="preserve">+0.6</w:t>
                  </w:r>
                </w:p>
              </w:tc>
              <w:tc>
                <w:tcPr/>
                <w:p>
                  <w:pPr>
                    <w:pStyle w:val="Compact"/>
                    <w:jc w:val="right"/>
                    <w:jc w:val="center"/>
                  </w:pPr>
                  <w:r>
                    <w:t xml:space="preserve">+2.3</w:t>
                  </w:r>
                </w:p>
              </w:tc>
              <w:tc>
                <w:tcPr/>
                <w:p>
                  <w:pPr>
                    <w:pStyle w:val="Compact"/>
                    <w:jc w:val="right"/>
                    <w:jc w:val="center"/>
                  </w:pPr>
                  <w:r>
                    <w:t xml:space="preserve">-1.3</w:t>
                  </w:r>
                </w:p>
              </w:tc>
              <w:tc>
                <w:tcPr/>
                <w:p>
                  <w:pPr>
                    <w:pStyle w:val="Compact"/>
                    <w:jc w:val="right"/>
                    <w:jc w:val="center"/>
                  </w:pPr>
                  <w:r>
                    <w:t xml:space="preserve">+1.4</w:t>
                  </w:r>
                </w:p>
              </w:tc>
            </w:tr>
            <w:tr>
              <w:tc>
                <w:tcPr/>
                <w:p>
                  <w:pPr>
                    <w:pStyle w:val="Compact"/>
                    <w:jc w:val="right"/>
                    <w:jc w:val="center"/>
                  </w:pPr>
                  <w:r>
                    <w:t xml:space="preserve">6</w:t>
                  </w:r>
                </w:p>
              </w:tc>
              <w:tc>
                <w:tcPr/>
                <w:p>
                  <w:pPr>
                    <w:pStyle w:val="Compact"/>
                    <w:jc w:val="left"/>
                    <w:jc w:val="center"/>
                  </w:pPr>
                  <w:r>
                    <w:t xml:space="preserve">Hove Park School and Sixth Form Centre</w:t>
                  </w:r>
                </w:p>
              </w:tc>
              <w:tc>
                <w:tcPr/>
                <w:p>
                  <w:pPr>
                    <w:pStyle w:val="Compact"/>
                    <w:jc w:val="right"/>
                    <w:jc w:val="center"/>
                  </w:pPr>
                  <w:r>
                    <w:t xml:space="preserve">+1.5</w:t>
                  </w:r>
                </w:p>
              </w:tc>
              <w:tc>
                <w:tcPr/>
                <w:p>
                  <w:pPr>
                    <w:pStyle w:val="Compact"/>
                    <w:jc w:val="right"/>
                    <w:jc w:val="center"/>
                  </w:pPr>
                  <w:r>
                    <w:t xml:space="preserve">+0.9</w:t>
                  </w:r>
                </w:p>
              </w:tc>
              <w:tc>
                <w:tcPr/>
                <w:p>
                  <w:pPr>
                    <w:pStyle w:val="Compact"/>
                    <w:jc w:val="right"/>
                    <w:jc w:val="center"/>
                  </w:pPr>
                  <w:r>
                    <w:t xml:space="preserve">+1.4</w:t>
                  </w:r>
                </w:p>
              </w:tc>
              <w:tc>
                <w:tcPr/>
                <w:p>
                  <w:pPr>
                    <w:pStyle w:val="Compact"/>
                    <w:jc w:val="right"/>
                    <w:jc w:val="center"/>
                  </w:pPr>
                  <w:r>
                    <w:t xml:space="preserve">+0.4</w:t>
                  </w:r>
                </w:p>
              </w:tc>
              <w:tc>
                <w:tcPr/>
                <w:p>
                  <w:pPr>
                    <w:pStyle w:val="Compact"/>
                    <w:jc w:val="right"/>
                    <w:jc w:val="center"/>
                  </w:pPr>
                  <w:r>
                    <w:t xml:space="preserve">+1.0</w:t>
                  </w:r>
                </w:p>
              </w:tc>
            </w:tr>
            <w:tr>
              <w:tc>
                <w:tcPr/>
                <w:p>
                  <w:pPr>
                    <w:pStyle w:val="Compact"/>
                    <w:jc w:val="right"/>
                    <w:jc w:val="center"/>
                  </w:pPr>
                  <w:r>
                    <w:t xml:space="preserve">7</w:t>
                  </w:r>
                </w:p>
              </w:tc>
              <w:tc>
                <w:tcPr/>
                <w:p>
                  <w:pPr>
                    <w:pStyle w:val="Compact"/>
                    <w:jc w:val="left"/>
                    <w:jc w:val="center"/>
                  </w:pPr>
                  <w:r>
                    <w:t xml:space="preserve">Blatchington Mill School</w:t>
                  </w:r>
                </w:p>
              </w:tc>
              <w:tc>
                <w:tcPr/>
                <w:p>
                  <w:pPr>
                    <w:pStyle w:val="Compact"/>
                    <w:jc w:val="right"/>
                    <w:jc w:val="center"/>
                  </w:pPr>
                  <w:r>
                    <w:t xml:space="preserve">-1.5</w:t>
                  </w:r>
                </w:p>
              </w:tc>
              <w:tc>
                <w:tcPr/>
                <w:p>
                  <w:pPr>
                    <w:pStyle w:val="Compact"/>
                    <w:jc w:val="right"/>
                    <w:jc w:val="center"/>
                  </w:pPr>
                  <w:r>
                    <w:t xml:space="preserve">-1.0</w:t>
                  </w:r>
                </w:p>
              </w:tc>
              <w:tc>
                <w:tcPr/>
                <w:p>
                  <w:pPr>
                    <w:pStyle w:val="Compact"/>
                    <w:jc w:val="right"/>
                    <w:jc w:val="center"/>
                  </w:pPr>
                  <w:r>
                    <w:t xml:space="preserve">+2.0</w:t>
                  </w:r>
                </w:p>
              </w:tc>
              <w:tc>
                <w:tcPr/>
                <w:p>
                  <w:pPr>
                    <w:pStyle w:val="Compact"/>
                    <w:jc w:val="right"/>
                    <w:jc w:val="center"/>
                  </w:pPr>
                  <w:r>
                    <w:t xml:space="preserve">+2.4</w:t>
                  </w:r>
                </w:p>
              </w:tc>
              <w:tc>
                <w:tcPr/>
                <w:p>
                  <w:pPr>
                    <w:pStyle w:val="Compact"/>
                    <w:jc w:val="right"/>
                    <w:jc w:val="center"/>
                  </w:pPr>
                  <w:r>
                    <w:t xml:space="preserve">+0.5</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+1.3</w:t>
                  </w:r>
                </w:p>
              </w:tc>
              <w:tc>
                <w:tcPr/>
                <w:p>
                  <w:pPr>
                    <w:pStyle w:val="Compact"/>
                    <w:jc w:val="right"/>
                    <w:jc w:val="center"/>
                  </w:pPr>
                  <w:r>
                    <w:t xml:space="preserve">-2.2</w:t>
                  </w:r>
                </w:p>
              </w:tc>
              <w:tc>
                <w:tcPr/>
                <w:p>
                  <w:pPr>
                    <w:pStyle w:val="Compact"/>
                    <w:jc w:val="right"/>
                    <w:jc w:val="center"/>
                  </w:pPr>
                  <w:r>
                    <w:t xml:space="preserve">+1.3</w:t>
                  </w:r>
                </w:p>
              </w:tc>
              <w:tc>
                <w:tcPr/>
                <w:p>
                  <w:pPr>
                    <w:pStyle w:val="Compact"/>
                    <w:jc w:val="right"/>
                    <w:jc w:val="center"/>
                  </w:pPr>
                  <w:r>
                    <w:t xml:space="preserve">-1.5</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-0.2</w:t>
                  </w:r>
                </w:p>
              </w:tc>
              <w:tc>
                <w:tcPr/>
                <w:p>
                  <w:pPr>
                    <w:pStyle w:val="Compact"/>
                    <w:jc w:val="right"/>
                    <w:jc w:val="center"/>
                  </w:pPr>
                  <w:r>
                    <w:t xml:space="preserve">-2.3</w:t>
                  </w:r>
                </w:p>
              </w:tc>
              <w:tc>
                <w:tcPr/>
                <w:p>
                  <w:pPr>
                    <w:pStyle w:val="Compact"/>
                    <w:jc w:val="right"/>
                    <w:jc w:val="center"/>
                  </w:pPr>
                  <w:r>
                    <w:t xml:space="preserve">-1.1</w:t>
                  </w:r>
                </w:p>
              </w:tc>
              <w:tc>
                <w:tcPr/>
                <w:p>
                  <w:pPr>
                    <w:pStyle w:val="Compact"/>
                    <w:jc w:val="right"/>
                    <w:jc w:val="center"/>
                  </w:pPr>
                  <w:r>
                    <w:t xml:space="preserve">-2.5</w:t>
                  </w:r>
                </w:p>
              </w:tc>
              <w:tc>
                <w:tcPr/>
                <w:p>
                  <w:pPr>
                    <w:pStyle w:val="Compact"/>
                    <w:jc w:val="right"/>
                    <w:jc w:val="center"/>
                  </w:pPr>
                  <w:r>
                    <w:t xml:space="preserve">-1.5</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-2.7</w:t>
                  </w:r>
                </w:p>
              </w:tc>
              <w:tc>
                <w:tcPr/>
                <w:p>
                  <w:pPr>
                    <w:pStyle w:val="Compact"/>
                    <w:jc w:val="right"/>
                    <w:jc w:val="center"/>
                  </w:pPr>
                  <w:r>
                    <w:t xml:space="preserve">-2.8</w:t>
                  </w:r>
                </w:p>
              </w:tc>
              <w:tc>
                <w:tcPr/>
                <w:p>
                  <w:pPr>
                    <w:pStyle w:val="Compact"/>
                    <w:jc w:val="right"/>
                    <w:jc w:val="center"/>
                  </w:pPr>
                  <w:r>
                    <w:t xml:space="preserve">-4.4</w:t>
                  </w:r>
                </w:p>
              </w:tc>
              <w:tc>
                <w:tcPr/>
                <w:p>
                  <w:pPr>
                    <w:pStyle w:val="Compact"/>
                    <w:jc w:val="right"/>
                    <w:jc w:val="center"/>
                  </w:pPr>
                  <w:r>
                    <w:t xml:space="preserve">-2.9</w:t>
                  </w:r>
                </w:p>
              </w:tc>
              <w:tc>
                <w:tcPr/>
                <w:p>
                  <w:pPr>
                    <w:pStyle w:val="Compact"/>
                    <w:jc w:val="right"/>
                    <w:jc w:val="center"/>
                  </w:pPr>
                  <w:r>
                    <w:t xml:space="preserve">-3.2</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+3.1</w:t>
                  </w:r>
                </w:p>
              </w:tc>
              <w:tc>
                <w:tcPr/>
                <w:p>
                  <w:pPr>
                    <w:pStyle w:val="Compact"/>
                    <w:jc w:val="right"/>
                    <w:jc w:val="center"/>
                  </w:pPr>
                  <w:r>
                    <w:t xml:space="preserve">-1.3</w:t>
                  </w:r>
                </w:p>
              </w:tc>
              <w:tc>
                <w:tcPr/>
                <w:p>
                  <w:pPr>
                    <w:pStyle w:val="Compact"/>
                    <w:jc w:val="right"/>
                    <w:jc w:val="center"/>
                  </w:pPr>
                  <w:r>
                    <w:t xml:space="preserve">+4.6</w:t>
                  </w:r>
                </w:p>
              </w:tc>
              <w:tc>
                <w:tcPr/>
                <w:p>
                  <w:pPr>
                    <w:pStyle w:val="Compact"/>
                    <w:jc w:val="right"/>
                    <w:jc w:val="center"/>
                  </w:pPr>
                  <w:r>
                    <w:t xml:space="preserve">+5.7</w:t>
                  </w:r>
                </w:p>
              </w:tc>
              <w:tc>
                <w:tcPr/>
                <w:p>
                  <w:pPr>
                    <w:pStyle w:val="Compact"/>
                    <w:jc w:val="right"/>
                    <w:jc w:val="center"/>
                  </w:pPr>
                  <w:r>
                    <w:t xml:space="preserve">+3.1</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+2.2</w:t>
                  </w:r>
                </w:p>
              </w:tc>
              <w:tc>
                <w:tcPr/>
                <w:p>
                  <w:pPr>
                    <w:pStyle w:val="Compact"/>
                    <w:jc w:val="right"/>
                    <w:jc w:val="center"/>
                  </w:pPr>
                  <w:r>
                    <w:t xml:space="preserve">+3.2</w:t>
                  </w:r>
                </w:p>
              </w:tc>
              <w:tc>
                <w:tcPr/>
                <w:p>
                  <w:pPr>
                    <w:pStyle w:val="Compact"/>
                    <w:jc w:val="right"/>
                    <w:jc w:val="center"/>
                  </w:pPr>
                  <w:r>
                    <w:t xml:space="preserve">+3.9</w:t>
                  </w:r>
                </w:p>
              </w:tc>
              <w:tc>
                <w:tcPr/>
                <w:p>
                  <w:pPr>
                    <w:pStyle w:val="Compact"/>
                    <w:jc w:val="right"/>
                    <w:jc w:val="center"/>
                  </w:pPr>
                  <w:r>
                    <w:t xml:space="preserve">-2.4</w:t>
                  </w:r>
                </w:p>
              </w:tc>
              <w:tc>
                <w:tcPr/>
                <w:p>
                  <w:pPr>
                    <w:pStyle w:val="Compact"/>
                    <w:jc w:val="right"/>
                    <w:jc w:val="center"/>
                  </w:pPr>
                  <w:r>
                    <w:t xml:space="preserve">+1.7</w:t>
                  </w:r>
                </w:p>
              </w:tc>
            </w:tr>
            <w:tr>
              <w:tc>
                <w:tcPr/>
                <w:p>
                  <w:pPr>
                    <w:pStyle w:val="Compact"/>
                    <w:jc w:val="right"/>
                    <w:jc w:val="center"/>
                  </w:pPr>
                  <w:r>
                    <w:t xml:space="preserve">3</w:t>
                  </w:r>
                </w:p>
              </w:tc>
              <w:tc>
                <w:tcPr/>
                <w:p>
                  <w:pPr>
                    <w:pStyle w:val="Compact"/>
                    <w:jc w:val="left"/>
                    <w:jc w:val="center"/>
                  </w:pPr>
                  <w:r>
                    <w:t xml:space="preserve">Cardinal Newman Catholic School</w:t>
                  </w:r>
                </w:p>
              </w:tc>
              <w:tc>
                <w:tcPr/>
                <w:p>
                  <w:pPr>
                    <w:pStyle w:val="Compact"/>
                    <w:jc w:val="right"/>
                    <w:jc w:val="center"/>
                  </w:pPr>
                  <w:r>
                    <w:t xml:space="preserve">+2.9</w:t>
                  </w:r>
                </w:p>
              </w:tc>
              <w:tc>
                <w:tcPr/>
                <w:p>
                  <w:pPr>
                    <w:pStyle w:val="Compact"/>
                    <w:jc w:val="right"/>
                    <w:jc w:val="center"/>
                  </w:pPr>
                  <w:r>
                    <w:t xml:space="preserve">-5.4</w:t>
                  </w:r>
                </w:p>
              </w:tc>
              <w:tc>
                <w:tcPr/>
                <w:p>
                  <w:pPr>
                    <w:pStyle w:val="Compact"/>
                    <w:jc w:val="right"/>
                    <w:jc w:val="center"/>
                  </w:pPr>
                  <w:r>
                    <w:t xml:space="preserve">+6.5</w:t>
                  </w:r>
                </w:p>
              </w:tc>
              <w:tc>
                <w:tcPr/>
                <w:p>
                  <w:pPr>
                    <w:pStyle w:val="Compact"/>
                    <w:jc w:val="right"/>
                    <w:jc w:val="center"/>
                  </w:pPr>
                  <w:r>
                    <w:t xml:space="preserve">+2.3</w:t>
                  </w:r>
                </w:p>
              </w:tc>
              <w:tc>
                <w:tcPr/>
                <w:p>
                  <w:pPr>
                    <w:pStyle w:val="Compact"/>
                    <w:jc w:val="right"/>
                    <w:jc w:val="center"/>
                  </w:pPr>
                  <w:r>
                    <w:t xml:space="preserve">+1.6</w:t>
                  </w:r>
                </w:p>
              </w:tc>
            </w:tr>
            <w:tr>
              <w:tc>
                <w:tcPr/>
                <w:p>
                  <w:pPr>
                    <w:pStyle w:val="Compact"/>
                    <w:jc w:val="right"/>
                    <w:jc w:val="center"/>
                  </w:pPr>
                  <w:r>
                    <w:t xml:space="preserve">4</w:t>
                  </w:r>
                </w:p>
              </w:tc>
              <w:tc>
                <w:tcPr/>
                <w:p>
                  <w:pPr>
                    <w:pStyle w:val="Compact"/>
                    <w:jc w:val="left"/>
                    <w:jc w:val="center"/>
                  </w:pPr>
                  <w:r>
                    <w:t xml:space="preserve">Dorothy Stringer School</w:t>
                  </w:r>
                </w:p>
              </w:tc>
              <w:tc>
                <w:tcPr/>
                <w:p>
                  <w:pPr>
                    <w:pStyle w:val="Compact"/>
                    <w:jc w:val="right"/>
                    <w:jc w:val="center"/>
                  </w:pPr>
                  <w:r>
                    <w:t xml:space="preserve">+2.2</w:t>
                  </w:r>
                </w:p>
              </w:tc>
              <w:tc>
                <w:tcPr/>
                <w:p>
                  <w:pPr>
                    <w:pStyle w:val="Compact"/>
                    <w:jc w:val="right"/>
                    <w:jc w:val="center"/>
                  </w:pPr>
                  <w:r>
                    <w:t xml:space="preserve">+2.6</w:t>
                  </w:r>
                </w:p>
              </w:tc>
              <w:tc>
                <w:tcPr/>
                <w:p>
                  <w:pPr>
                    <w:pStyle w:val="Compact"/>
                    <w:jc w:val="right"/>
                    <w:jc w:val="center"/>
                  </w:pPr>
                  <w:r>
                    <w:t xml:space="preserve">-0.2</w:t>
                  </w:r>
                </w:p>
              </w:tc>
              <w:tc>
                <w:tcPr/>
                <w:p>
                  <w:pPr>
                    <w:pStyle w:val="Compact"/>
                    <w:jc w:val="right"/>
                    <w:jc w:val="center"/>
                  </w:pPr>
                  <w:r>
                    <w:t xml:space="preserve">+1.4</w:t>
                  </w:r>
                </w:p>
              </w:tc>
              <w:tc>
                <w:tcPr/>
                <w:p>
                  <w:pPr>
                    <w:pStyle w:val="Compact"/>
                    <w:jc w:val="right"/>
                    <w:jc w:val="center"/>
                  </w:pPr>
                  <w:r>
                    <w:t xml:space="preserve">+1.5</w:t>
                  </w:r>
                </w:p>
              </w:tc>
            </w:tr>
            <w:tr>
              <w:tc>
                <w:tcPr/>
                <w:p>
                  <w:pPr>
                    <w:pStyle w:val="Compact"/>
                    <w:jc w:val="right"/>
                    <w:jc w:val="center"/>
                  </w:pPr>
                  <w:r>
                    <w:t xml:space="preserve">5</w:t>
                  </w:r>
                </w:p>
              </w:tc>
              <w:tc>
                <w:tcPr/>
                <w:p>
                  <w:pPr>
                    <w:pStyle w:val="Compact"/>
                    <w:jc w:val="left"/>
                    <w:jc w:val="center"/>
                  </w:pPr>
                  <w:r>
                    <w:t xml:space="preserve">Blatchington Mill School</w:t>
                  </w:r>
                </w:p>
              </w:tc>
              <w:tc>
                <w:tcPr/>
                <w:p>
                  <w:pPr>
                    <w:pStyle w:val="Compact"/>
                    <w:jc w:val="right"/>
                    <w:jc w:val="center"/>
                  </w:pPr>
                  <w:r>
                    <w:t xml:space="preserve">-5.0</w:t>
                  </w:r>
                </w:p>
              </w:tc>
              <w:tc>
                <w:tcPr/>
                <w:p>
                  <w:pPr>
                    <w:pStyle w:val="Compact"/>
                    <w:jc w:val="right"/>
                    <w:jc w:val="center"/>
                  </w:pPr>
                  <w:r>
                    <w:t xml:space="preserve">+1.1</w:t>
                  </w:r>
                </w:p>
              </w:tc>
              <w:tc>
                <w:tcPr/>
                <w:p>
                  <w:pPr>
                    <w:pStyle w:val="Compact"/>
                    <w:jc w:val="right"/>
                    <w:jc w:val="center"/>
                  </w:pPr>
                  <w:r>
                    <w:t xml:space="preserve">+4.7</w:t>
                  </w:r>
                </w:p>
              </w:tc>
              <w:tc>
                <w:tcPr/>
                <w:p>
                  <w:pPr>
                    <w:pStyle w:val="Compact"/>
                    <w:jc w:val="right"/>
                    <w:jc w:val="center"/>
                  </w:pPr>
                  <w:r>
                    <w:t xml:space="preserve">+2.9</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+1.4</w:t>
                  </w:r>
                </w:p>
              </w:tc>
              <w:tc>
                <w:tcPr/>
                <w:p>
                  <w:pPr>
                    <w:pStyle w:val="Compact"/>
                    <w:jc w:val="right"/>
                    <w:jc w:val="center"/>
                  </w:pPr>
                  <w:r>
                    <w:t xml:space="preserve">+3.8</w:t>
                  </w:r>
                </w:p>
              </w:tc>
              <w:tc>
                <w:tcPr/>
                <w:p>
                  <w:pPr>
                    <w:pStyle w:val="Compact"/>
                    <w:jc w:val="right"/>
                    <w:jc w:val="center"/>
                  </w:pPr>
                  <w:r>
                    <w:t xml:space="preserve">-6.2</w:t>
                  </w:r>
                </w:p>
              </w:tc>
              <w:tc>
                <w:tcPr/>
                <w:p>
                  <w:pPr>
                    <w:pStyle w:val="Compact"/>
                    <w:jc w:val="right"/>
                    <w:jc w:val="center"/>
                  </w:pPr>
                  <w:r>
                    <w:t xml:space="preserve">+0.9</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+3.0</w:t>
                  </w:r>
                </w:p>
              </w:tc>
              <w:tc>
                <w:tcPr/>
                <w:p>
                  <w:pPr>
                    <w:pStyle w:val="Compact"/>
                    <w:jc w:val="right"/>
                    <w:jc w:val="center"/>
                  </w:pPr>
                  <w:r>
                    <w:t xml:space="preserve">-2.5</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+3.2</w:t>
                  </w:r>
                </w:p>
              </w:tc>
              <w:tc>
                <w:tcPr/>
                <w:p>
                  <w:pPr>
                    <w:pStyle w:val="Compact"/>
                    <w:jc w:val="right"/>
                    <w:jc w:val="center"/>
                  </w:pPr>
                  <w:r>
                    <w:t xml:space="preserve">-3.4</w:t>
                  </w:r>
                </w:p>
              </w:tc>
              <w:tc>
                <w:tcPr/>
                <w:p>
                  <w:pPr>
                    <w:pStyle w:val="Compact"/>
                    <w:jc w:val="right"/>
                    <w:jc w:val="center"/>
                  </w:pPr>
                  <w:r>
                    <w:t xml:space="preserve">+4.1</w:t>
                  </w:r>
                </w:p>
              </w:tc>
              <w:tc>
                <w:tcPr/>
                <w:p>
                  <w:pPr>
                    <w:pStyle w:val="Compact"/>
                    <w:jc w:val="right"/>
                    <w:jc w:val="center"/>
                  </w:pPr>
                  <w:r>
                    <w:t xml:space="preserve">-1.9</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+4.1</w:t>
                  </w:r>
                </w:p>
              </w:tc>
              <w:tc>
                <w:tcPr/>
                <w:p>
                  <w:pPr>
                    <w:pStyle w:val="Compact"/>
                    <w:jc w:val="right"/>
                    <w:jc w:val="center"/>
                  </w:pPr>
                  <w:r>
                    <w:t xml:space="preserve">+1.5</w:t>
                  </w:r>
                </w:p>
              </w:tc>
              <w:tc>
                <w:tcPr/>
                <w:p>
                  <w:pPr>
                    <w:pStyle w:val="Compact"/>
                    <w:jc w:val="right"/>
                    <w:jc w:val="center"/>
                  </w:pPr>
                  <w:r>
                    <w:t xml:space="preserve">-11.6</w:t>
                  </w:r>
                </w:p>
              </w:tc>
              <w:tc>
                <w:tcPr/>
                <w:p>
                  <w:pPr>
                    <w:pStyle w:val="Compact"/>
                    <w:jc w:val="right"/>
                    <w:jc w:val="center"/>
                  </w:pPr>
                  <w:r>
                    <w:t xml:space="preserve">-3.5</w:t>
                  </w:r>
                </w:p>
              </w:tc>
              <w:tc>
                <w:tcPr/>
                <w:p>
                  <w:pPr>
                    <w:pStyle w:val="Compact"/>
                    <w:jc w:val="right"/>
                    <w:jc w:val="center"/>
                  </w:pPr>
                  <w:r>
                    <w:t xml:space="preserve">-2.4</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-5.1</w:t>
                  </w:r>
                </w:p>
              </w:tc>
              <w:tc>
                <w:tcPr/>
                <w:p>
                  <w:pPr>
                    <w:pStyle w:val="Compact"/>
                    <w:jc w:val="right"/>
                    <w:jc w:val="center"/>
                  </w:pPr>
                  <w:r>
                    <w:t xml:space="preserve">-6.4</w:t>
                  </w:r>
                </w:p>
              </w:tc>
              <w:tc>
                <w:tcPr/>
                <w:p>
                  <w:pPr>
                    <w:pStyle w:val="Compact"/>
                    <w:jc w:val="right"/>
                    <w:jc w:val="center"/>
                  </w:pPr>
                  <w:r>
                    <w:t xml:space="preserve">+1.4</w:t>
                  </w:r>
                </w:p>
              </w:tc>
              <w:tc>
                <w:tcPr/>
                <w:p>
                  <w:pPr>
                    <w:pStyle w:val="Compact"/>
                    <w:jc w:val="right"/>
                    <w:jc w:val="center"/>
                  </w:pPr>
                  <w:r>
                    <w:t xml:space="preserve">-0.9</w:t>
                  </w:r>
                </w:p>
              </w:tc>
              <w:tc>
                <w:tcPr/>
                <w:p>
                  <w:pPr>
                    <w:pStyle w:val="Compact"/>
                    <w:jc w:val="right"/>
                    <w:jc w:val="center"/>
                  </w:pPr>
                  <w:r>
                    <w:t xml:space="preserve">-2.7</w:t>
                  </w:r>
                </w:p>
              </w:tc>
            </w:tr>
          </w:tbl>
          <w:bookmarkEnd w:id="89"/>
          <w:p/>
        </w:tc>
      </w:tr>
    </w:tbl>
    <w:p>
      <w:pPr>
        <w:pStyle w:val="BodyText"/>
      </w:pPr>
      <w:r>
        <w:t xml:space="preserve">During the 2024 consultation, the public debate shifted from how the council’s proposals would improve disadvantaged attainment to how they would facilitate parental choice. An activist group (Equity in Education - supported by Class Divide) emerged from within the BACA catchment advocating for alternatives to that school, which then 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r>
        <w:t xml:space="preserve">The contextualised picture differs sharply. BACA sits in one of the most deprived parts of the city, experiences absence well above the high city average, has around 50% FSM and 30% low prior attainment; Patcham has below-national-average absence, around 25% FSM and 16% low prior attainment. Once these cohort differences are accounted for, the league tables in</w:t>
      </w:r>
      <w:r>
        <w:t xml:space="preserve"> </w:t>
      </w:r>
      <w:hyperlink w:anchor="tbl-league">
        <w:r>
          <w:rPr>
            <w:rStyle w:val="Hyperlink"/>
          </w:rPr>
          <w:t xml:space="preserve">Table 3</w:t>
        </w:r>
      </w:hyperlink>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 5 points higher than a comparable pupil at a similar school elsewhere in England, with a four-year average around 3 points higher - substantially above the fraction of a point that might be expected from altering schools’ disadvantage mix. BACA out-performs every other school in the city for disadvantaged pupils, including those popularly viewed as the</w:t>
      </w:r>
      <w:r>
        <w:t xml:space="preserve"> </w:t>
      </w:r>
      <w:r>
        <w:t xml:space="preserve">‘best’</w:t>
      </w:r>
      <w:r>
        <w:t xml:space="preserve">. Its April 2025 Ofsted upgrade to</w:t>
      </w:r>
      <w:r>
        <w:t xml:space="preserve"> </w:t>
      </w:r>
      <w:r>
        <w:t xml:space="preserve">‘Good’</w:t>
      </w:r>
      <w:r>
        <w:t xml:space="preserve"> </w:t>
      </w:r>
      <w:r>
        <w:t xml:space="preserve">in all five areas</w:t>
      </w:r>
      <w:r>
        <w:rPr>
          <w:rStyle w:val="FootnoteReference"/>
        </w:rPr>
        <w:footnoteReference w:id="90"/>
      </w:r>
      <w:r>
        <w:t xml:space="preserve"> </w:t>
      </w:r>
      <w:r>
        <w:t xml:space="preserve">is unsurprising in the context of this analysis, but would have been surprising to anyone looking only at prior raw attainment and Ofsted ratings. Patcham, by contrast, sits ~2.6 GCSE points below 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t>
      </w:r>
    </w:p>
    <w:bookmarkEnd w:id="92"/>
    <w:bookmarkStart w:id="94" w:name="viability-versus-attainment"/>
    <w:p>
      <w:pPr>
        <w:pStyle w:val="Heading2"/>
      </w:pPr>
      <w:r>
        <w:t xml:space="preserve">6.4 Viability versus attainment</w:t>
      </w:r>
    </w:p>
    <w:p>
      <w:pPr>
        <w:pStyle w:val="FirstParagraph"/>
      </w:pPr>
      <w:r>
        <w:t xml:space="preserve">The cabinet papers</w:t>
      </w:r>
      <w:r>
        <w:rPr>
          <w:rStyle w:val="FootnoteReference"/>
        </w:rPr>
        <w:footnoteReference w:id="93"/>
      </w:r>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94"/>
    <w:bookmarkStart w:id="95" w:name="X66de271a6aca02794f420f50f4d8a324e8e27cc"/>
    <w:p>
      <w:pPr>
        <w:pStyle w:val="Heading2"/>
      </w:pPr>
      <w:r>
        <w:t xml:space="preserve">6.5 Conditional performance and the cost of absence</w:t>
      </w:r>
    </w:p>
    <w:p>
      <w:pPr>
        <w:pStyle w:val="FirstParagraph"/>
      </w:pPr>
      <w:r>
        <w:t xml:space="preserve">The LEA random effect for Brighton and Hove is positive and, in the main model, statistically significant across all three attainment groups. As section 5.2 set out, however, this result is conditional on how the model treats absence, and the city’s attendance is so extreme that the conditioning does most of the work. Controlling for absence, the city’s schools rank 15th of 151 for disadvantaged attainment; without that control they rank 69th and are statistically ordinary. We take neither number as the whole truth. Together they say something more useful than either alone: Brighton and Hove’s schools appear to be genuinely effective for the pupils who attend them, and the city’s attendance problem is large enough to erase that advantage in the aggregate.</w:t>
      </w:r>
    </w:p>
    <w:p>
      <w:pPr>
        <w:pStyle w:val="BodyText"/>
      </w:pPr>
      <w:r>
        <w:t xml:space="preserve">The distance between the two rankings has a concrete interpretation. It is roughly 1.4 Attainment 8 points per disadvantaged pupil - the difference between what the city’s disadvantaged children achieve and what they might achieve if their schools’ underlying effectiveness were not being drained by absence. Read this way, the city’s attendance is not a caveat to a good-news story; it is the story.</w:t>
      </w:r>
    </w:p>
    <w:p>
      <w:pPr>
        <w:pStyle w:val="BodyText"/>
      </w:pPr>
      <w:r>
        <w:t xml:space="preserve">This reframes what the 2024 consultation got right and what it got wrong. The council was not wrong that Brighton and Hove has a problem: unconditionally, its disadvantaged pupils do no better than the national average, and the raw attainment gap that motivated the consultation is real. What the consultation got wrong was the diagnosis. Presented with an attainment gap, it reached for the social composition of schools - one of the weakest levers our modelling identifies, and for disadvantaged pupils a lever that may point the wrong way (section 4.3, section 5.3) - while the factor that actually separates the city’s conditional standing from its unconditional standing, attendance, was absent from the consultation entirely. The more accurate account is not that a high-performing city was mistaken for a failing one, but that a city with one specific, severe, addressable problem was prescribed a treatment for a different problem it did not have.</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But without pupil and class-level longitudinal analysis, this hypothesis would be impossible to test. What all of these hypotheses show, however, is that identifying the sources of this conditional over-performance is an important research question in its own right, and one that could require additional qualitative investigation or access to pupil-level data that goes beyond what is publicly available. But what is clear is that policy interventions which risk disrupting a well-functioning system without understanding what makes it function well carry substantial downside risks.</w:t>
      </w:r>
    </w:p>
    <w:bookmarkEnd w:id="95"/>
    <w:bookmarkStart w:id="98"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should be candid that this gap is, in part, a structural consequence of policy since 2010. Academisation and sustained real-terms reductions in local authority central-services funding have substantially eroded the analytical capacity that once sat within LEAs, so a recommendation simply to</w:t>
      </w:r>
      <w:r>
        <w:t xml:space="preserve"> </w:t>
      </w:r>
      <w:r>
        <w:t xml:space="preserve">‘invest locally’</w:t>
      </w:r>
      <w:r>
        <w:t xml:space="preserve"> </w:t>
      </w:r>
      <w:r>
        <w:t xml:space="preserve">sits uneasily with the fiscal reality most authorities face. Multi-academy trusts have absorbed some of this function, but only for their own constituent schools; no actor now has both the remit and the capacity for the</w:t>
      </w:r>
      <w:r>
        <w:t xml:space="preserve"> </w:t>
      </w:r>
      <w:r>
        <w:rPr>
          <w:i/>
          <w:iCs/>
        </w:rPr>
        <w:t xml:space="preserve">locality-wide</w:t>
      </w:r>
      <w:r>
        <w:t xml:space="preserve"> </w:t>
      </w:r>
      <w:r>
        <w:t xml:space="preserve">analysis that spans maintained schools, academies across different trusts, and church schools within a single place. Brighton and Hove illustrates the gap precisely: the council remains the admissions authority for a system it has limited capacity to analyse as a whole, while its two academies - central to the policy question - sit outside its analytical reach. The need, then, is less for every council to rebuild bespoke capacity than for the</w:t>
      </w:r>
      <w:r>
        <w:t xml:space="preserve"> </w:t>
      </w:r>
      <w:r>
        <w:rPr>
          <w:i/>
          <w:iCs/>
        </w:rPr>
        <w:t xml:space="preserve">system</w:t>
      </w:r>
      <w:r>
        <w:t xml:space="preserve"> </w:t>
      </w:r>
      <w:r>
        <w:t xml:space="preserve">to close a locality-level analytical gap, whether through central funding for local capacity or nationally maintained benchmarking tools that any locality can use.</w:t>
      </w:r>
    </w:p>
    <w:p>
      <w:pPr>
        <w:pStyle w:val="BodyText"/>
      </w:pPr>
      <w:r>
        <w:t xml:space="preserve">We have developed an interactive Policy Simulator tool,</w:t>
      </w:r>
      <w:r>
        <w:rPr>
          <w:rStyle w:val="FootnoteReference"/>
        </w:rPr>
        <w:footnoteReference w:id="96"/>
      </w:r>
      <w:r>
        <w:t xml:space="preserve"> </w:t>
      </w:r>
      <w:r>
        <w:t xml:space="preserve">underpinned by the models in this paper, as a prototype of exactly this kind of shared, locality-level infrastructure. The tool allows users to explore any school in England, compare against contextual expectations, and model the indicative impact of changes to key variables.</w:t>
      </w:r>
    </w:p>
    <w:bookmarkEnd w:id="98"/>
    <w:bookmarkStart w:id="99"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99"/>
    <w:bookmarkEnd w:id="100"/>
    <w:bookmarkStart w:id="101"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yields three positions 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w:t>
      </w:r>
      <w:r>
        <w:t xml:space="preserve"> </w:t>
      </w:r>
      <w:r>
        <w:t xml:space="preserve">(Macleod et al. 2015)</w:t>
      </w:r>
      <w:r>
        <w:t xml:space="preserve">.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w:t>
      </w:r>
      <w:r>
        <w:t xml:space="preserve"> </w:t>
      </w:r>
      <w:r>
        <w:rPr>
          <w:b/>
          <w:bCs/>
        </w:rPr>
        <w:t xml:space="preserve">attendance</w:t>
      </w:r>
      <w:r>
        <w:t xml:space="preserve">. The city had the second-worst absence rate in England in 2024-25 - and its absence has failed to fall while it fell almost everywhere else - and the modelling suggests that moving the city’s worst-affected schools toward the national absence average would yield gains for disadvantaged pupils that comfortably exceed anything achievable through admissions reform. The two-stage 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 Closing the city’s absence problem therefore needs both school-level effort and cross-departmental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101"/>
    <w:bookmarkStart w:id="102"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102"/>
    <w:bookmarkStart w:id="103" w:name="disclosure-statement"/>
    <w:p>
      <w:pPr>
        <w:pStyle w:val="Heading1"/>
      </w:pPr>
      <w:r>
        <w:t xml:space="preserve">Disclosure Statement</w:t>
      </w:r>
    </w:p>
    <w:p>
      <w:pPr>
        <w:pStyle w:val="FirstParagraph"/>
      </w:pPr>
      <w:r>
        <w:t xml:space="preserve">Some of the authors are residents of Brighton and Hove with school aged children and lived experience of the effects of the admissions policy process described. No financial conflicts of interest exist.</w:t>
      </w:r>
    </w:p>
    <w:bookmarkEnd w:id="103"/>
    <w:bookmarkStart w:id="202" w:name="references"/>
    <w:p>
      <w:pPr>
        <w:pStyle w:val="Heading1"/>
      </w:pPr>
      <w:r>
        <w:t xml:space="preserve">References</w:t>
      </w:r>
    </w:p>
    <w:bookmarkStart w:id="201" w:name="refs"/>
    <w:bookmarkStart w:id="105"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104">
        <w:r>
          <w:rPr>
            <w:rStyle w:val="Hyperlink"/>
          </w:rPr>
          <w:t xml:space="preserve">https://doi.org/10.1080/09645292.2017.1366425</w:t>
        </w:r>
      </w:hyperlink>
      <w:r>
        <w:t xml:space="preserve">.</w:t>
      </w:r>
    </w:p>
    <w:bookmarkEnd w:id="105"/>
    <w:bookmarkStart w:id="107"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106">
        <w:r>
          <w:rPr>
            <w:rStyle w:val="Hyperlink"/>
          </w:rPr>
          <w:t xml:space="preserve">https://doi.org/10.1111/j.1475-5661.2012.00511.x</w:t>
        </w:r>
      </w:hyperlink>
      <w:r>
        <w:t xml:space="preserve">.</w:t>
      </w:r>
    </w:p>
    <w:bookmarkEnd w:id="107"/>
    <w:bookmarkStart w:id="109"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08">
        <w:r>
          <w:rPr>
            <w:rStyle w:val="Hyperlink"/>
          </w:rPr>
          <w:t xml:space="preserve">https://doi.org/10.1080/0305764X.2024.2420611</w:t>
        </w:r>
      </w:hyperlink>
      <w:r>
        <w:t xml:space="preserve">.</w:t>
      </w:r>
    </w:p>
    <w:bookmarkEnd w:id="109"/>
    <w:bookmarkStart w:id="111"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110">
        <w:r>
          <w:rPr>
            <w:rStyle w:val="Hyperlink"/>
          </w:rPr>
          <w:t xml:space="preserve">https://www.urban.org/sites/default/files/publication/99027/time_to_school_and_student_outcomes_in_dc_1.pdf</w:t>
        </w:r>
      </w:hyperlink>
      <w:r>
        <w:t xml:space="preserve">.</w:t>
      </w:r>
    </w:p>
    <w:bookmarkEnd w:id="111"/>
    <w:bookmarkStart w:id="113"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12">
        <w:r>
          <w:rPr>
            <w:rStyle w:val="Hyperlink"/>
          </w:rPr>
          <w:t xml:space="preserve">https://doi.org/10.1177/0308518X18787820</w:t>
        </w:r>
      </w:hyperlink>
      <w:r>
        <w:t xml:space="preserve">.</w:t>
      </w:r>
    </w:p>
    <w:bookmarkEnd w:id="113"/>
    <w:bookmarkStart w:id="115"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14">
        <w:r>
          <w:rPr>
            <w:rStyle w:val="Hyperlink"/>
          </w:rPr>
          <w:t xml:space="preserve">https://doi.org/10.1016/j.econedurev.2023.102405</w:t>
        </w:r>
      </w:hyperlink>
      <w:r>
        <w:t xml:space="preserve">.</w:t>
      </w:r>
    </w:p>
    <w:bookmarkEnd w:id="115"/>
    <w:bookmarkStart w:id="117"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116">
        <w:r>
          <w:rPr>
            <w:rStyle w:val="Hyperlink"/>
          </w:rPr>
          <w:t xml:space="preserve">https://doi.org/10.1371/journal.pone.0314687</w:t>
        </w:r>
      </w:hyperlink>
      <w:r>
        <w:t xml:space="preserve">.</w:t>
      </w:r>
    </w:p>
    <w:bookmarkEnd w:id="117"/>
    <w:bookmarkStart w:id="119"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18">
        <w:r>
          <w:rPr>
            <w:rStyle w:val="Hyperlink"/>
          </w:rPr>
          <w:t xml:space="preserve">https://committees.parliament.uk/committee/203/education-committee/news/156024/forgotten-white-workingclass-pupils-let-down-by-decades-of-neglect-mps-say/</w:t>
        </w:r>
      </w:hyperlink>
      <w:r>
        <w:t xml:space="preserve">.</w:t>
      </w:r>
    </w:p>
    <w:bookmarkEnd w:id="119"/>
    <w:bookmarkStart w:id="121"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120">
        <w:r>
          <w:rPr>
            <w:rStyle w:val="Hyperlink"/>
          </w:rPr>
          <w:t xml:space="preserve">https://doi.org/10.3102/01623737221092450</w:t>
        </w:r>
      </w:hyperlink>
      <w:r>
        <w:t xml:space="preserve">.</w:t>
      </w:r>
    </w:p>
    <w:bookmarkEnd w:id="121"/>
    <w:bookmarkStart w:id="123"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22">
        <w:r>
          <w:rPr>
            <w:rStyle w:val="Hyperlink"/>
          </w:rPr>
          <w:t xml:space="preserve">https://explore-education-statistics.service.gov.uk/find-statistics/the-link-between-absence-and-attainment-at-ks2-and-ks4/2018-19</w:t>
        </w:r>
      </w:hyperlink>
      <w:r>
        <w:t xml:space="preserve">.</w:t>
      </w:r>
    </w:p>
    <w:bookmarkEnd w:id="123"/>
    <w:bookmarkStart w:id="125"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24">
        <w:r>
          <w:rPr>
            <w:rStyle w:val="Hyperlink"/>
          </w:rPr>
          <w:t xml:space="preserve">https://www.gov.uk/government/publications/link-between-attendance-and-attainment</w:t>
        </w:r>
      </w:hyperlink>
      <w:r>
        <w:t xml:space="preserve">.</w:t>
      </w:r>
    </w:p>
    <w:bookmarkEnd w:id="125"/>
    <w:bookmarkStart w:id="127"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26">
        <w:r>
          <w:rPr>
            <w:rStyle w:val="Hyperlink"/>
          </w:rPr>
          <w:t xml:space="preserve">https://explore-education-statistics.service.gov.uk/find-statistics/pupil-absence-in-schools-in-england/2024-25-autumn-and-spring-term</w:t>
        </w:r>
      </w:hyperlink>
      <w:r>
        <w:t xml:space="preserve">.</w:t>
      </w:r>
    </w:p>
    <w:bookmarkEnd w:id="127"/>
    <w:bookmarkStart w:id="129"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28">
        <w:r>
          <w:rPr>
            <w:rStyle w:val="Hyperlink"/>
          </w:rPr>
          <w:t xml:space="preserve">https://www.gov.uk/government/publications/every-child-achieving-and-thriving/every-child-achieving-and-thriving-html-version</w:t>
        </w:r>
      </w:hyperlink>
      <w:r>
        <w:t xml:space="preserve">.</w:t>
      </w:r>
    </w:p>
    <w:bookmarkEnd w:id="129"/>
    <w:bookmarkStart w:id="131"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30">
        <w:r>
          <w:rPr>
            <w:rStyle w:val="Hyperlink"/>
          </w:rPr>
          <w:t xml:space="preserve">https://doi.org/10.1016/j.jth.2023.101605</w:t>
        </w:r>
      </w:hyperlink>
      <w:r>
        <w:t xml:space="preserve">.</w:t>
      </w:r>
    </w:p>
    <w:bookmarkEnd w:id="131"/>
    <w:bookmarkStart w:id="133"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32">
        <w:r>
          <w:rPr>
            <w:rStyle w:val="Hyperlink"/>
          </w:rPr>
          <w:t xml:space="preserve">https://doi.org/10.1002/berj.3992</w:t>
        </w:r>
      </w:hyperlink>
      <w:r>
        <w:t xml:space="preserve">.</w:t>
      </w:r>
    </w:p>
    <w:bookmarkEnd w:id="133"/>
    <w:bookmarkStart w:id="135"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34">
        <w:r>
          <w:rPr>
            <w:rStyle w:val="Hyperlink"/>
          </w:rPr>
          <w:t xml:space="preserve">https://doi.org/10.1093/ooec/odad029</w:t>
        </w:r>
      </w:hyperlink>
      <w:r>
        <w:t xml:space="preserve">.</w:t>
      </w:r>
    </w:p>
    <w:bookmarkEnd w:id="135"/>
    <w:bookmarkStart w:id="137"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36">
        <w:r>
          <w:rPr>
            <w:rStyle w:val="Hyperlink"/>
          </w:rPr>
          <w:t xml:space="preserve">https://doi.org/10.1186/1471-2458-13-1166</w:t>
        </w:r>
      </w:hyperlink>
      <w:r>
        <w:t xml:space="preserve">.</w:t>
      </w:r>
    </w:p>
    <w:bookmarkEnd w:id="137"/>
    <w:bookmarkStart w:id="139" w:name="ref-Fredriksen2004"/>
    <w:p>
      <w:pPr>
        <w:pStyle w:val="Bibliography"/>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38">
        <w:r>
          <w:rPr>
            <w:rStyle w:val="Hyperlink"/>
          </w:rPr>
          <w:t xml:space="preserve">https://doi.org/10.1111/j.1467-8624.2004.00655.x</w:t>
        </w:r>
      </w:hyperlink>
      <w:r>
        <w:t xml:space="preserve">.</w:t>
      </w:r>
    </w:p>
    <w:bookmarkEnd w:id="139"/>
    <w:bookmarkStart w:id="141"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40">
        <w:r>
          <w:rPr>
            <w:rStyle w:val="Hyperlink"/>
          </w:rPr>
          <w:t xml:space="preserve">https://cep.lse.ac.uk/_new/publications/abstract.asp?index=5752</w:t>
        </w:r>
      </w:hyperlink>
      <w:r>
        <w:t xml:space="preserve">.</w:t>
      </w:r>
    </w:p>
    <w:bookmarkEnd w:id="141"/>
    <w:bookmarkStart w:id="143"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42">
        <w:r>
          <w:rPr>
            <w:rStyle w:val="Hyperlink"/>
          </w:rPr>
          <w:t xml:space="preserve">https://doi.org/10.1002/berj.3297</w:t>
        </w:r>
      </w:hyperlink>
      <w:r>
        <w:t xml:space="preserve">.</w:t>
      </w:r>
    </w:p>
    <w:bookmarkEnd w:id="143"/>
    <w:bookmarkStart w:id="145"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44">
        <w:r>
          <w:rPr>
            <w:rStyle w:val="Hyperlink"/>
          </w:rPr>
          <w:t xml:space="preserve">https://doi.org/10.1177/2158244018825171</w:t>
        </w:r>
      </w:hyperlink>
      <w:r>
        <w:t xml:space="preserve">.</w:t>
      </w:r>
    </w:p>
    <w:bookmarkEnd w:id="145"/>
    <w:bookmarkStart w:id="147"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46">
        <w:r>
          <w:rPr>
            <w:rStyle w:val="Hyperlink"/>
          </w:rPr>
          <w:t xml:space="preserve">https://doi.org/10.3390/educsci15010006</w:t>
        </w:r>
      </w:hyperlink>
      <w:r>
        <w:t xml:space="preserve">.</w:t>
      </w:r>
    </w:p>
    <w:bookmarkEnd w:id="147"/>
    <w:bookmarkStart w:id="149"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48">
        <w:r>
          <w:rPr>
            <w:rStyle w:val="Hyperlink"/>
          </w:rPr>
          <w:t xml:space="preserve">https://opendocs.ids.ac.uk/articles/report/The_Contribution_of_Education_to_Economic_Growth/26453986/1</w:t>
        </w:r>
      </w:hyperlink>
      <w:r>
        <w:t xml:space="preserve">.</w:t>
      </w:r>
    </w:p>
    <w:bookmarkEnd w:id="149"/>
    <w:bookmarkStart w:id="151"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50">
        <w:r>
          <w:rPr>
            <w:rStyle w:val="Hyperlink"/>
          </w:rPr>
          <w:t xml:space="preserve">https://doi.org/10.1186/s12889-025-22861-7</w:t>
        </w:r>
      </w:hyperlink>
      <w:r>
        <w:t xml:space="preserve">.</w:t>
      </w:r>
    </w:p>
    <w:bookmarkEnd w:id="151"/>
    <w:bookmarkStart w:id="153" w:name="ref-houtepen_associations_2020"/>
    <w:p>
      <w:pPr>
        <w:pStyle w:val="Bibliography"/>
      </w:pPr>
      <w:r>
        <w:t xml:space="preserve">Houtepen, Lotte C., Jon Heron, Matthew J. Suderman, Abigail Fraser, Catherine R. Chittleborough, and Laura D. Howe. 2020.</w:t>
      </w:r>
      <w:r>
        <w:t xml:space="preserve"> </w:t>
      </w:r>
      <w:r>
        <w:t xml:space="preserve">“Associations of Adverse Childhood Experiences with Educational Attainment and Adolescent Health and the Role of Family and Socioeconomic Factors:</w:t>
      </w:r>
      <w:r>
        <w:t xml:space="preserve"> </w:t>
      </w:r>
      <w:r>
        <w:t xml:space="preserve">A</w:t>
      </w:r>
      <w:r>
        <w:t xml:space="preserve"> </w:t>
      </w:r>
      <w:r>
        <w:t xml:space="preserve">Prospective Cohort Study in the</w:t>
      </w:r>
      <w:r>
        <w:t xml:space="preserve"> </w:t>
      </w:r>
      <w:r>
        <w:t xml:space="preserve">UK</w:t>
      </w:r>
      <w:r>
        <w:t xml:space="preserve">.”</w:t>
      </w:r>
      <w:r>
        <w:t xml:space="preserve"> </w:t>
      </w:r>
      <w:r>
        <w:rPr>
          <w:i/>
          <w:iCs/>
        </w:rPr>
        <w:t xml:space="preserve">PLOS Medicine</w:t>
      </w:r>
      <w:r>
        <w:t xml:space="preserve"> </w:t>
      </w:r>
      <w:r>
        <w:t xml:space="preserve">17 (3): e1003031.</w:t>
      </w:r>
      <w:r>
        <w:t xml:space="preserve"> </w:t>
      </w:r>
      <w:hyperlink r:id="rId152">
        <w:r>
          <w:rPr>
            <w:rStyle w:val="Hyperlink"/>
          </w:rPr>
          <w:t xml:space="preserve">https://doi.org/10.1371/journal.pmed.1003031</w:t>
        </w:r>
      </w:hyperlink>
      <w:r>
        <w:t xml:space="preserve">.</w:t>
      </w:r>
    </w:p>
    <w:bookmarkEnd w:id="153"/>
    <w:bookmarkStart w:id="155"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54">
        <w:r>
          <w:rPr>
            <w:rStyle w:val="Hyperlink"/>
          </w:rPr>
          <w:t xml:space="preserve">https://doi.org/10.1016/j.psyneuen.2021.105371</w:t>
        </w:r>
      </w:hyperlink>
      <w:r>
        <w:t xml:space="preserve">.</w:t>
      </w:r>
    </w:p>
    <w:bookmarkEnd w:id="155"/>
    <w:bookmarkStart w:id="157"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56">
        <w:r>
          <w:rPr>
            <w:rStyle w:val="Hyperlink"/>
          </w:rPr>
          <w:t xml:space="preserve">https://www.nfer.ac.uk/publications/supporting-the-attainment-of-disadvantaged-pupils-articulating-success-and-good-practice/</w:t>
        </w:r>
      </w:hyperlink>
      <w:r>
        <w:t xml:space="preserve">.</w:t>
      </w:r>
    </w:p>
    <w:bookmarkEnd w:id="157"/>
    <w:bookmarkStart w:id="159"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58">
        <w:r>
          <w:rPr>
            <w:rStyle w:val="Hyperlink"/>
          </w:rPr>
          <w:t xml:space="preserve">https://doi.org/10.14324/LRE.21.1.20</w:t>
        </w:r>
      </w:hyperlink>
      <w:r>
        <w:t xml:space="preserve">.</w:t>
      </w:r>
    </w:p>
    <w:bookmarkEnd w:id="159"/>
    <w:bookmarkStart w:id="161" w:name="ref-Moore2026"/>
    <w:p>
      <w:pPr>
        <w:pStyle w:val="Bibliography"/>
      </w:pPr>
      <w:r>
        <w:t xml:space="preserve">Moore, Emma, Juan Manuel Del Pozo Segura, and Jenna Julius. 2026.</w:t>
      </w:r>
      <w:r>
        <w:t xml:space="preserve"> </w:t>
      </w:r>
      <w:r>
        <w:rPr>
          <w:i/>
          <w:iCs/>
        </w:rPr>
        <w:t xml:space="preserve">Understanding the Relationship Between Attendance, Wellbeing and Sense of Belonging</w:t>
      </w:r>
      <w:r>
        <w:t xml:space="preserve">. National Foundation for Educational Research.</w:t>
      </w:r>
      <w:r>
        <w:t xml:space="preserve"> </w:t>
      </w:r>
      <w:hyperlink r:id="rId160">
        <w:r>
          <w:rPr>
            <w:rStyle w:val="Hyperlink"/>
          </w:rPr>
          <w:t xml:space="preserve">https://www.nfer.ac.uk/publications/understanding-the-relationship-between-attendance-wellbeing-and-sense-of-belonging/</w:t>
        </w:r>
      </w:hyperlink>
      <w:r>
        <w:t xml:space="preserve">.</w:t>
      </w:r>
    </w:p>
    <w:bookmarkEnd w:id="161"/>
    <w:bookmarkStart w:id="163" w:name="ref-nakagawa_coefficient_2017"/>
    <w:p>
      <w:pPr>
        <w:pStyle w:val="Bibliography"/>
      </w:pPr>
      <w:r>
        <w:t xml:space="preserve">Nakagawa, Shinichi, Paul C. D. Johnson, and Holger Schielzeth. 2017.</w:t>
      </w:r>
      <w:r>
        <w:t xml:space="preserve"> </w:t>
      </w:r>
      <w:r>
        <w:t xml:space="preserve">“The Coefficient of Determination</w:t>
      </w:r>
      <w:r>
        <w:t xml:space="preserve"> </w:t>
      </w:r>
      <w:r>
        <w:t xml:space="preserve">R2</w:t>
      </w:r>
      <w:r>
        <w:t xml:space="preserve"> </w:t>
      </w:r>
      <w:r>
        <w:t xml:space="preserve">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62">
        <w:r>
          <w:rPr>
            <w:rStyle w:val="Hyperlink"/>
          </w:rPr>
          <w:t xml:space="preserve">https://doi.org/10.1098/rsif.2017.0213</w:t>
        </w:r>
      </w:hyperlink>
      <w:r>
        <w:t xml:space="preserve">.</w:t>
      </w:r>
    </w:p>
    <w:bookmarkEnd w:id="163"/>
    <w:bookmarkStart w:id="165" w:name="ref-nakagawa_general_2013"/>
    <w:p>
      <w:pPr>
        <w:pStyle w:val="Bibliography"/>
      </w:pPr>
      <w:r>
        <w:t xml:space="preserve">Nakagawa, Shinichi, and Holger Schielzeth. 2013.</w:t>
      </w:r>
      <w:r>
        <w:t xml:space="preserve"> </w:t>
      </w:r>
      <w:r>
        <w:t xml:space="preserve">“A General and Simple Method for Obtaining</w:t>
      </w:r>
      <w:r>
        <w:t xml:space="preserve"> </w:t>
      </w:r>
      <w:r>
        <w:t xml:space="preserve">R2</w:t>
      </w:r>
      <w:r>
        <w:t xml:space="preserve"> </w:t>
      </w:r>
      <w:r>
        <w:t xml:space="preserve">from Generalized Linear Mixed-Effects Models.”</w:t>
      </w:r>
      <w:r>
        <w:t xml:space="preserve"> </w:t>
      </w:r>
      <w:r>
        <w:rPr>
          <w:i/>
          <w:iCs/>
        </w:rPr>
        <w:t xml:space="preserve">Methods in Ecology and Evolution</w:t>
      </w:r>
      <w:r>
        <w:t xml:space="preserve"> </w:t>
      </w:r>
      <w:r>
        <w:t xml:space="preserve">4 (2): 133–42.</w:t>
      </w:r>
      <w:r>
        <w:t xml:space="preserve"> </w:t>
      </w:r>
      <w:hyperlink r:id="rId164">
        <w:r>
          <w:rPr>
            <w:rStyle w:val="Hyperlink"/>
          </w:rPr>
          <w:t xml:space="preserve">https://doi.org/10.1111/j.2041-210x.2012.00261.x</w:t>
        </w:r>
      </w:hyperlink>
      <w:r>
        <w:t xml:space="preserve">.</w:t>
      </w:r>
    </w:p>
    <w:bookmarkEnd w:id="165"/>
    <w:bookmarkStart w:id="167"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66">
        <w:r>
          <w:rPr>
            <w:rStyle w:val="Hyperlink"/>
          </w:rPr>
          <w:t xml:space="preserve">https://doi.org/10.1111/pcn.13714</w:t>
        </w:r>
      </w:hyperlink>
      <w:r>
        <w:t xml:space="preserve">.</w:t>
      </w:r>
    </w:p>
    <w:bookmarkEnd w:id="167"/>
    <w:bookmarkStart w:id="169"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68">
        <w:r>
          <w:rPr>
            <w:rStyle w:val="Hyperlink"/>
          </w:rPr>
          <w:t xml:space="preserve">https://doi.org/10.1265/ehpm.25-00290</w:t>
        </w:r>
      </w:hyperlink>
      <w:r>
        <w:t xml:space="preserve">.</w:t>
      </w:r>
    </w:p>
    <w:bookmarkEnd w:id="169"/>
    <w:bookmarkStart w:id="171"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70">
        <w:r>
          <w:rPr>
            <w:rStyle w:val="Hyperlink"/>
          </w:rPr>
          <w:t xml:space="preserve">https://doi.org/10.3109/07420528.2013.826238</w:t>
        </w:r>
      </w:hyperlink>
      <w:r>
        <w:t xml:space="preserve">.</w:t>
      </w:r>
    </w:p>
    <w:bookmarkEnd w:id="171"/>
    <w:bookmarkStart w:id="173"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72">
        <w:r>
          <w:rPr>
            <w:rStyle w:val="Hyperlink"/>
          </w:rPr>
          <w:t xml:space="preserve">https://doi.org/10.1007/s41105-017-0091-0</w:t>
        </w:r>
      </w:hyperlink>
      <w:r>
        <w:t xml:space="preserve">.</w:t>
      </w:r>
    </w:p>
    <w:bookmarkEnd w:id="173"/>
    <w:bookmarkStart w:id="175" w:name="ref-Rakesh2025"/>
    <w:p>
      <w:pPr>
        <w:pStyle w:val="Bibliography"/>
      </w:pPr>
      <w:r>
        <w:t xml:space="preserve">Rakesh, Divyangana, Paris Anne Lee, Amruta Gaikwad, and Katie A. McLaughlin. 2025.</w:t>
      </w:r>
      <w:r>
        <w:t xml:space="preserve"> </w:t>
      </w:r>
      <w:r>
        <w:t xml:space="preserve">“Annual</w:t>
      </w:r>
      <w:r>
        <w:t xml:space="preserve"> </w:t>
      </w:r>
      <w:r>
        <w:t xml:space="preserve">Research</w:t>
      </w:r>
      <w:r>
        <w:t xml:space="preserve"> </w:t>
      </w:r>
      <w:r>
        <w:t xml:space="preserve">Review</w:t>
      </w:r>
      <w:r>
        <w:t xml:space="preserve">:</w:t>
      </w:r>
      <w:r>
        <w:t xml:space="preserve"> </w:t>
      </w:r>
      <w:r>
        <w:t xml:space="preserve">Associations</w:t>
      </w:r>
      <w:r>
        <w:t xml:space="preserve"> </w:t>
      </w:r>
      <w:r>
        <w:t xml:space="preserve">of Socioeconomic Status with Cognitive Function, Language Ability, and Academic Achievement in Youth: A Systematic Review of Mechanisms and Protective Factors.”</w:t>
      </w:r>
      <w:r>
        <w:t xml:space="preserve"> </w:t>
      </w:r>
      <w:r>
        <w:rPr>
          <w:i/>
          <w:iCs/>
        </w:rPr>
        <w:t xml:space="preserve">Journal of Child Psychology and Psychiatry</w:t>
      </w:r>
      <w:r>
        <w:t xml:space="preserve"> </w:t>
      </w:r>
      <w:r>
        <w:t xml:space="preserve">66 (4): 417–39.</w:t>
      </w:r>
      <w:r>
        <w:t xml:space="preserve"> </w:t>
      </w:r>
      <w:hyperlink r:id="rId174">
        <w:r>
          <w:rPr>
            <w:rStyle w:val="Hyperlink"/>
          </w:rPr>
          <w:t xml:space="preserve">https://doi.org/10.1111/jcpp.14082</w:t>
        </w:r>
      </w:hyperlink>
      <w:r>
        <w:t xml:space="preserve">.</w:t>
      </w:r>
    </w:p>
    <w:bookmarkEnd w:id="175"/>
    <w:bookmarkStart w:id="177"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76">
        <w:r>
          <w:rPr>
            <w:rStyle w:val="Hyperlink"/>
          </w:rPr>
          <w:t xml:space="preserve">https://www.gov.uk/government/publications/against-the-odds</w:t>
        </w:r>
      </w:hyperlink>
      <w:r>
        <w:t xml:space="preserve">.</w:t>
      </w:r>
    </w:p>
    <w:bookmarkEnd w:id="177"/>
    <w:bookmarkStart w:id="179"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78">
        <w:r>
          <w:rPr>
            <w:rStyle w:val="Hyperlink"/>
          </w:rPr>
          <w:t xml:space="preserve">https://www.gov.uk/government/publications/examining-the-london-advantage-in-attainment-evidence-from-lsype</w:t>
        </w:r>
      </w:hyperlink>
      <w:r>
        <w:t xml:space="preserve">.</w:t>
      </w:r>
    </w:p>
    <w:bookmarkEnd w:id="179"/>
    <w:bookmarkStart w:id="181" w:name="ref-Shah2023"/>
    <w:p>
      <w:pPr>
        <w:pStyle w:val="Bibliography"/>
      </w:pPr>
      <w:r>
        <w:t xml:space="preserve">Shah, Kajal B. 2023.</w:t>
      </w:r>
      <w:r>
        <w:t xml:space="preserve"> </w:t>
      </w:r>
      <w:r>
        <w:t xml:space="preserve">“Traversing the</w:t>
      </w:r>
      <w:r>
        <w:t xml:space="preserve"> </w:t>
      </w:r>
      <w:r>
        <w:t xml:space="preserve">City</w:t>
      </w:r>
      <w:r>
        <w:t xml:space="preserve">:</w:t>
      </w:r>
      <w:r>
        <w:t xml:space="preserve"> </w:t>
      </w:r>
      <w:r>
        <w:t xml:space="preserve">Examining</w:t>
      </w:r>
      <w:r>
        <w:t xml:space="preserve"> </w:t>
      </w:r>
      <w:r>
        <w:t xml:space="preserve">the</w:t>
      </w:r>
      <w:r>
        <w:t xml:space="preserve"> </w:t>
      </w:r>
      <w:r>
        <w:t xml:space="preserve">Impacts</w:t>
      </w:r>
      <w:r>
        <w:t xml:space="preserve"> </w:t>
      </w:r>
      <w:r>
        <w:t xml:space="preserve">of</w:t>
      </w:r>
      <w:r>
        <w:t xml:space="preserve"> </w:t>
      </w:r>
      <w:r>
        <w:t xml:space="preserve">Extended</w:t>
      </w:r>
      <w:r>
        <w:t xml:space="preserve"> </w:t>
      </w:r>
      <w:r>
        <w:t xml:space="preserve">Commute</w:t>
      </w:r>
      <w:r>
        <w:t xml:space="preserve"> </w:t>
      </w:r>
      <w:r>
        <w:t xml:space="preserve">on</w:t>
      </w:r>
      <w:r>
        <w:t xml:space="preserve"> </w:t>
      </w:r>
      <w:r>
        <w:t xml:space="preserve">Student</w:t>
      </w:r>
      <w:r>
        <w:t xml:space="preserve"> </w:t>
      </w:r>
      <w:r>
        <w:t xml:space="preserve">Wellbeing</w:t>
      </w:r>
      <w:r>
        <w:t xml:space="preserve"> </w:t>
      </w:r>
      <w:r>
        <w:t xml:space="preserve">&amp;</w:t>
      </w:r>
      <w:r>
        <w:t xml:space="preserve"> </w:t>
      </w:r>
      <w:r>
        <w:t xml:space="preserve">High</w:t>
      </w:r>
      <w:r>
        <w:t xml:space="preserve"> </w:t>
      </w:r>
      <w:r>
        <w:t xml:space="preserve">School</w:t>
      </w:r>
      <w:r>
        <w:t xml:space="preserve"> </w:t>
      </w:r>
      <w:r>
        <w:t xml:space="preserve">Experience</w:t>
      </w:r>
      <w:r>
        <w:t xml:space="preserve"> </w:t>
      </w:r>
      <w:r>
        <w:t xml:space="preserve">in</w:t>
      </w:r>
      <w:r>
        <w:t xml:space="preserve"> </w:t>
      </w:r>
      <w:r>
        <w:t xml:space="preserve">Chicago</w:t>
      </w:r>
      <w:r>
        <w:t xml:space="preserve">.”</w:t>
      </w:r>
      <w:r>
        <w:t xml:space="preserve"> </w:t>
      </w:r>
      <w:r>
        <w:t xml:space="preserve">Master’s thesis, University of Chicago.</w:t>
      </w:r>
      <w:r>
        <w:t xml:space="preserve"> </w:t>
      </w:r>
      <w:hyperlink r:id="rId180">
        <w:r>
          <w:rPr>
            <w:rStyle w:val="Hyperlink"/>
          </w:rPr>
          <w:t xml:space="preserve">https://knowledge.uchicago.edu/record/7216</w:t>
        </w:r>
      </w:hyperlink>
      <w:r>
        <w:t xml:space="preserve">.</w:t>
      </w:r>
    </w:p>
    <w:bookmarkEnd w:id="181"/>
    <w:bookmarkStart w:id="182"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82"/>
    <w:bookmarkStart w:id="184" w:name="ref-Stein2021"/>
    <w:p>
      <w:pPr>
        <w:pStyle w:val="Bibliography"/>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83">
        <w:r>
          <w:rPr>
            <w:rStyle w:val="Hyperlink"/>
          </w:rPr>
          <w:t xml:space="preserve">https://doi.org/10.3102/0013189X20949504</w:t>
        </w:r>
      </w:hyperlink>
      <w:r>
        <w:t xml:space="preserve">.</w:t>
      </w:r>
    </w:p>
    <w:bookmarkEnd w:id="184"/>
    <w:bookmarkStart w:id="186"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85">
        <w:r>
          <w:rPr>
            <w:rStyle w:val="Hyperlink"/>
          </w:rPr>
          <w:t xml:space="preserve">https://doi.org/10.1080/01425692.2025.2474040</w:t>
        </w:r>
      </w:hyperlink>
      <w:r>
        <w:t xml:space="preserve">.</w:t>
      </w:r>
    </w:p>
    <w:bookmarkEnd w:id="186"/>
    <w:bookmarkStart w:id="188"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87">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88"/>
    <w:bookmarkStart w:id="190"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89">
        <w:r>
          <w:rPr>
            <w:rStyle w:val="Hyperlink"/>
          </w:rPr>
          <w:t xml:space="preserve">https://doi.org/10.1007/978-3-031-98300-9_17</w:t>
        </w:r>
      </w:hyperlink>
      <w:r>
        <w:t xml:space="preserve">.</w:t>
      </w:r>
    </w:p>
    <w:bookmarkEnd w:id="190"/>
    <w:bookmarkStart w:id="192"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91">
        <w:r>
          <w:rPr>
            <w:rStyle w:val="Hyperlink"/>
          </w:rPr>
          <w:t xml:space="preserve">https://ffteducationdatalab.org.uk/2023/11/are-pupils-who-live-further-away-from-their-school-absent-more-often/</w:t>
        </w:r>
      </w:hyperlink>
      <w:r>
        <w:t xml:space="preserve">.</w:t>
      </w:r>
    </w:p>
    <w:bookmarkEnd w:id="192"/>
    <w:bookmarkStart w:id="194"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93">
        <w:r>
          <w:rPr>
            <w:rStyle w:val="Hyperlink"/>
          </w:rPr>
          <w:t xml:space="preserve">https://epi.org.uk/annual-report-2023/</w:t>
        </w:r>
      </w:hyperlink>
      <w:r>
        <w:t xml:space="preserve">.</w:t>
      </w:r>
    </w:p>
    <w:bookmarkEnd w:id="194"/>
    <w:bookmarkStart w:id="196"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195">
        <w:r>
          <w:rPr>
            <w:rStyle w:val="Hyperlink"/>
          </w:rPr>
          <w:t xml:space="preserve">https://doi.org/10.1177/0739456X17725148</w:t>
        </w:r>
      </w:hyperlink>
      <w:r>
        <w:t xml:space="preserve">.</w:t>
      </w:r>
    </w:p>
    <w:bookmarkEnd w:id="196"/>
    <w:bookmarkStart w:id="198"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97">
        <w:r>
          <w:rPr>
            <w:rStyle w:val="Hyperlink"/>
          </w:rPr>
          <w:t xml:space="preserve">https://doi.org/10.1016/j.sleep.2018.10.041</w:t>
        </w:r>
      </w:hyperlink>
      <w:r>
        <w:t xml:space="preserve">.</w:t>
      </w:r>
    </w:p>
    <w:bookmarkEnd w:id="198"/>
    <w:bookmarkStart w:id="200"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99">
        <w:r>
          <w:rPr>
            <w:rStyle w:val="Hyperlink"/>
          </w:rPr>
          <w:t xml:space="preserve">https://epi.org.uk/publications-and-research/the-influence-of-headteachers-on-their-schools/</w:t>
        </w:r>
      </w:hyperlink>
      <w:r>
        <w:t xml:space="preserve">.</w:t>
      </w:r>
    </w:p>
    <w:bookmarkEnd w:id="200"/>
    <w:bookmarkEnd w:id="201"/>
    <w:bookmarkEnd w:id="202"/>
    <w:sectPr w:rsidR="007C468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https://osf.io/x82j3/overview</w:t>
        </w:r>
      </w:hyperlink>
      <w:r>
        <w:t xml:space="preserve"> </w:t>
      </w:r>
      <w:r>
        <w:t xml:space="preserve">(see `about.html` in `supplementary.zip`)</w:t>
      </w:r>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21">
        <w:r>
          <w:rPr>
            <w:rStyle w:val="Hyperlink"/>
          </w:rPr>
          <w:t xml:space="preserve">https://osf.io/x82j3/overview (see `index.html` in `supplementary.zip`)</w:t>
        </w:r>
      </w:hyperlink>
      <w:r>
        <w:t xml:space="preserve"> </w:t>
      </w:r>
      <w:r>
        <w:t xml:space="preserve">- with links through to the source code on Github.</w:t>
      </w:r>
    </w:p>
  </w:footnote>
  <w:footnote w:id="30">
    <w:p>
      <w:pPr>
        <w:pStyle w:val="FootnoteText"/>
      </w:pPr>
      <w:r>
        <w:rPr>
          <w:rStyle w:val="FootnoteReference"/>
        </w:rPr>
        <w:footnoteRef/>
      </w:r>
      <w:r>
        <w:t xml:space="preserve"> </w:t>
      </w:r>
      <w:r>
        <w:t xml:space="preserve">missing data and imputation:</w:t>
      </w:r>
      <w:r>
        <w:t xml:space="preserve"> </w:t>
      </w:r>
      <w:hyperlink r:id="rId21">
        <w:r>
          <w:rPr>
            <w:rStyle w:val="Hyperlink"/>
          </w:rPr>
          <w:t xml:space="preserve">https://osf.io/x82j3/overview (see `data_overview.html#missing-data` in `supplementary.zip`)</w:t>
        </w:r>
      </w:hyperlink>
    </w:p>
  </w:footnote>
  <w:footnote w:id="32">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33">
    <w:p>
      <w:pPr>
        <w:pStyle w:val="FootnoteText"/>
      </w:pPr>
      <w:r>
        <w:rPr>
          <w:rStyle w:val="FootnoteReference"/>
        </w:rPr>
        <w:footnoteRef/>
      </w:r>
      <w:r>
        <w:t xml:space="preserve"> </w:t>
      </w:r>
      <w:r>
        <w:t xml:space="preserve">Department for Education,</w:t>
      </w:r>
      <w:r>
        <w:t xml:space="preserve"> </w:t>
      </w:r>
      <w:r>
        <w:rPr>
          <w:i/>
          <w:iCs/>
        </w:rPr>
        <w:t xml:space="preserve">Key stage 4 performance</w:t>
      </w:r>
      <w:r>
        <w:t xml:space="preserve">:</w:t>
      </w:r>
      <w:r>
        <w:t xml:space="preserve"> </w:t>
      </w:r>
      <w:r>
        <w:t xml:space="preserve">“It is not possible to calculate Progress 8 for academic years 2024/25 and 2025/26. This is because there is no KS2 prior attainment data available to use to calculate Progress 8 when the relevant cohorts reach the end of KS4 as primary tests and assessments were cancelled in academic years 2019/20 and 2020/21 due to COVID-19 disruption.”</w:t>
      </w:r>
      <w:r>
        <w:t xml:space="preserve"> </w:t>
      </w:r>
      <w:hyperlink r:id="rId34">
        <w:r>
          <w:rPr>
            <w:rStyle w:val="Hyperlink"/>
          </w:rPr>
          <w:t xml:space="preserve">https://explore-education-statistics.service.gov.uk/find-statistics/key-stage-4-performance</w:t>
        </w:r>
      </w:hyperlink>
    </w:p>
  </w:footnote>
  <w:footnote w:id="44">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5">
    <w:p>
      <w:pPr>
        <w:pStyle w:val="FootnoteText"/>
      </w:pPr>
      <w:r>
        <w:rPr>
          <w:rStyle w:val="FootnoteReference"/>
        </w:rPr>
        <w:footnoteRef/>
      </w:r>
      <w:r>
        <w:t xml:space="preserve"> </w:t>
      </w:r>
      <w:r>
        <w:t xml:space="preserve">Stepwise Models for all pupil groups</w:t>
      </w:r>
      <w:r>
        <w:t xml:space="preserve"> </w:t>
      </w:r>
      <w:hyperlink r:id="rId21">
        <w:r>
          <w:rPr>
            <w:rStyle w:val="Hyperlink"/>
          </w:rPr>
          <w:t xml:space="preserve">https://osf.io/x82j3/overview (see `model_results.html#stepwise-model-building` in `supplementary.zip`)</w:t>
        </w:r>
      </w:hyperlink>
    </w:p>
  </w:footnote>
  <w:footnote w:id="46">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9">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0">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1">
        <w:r>
          <w:rPr>
            <w:rStyle w:val="Hyperlink"/>
          </w:rPr>
          <w:t xml:space="preserve">https://democracy.brighton-hove.gov.uk/documents/s205834/School%20Admission%20Arrangements%202026-27.pdf</w:t>
        </w:r>
      </w:hyperlink>
      <w:r>
        <w:t xml:space="preserve">.</w:t>
      </w:r>
    </w:p>
  </w:footnote>
  <w:footnote w:id="52">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3">
        <w:r>
          <w:rPr>
            <w:rStyle w:val="Hyperlink"/>
          </w:rPr>
          <w:t xml:space="preserve">https://yourvoice.brighton-hove.gov.uk/en-GB/projects/school-admission-arrangements-public-consultation/1</w:t>
        </w:r>
      </w:hyperlink>
      <w:r>
        <w:t xml:space="preserve">.</w:t>
      </w:r>
    </w:p>
  </w:footnote>
  <w:footnote w:id="54">
    <w:p>
      <w:pPr>
        <w:pStyle w:val="FootnoteText"/>
      </w:pPr>
      <w:r>
        <w:rPr>
          <w:rStyle w:val="FootnoteReference"/>
        </w:rPr>
        <w:footnoteRef/>
      </w:r>
      <w:r>
        <w:t xml:space="preserve"> </w:t>
      </w:r>
      <w:hyperlink r:id="rId55">
        <w:r>
          <w:rPr>
            <w:rStyle w:val="Hyperlink"/>
          </w:rPr>
          <w:t xml:space="preserve">https://www.brighton-hove.gov.uk/schools-and-learning/school-policies-reports-strategies-and-other-documents/better-outcomes-better-lives-brighton-hoves-strategy-tackling-educational-disadvantage</w:t>
        </w:r>
      </w:hyperlink>
    </w:p>
  </w:footnote>
  <w:footnote w:id="77">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21">
        <w:r>
          <w:rPr>
            <w:rStyle w:val="Hyperlink"/>
          </w:rPr>
          <w:t xml:space="preserve">https://osf.io/x82j3/overview (see `model_experiments.html#sec-two-stage-absence` in `supplementary.zip`)</w:t>
        </w:r>
      </w:hyperlink>
    </w:p>
  </w:footnote>
  <w:footnote w:id="84">
    <w:p>
      <w:pPr>
        <w:pStyle w:val="FootnoteText"/>
      </w:pPr>
      <w:r>
        <w:rPr>
          <w:rStyle w:val="FootnoteReference"/>
        </w:rPr>
        <w:footnoteRef/>
      </w:r>
      <w:r>
        <w:t xml:space="preserve"> </w:t>
      </w:r>
      <w:r>
        <w:t xml:space="preserve">Brighton and Hove Council 2024 Consultation Papers:</w:t>
      </w:r>
      <w:r>
        <w:t xml:space="preserve"> </w:t>
      </w:r>
      <w:hyperlink r:id="rId53">
        <w:r>
          <w:rPr>
            <w:rStyle w:val="Hyperlink"/>
          </w:rPr>
          <w:t xml:space="preserve">https://yourvoice.brighton-hove.gov.uk/en-GB/projects/school-admission-arrangements-public-consultation/1</w:t>
        </w:r>
      </w:hyperlink>
    </w:p>
  </w:footnote>
  <w:footnote w:id="86">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0">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1">
        <w:r>
          <w:rPr>
            <w:rStyle w:val="Hyperlink"/>
          </w:rPr>
          <w:t xml:space="preserve">https://democracy.brighton-hove.gov.uk/documents/s205834/School%20Admission%20Arrangements%202026-27.pdf</w:t>
        </w:r>
      </w:hyperlink>
      <w:r>
        <w:t xml:space="preserve">.</w:t>
      </w:r>
    </w:p>
  </w:footnote>
  <w:footnote w:id="87">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3">
        <w:r>
          <w:rPr>
            <w:rStyle w:val="Hyperlink"/>
          </w:rPr>
          <w:t xml:space="preserve">https://yourvoice.brighton-hove.gov.uk/en-GB/projects/school-admission-arrangements-public-consultation/1</w:t>
        </w:r>
      </w:hyperlink>
      <w:r>
        <w:t xml:space="preserve">.</w:t>
      </w:r>
    </w:p>
  </w:footnote>
  <w:footnote w:id="90">
    <w:p>
      <w:pPr>
        <w:pStyle w:val="FootnoteText"/>
      </w:pPr>
      <w:r>
        <w:rPr>
          <w:rStyle w:val="FootnoteReference"/>
        </w:rPr>
        <w:footnoteRef/>
      </w:r>
      <w:r>
        <w:t xml:space="preserve"> </w:t>
      </w:r>
      <w:hyperlink r:id="rId91">
        <w:r>
          <w:rPr>
            <w:rStyle w:val="Hyperlink"/>
          </w:rPr>
          <w:t xml:space="preserve">https://reports.ofsted.gov.uk/provider/23/136164</w:t>
        </w:r>
      </w:hyperlink>
    </w:p>
  </w:footnote>
  <w:footnote w:id="93">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0">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1">
        <w:r>
          <w:rPr>
            <w:rStyle w:val="Hyperlink"/>
          </w:rPr>
          <w:t xml:space="preserve">https://democracy.brighton-hove.gov.uk/documents/s205834/School%20Admission%20Arrangements%202026-27.pdf</w:t>
        </w:r>
      </w:hyperlink>
      <w:r>
        <w:t xml:space="preserve">.</w:t>
      </w:r>
    </w:p>
  </w:footnote>
  <w:footnote w:id="96">
    <w:p>
      <w:pPr>
        <w:pStyle w:val="FootnoteText"/>
      </w:pPr>
      <w:r>
        <w:rPr>
          <w:rStyle w:val="FootnoteReference"/>
        </w:rPr>
        <w:footnoteRef/>
      </w:r>
      <w:r>
        <w:t xml:space="preserve"> </w:t>
      </w:r>
      <w:r>
        <w:t xml:space="preserve">School Attainment Policy Simulator:</w:t>
      </w:r>
      <w:r>
        <w:t xml:space="preserve"> </w:t>
      </w:r>
      <w:hyperlink r:id="rId97">
        <w:r>
          <w:rPr>
            <w:rStyle w:val="Hyperlink"/>
          </w:rPr>
          <w:t xml:space="preserve">https://adam-dennett.shinyapps.io/School_Attainment_Policy_Simulator/</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9AC26D7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2">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3">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6">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7">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8">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9">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20">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43349035" w:numId="1">
    <w:abstractNumId w:val="11"/>
  </w:num>
  <w:num w16cid:durableId="715008937" w:numId="2">
    <w:abstractNumId w:val="16"/>
  </w:num>
  <w:num w16cid:durableId="90863085" w:numId="3">
    <w:abstractNumId w:val="20"/>
  </w:num>
  <w:num w16cid:durableId="285892989" w:numId="4">
    <w:abstractNumId w:val="1"/>
  </w:num>
  <w:num w16cid:durableId="1889688008" w:numId="5">
    <w:abstractNumId w:val="2"/>
  </w:num>
  <w:num w16cid:durableId="1659188007" w:numId="6">
    <w:abstractNumId w:val="3"/>
  </w:num>
  <w:num w16cid:durableId="1748379258" w:numId="7">
    <w:abstractNumId w:val="4"/>
  </w:num>
  <w:num w16cid:durableId="1522279981" w:numId="8">
    <w:abstractNumId w:val="9"/>
  </w:num>
  <w:num w16cid:durableId="1846019313" w:numId="9">
    <w:abstractNumId w:val="5"/>
  </w:num>
  <w:num w16cid:durableId="1511069277" w:numId="10">
    <w:abstractNumId w:val="7"/>
  </w:num>
  <w:num w16cid:durableId="522597845" w:numId="11">
    <w:abstractNumId w:val="6"/>
  </w:num>
  <w:num w16cid:durableId="1183083884" w:numId="12">
    <w:abstractNumId w:val="10"/>
  </w:num>
  <w:num w16cid:durableId="1310789798" w:numId="13">
    <w:abstractNumId w:val="8"/>
  </w:num>
  <w:num w16cid:durableId="530187866" w:numId="14">
    <w:abstractNumId w:val="18"/>
  </w:num>
  <w:num w16cid:durableId="967275065" w:numId="15">
    <w:abstractNumId w:val="21"/>
  </w:num>
  <w:num w16cid:durableId="1562205318" w:numId="16">
    <w:abstractNumId w:val="15"/>
  </w:num>
  <w:num w16cid:durableId="18243480" w:numId="17">
    <w:abstractNumId w:val="17"/>
  </w:num>
  <w:num w16cid:durableId="148324002" w:numId="18">
    <w:abstractNumId w:val="12"/>
  </w:num>
  <w:num w16cid:durableId="1065106568" w:numId="19">
    <w:abstractNumId w:val="0"/>
  </w:num>
  <w:num w16cid:durableId="452943983" w:numId="20">
    <w:abstractNumId w:val="13"/>
  </w:num>
  <w:num w16cid:durableId="518197463" w:numId="21">
    <w:abstractNumId w:val="19"/>
  </w:num>
  <w:num w16cid:durableId="517695458" w:numId="22">
    <w:abstractNumId w:val="22"/>
  </w:num>
  <w:num w16cid:durableId="478576357" w:numId="23">
    <w:abstractNumId w:val="23"/>
  </w:num>
  <w:num w16cid:durableId="1353457913" w:numId="24">
    <w:abstractNumId w:val="14"/>
  </w:num>
  <w:num w16cid:durableId="1522280334" w:numId="25">
    <w:abstractNumId w:val="2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linkStyles/>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60CA6"/>
    <w:rsid w:val="000F697D"/>
    <w:rsid w:val="00162B3B"/>
    <w:rsid w:val="001A76D3"/>
    <w:rsid w:val="00302154"/>
    <w:rsid w:val="00303AF6"/>
    <w:rsid w:val="003E124A"/>
    <w:rsid w:val="00413CD7"/>
    <w:rsid w:val="00413EAF"/>
    <w:rsid w:val="00440721"/>
    <w:rsid w:val="00491C3B"/>
    <w:rsid w:val="006440C5"/>
    <w:rsid w:val="00660CA6"/>
    <w:rsid w:val="006B1605"/>
    <w:rsid w:val="006B1EF0"/>
    <w:rsid w:val="006E261F"/>
    <w:rsid w:val="00751895"/>
    <w:rsid w:val="0078047F"/>
    <w:rsid w:val="007C4687"/>
    <w:rsid w:val="00856D00"/>
    <w:rsid w:val="00861632"/>
    <w:rsid w:val="00A44957"/>
    <w:rsid w:val="00A50E66"/>
    <w:rsid w:val="00A96273"/>
    <w:rsid w:val="00B25936"/>
    <w:rsid w:val="00B6371F"/>
    <w:rsid w:val="00B8250B"/>
    <w:rsid w:val="00BE31E9"/>
    <w:rsid w:val="00C545A6"/>
    <w:rsid w:val="00C71E44"/>
    <w:rsid w:val="00D05A8B"/>
    <w:rsid w:val="00D5127C"/>
    <w:rsid w:val="00D62C5E"/>
    <w:rsid w:val="00EB2F3C"/>
    <w:rsid w:val="00EC7E12"/>
    <w:rsid w:val="00FF7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61F"/>
    <w:pPr>
      <w:spacing w:after="0" w:line="480" w:lineRule="auto"/>
    </w:pPr>
    <w:rPr>
      <w:rFonts w:ascii="Times New Roman" w:cs="Times New Roman" w:eastAsia="Times New Roman" w:hAnsi="Times New Roman"/>
      <w:lang w:eastAsia="en-GB" w:val="en-GB"/>
    </w:rPr>
  </w:style>
  <w:style w:styleId="Heading1" w:type="paragraph">
    <w:name w:val="heading 1"/>
    <w:basedOn w:val="Normal"/>
    <w:next w:val="Paragraph"/>
    <w:link w:val="Heading1Char"/>
    <w:qFormat/>
    <w:rsid w:val="006E261F"/>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6E261F"/>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6E261F"/>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6E261F"/>
    <w:pPr>
      <w:spacing w:before="360"/>
      <w:outlineLvl w:val="3"/>
    </w:pPr>
    <w:rPr>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unhideWhenUsed/>
    <w:rsid w:val="006E261F"/>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rsid w:val="006E261F"/>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Keywords"/>
    <w:qFormat/>
    <w:rsid w:val="006E261F"/>
    <w:pPr>
      <w:spacing w:after="300" w:before="360" w:line="360" w:lineRule="auto"/>
      <w:ind w:left="720" w:right="567"/>
    </w:pPr>
    <w:rPr>
      <w:sz w:val="22"/>
    </w:rPr>
  </w:style>
  <w:style w:styleId="Bibliography" w:type="paragraph">
    <w:name w:val="Bibliography"/>
    <w:basedOn w:val="Normal"/>
    <w:qFormat/>
  </w:style>
  <w:style w:customStyle="1" w:styleId="Heading1Char" w:type="character">
    <w:name w:val="Heading 1 Char"/>
    <w:basedOn w:val="DefaultParagraphFont"/>
    <w:link w:val="Heading1"/>
    <w:rsid w:val="006E261F"/>
    <w:rPr>
      <w:rFonts w:ascii="Times New Roman" w:cs="Arial" w:eastAsia="Times New Roman" w:hAnsi="Times New Roman"/>
      <w:b/>
      <w:bCs/>
      <w:kern w:val="32"/>
      <w:szCs w:val="32"/>
      <w:lang w:eastAsia="en-GB" w:val="en-GB"/>
    </w:rPr>
  </w:style>
  <w:style w:customStyle="1" w:styleId="Heading2Char" w:type="character">
    <w:name w:val="Heading 2 Char"/>
    <w:basedOn w:val="DefaultParagraphFont"/>
    <w:link w:val="Heading2"/>
    <w:rsid w:val="006E261F"/>
    <w:rPr>
      <w:rFonts w:ascii="Times New Roman" w:cs="Arial" w:eastAsia="Times New Roman" w:hAnsi="Times New Roman"/>
      <w:b/>
      <w:bCs/>
      <w:i/>
      <w:iCs/>
      <w:szCs w:val="28"/>
      <w:lang w:eastAsia="en-GB" w:val="en-GB"/>
    </w:rPr>
  </w:style>
  <w:style w:customStyle="1" w:styleId="Heading3Char" w:type="character">
    <w:name w:val="Heading 3 Char"/>
    <w:basedOn w:val="DefaultParagraphFont"/>
    <w:link w:val="Heading3"/>
    <w:rsid w:val="006E261F"/>
    <w:rPr>
      <w:rFonts w:ascii="Times New Roman" w:cs="Arial" w:eastAsia="Times New Roman" w:hAnsi="Times New Roman"/>
      <w:bCs/>
      <w:i/>
      <w:szCs w:val="26"/>
      <w:lang w:eastAsia="en-GB" w:val="en-GB"/>
    </w:rPr>
  </w:style>
  <w:style w:customStyle="1" w:styleId="Heading4Char" w:type="character">
    <w:name w:val="Heading 4 Char"/>
    <w:basedOn w:val="DefaultParagraphFont"/>
    <w:link w:val="Heading4"/>
    <w:rsid w:val="006E261F"/>
    <w:rPr>
      <w:rFonts w:ascii="Times New Roman" w:cs="Times New Roman" w:eastAsia="Times New Roman" w:hAnsi="Times New Roman"/>
      <w:bCs/>
      <w:szCs w:val="28"/>
      <w:lang w:eastAsia="en-GB" w:val="en-GB"/>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autoRedefine/>
    <w:rsid w:val="006E261F"/>
    <w:pPr>
      <w:ind w:hanging="284" w:left="284"/>
    </w:pPr>
    <w:rPr>
      <w:sz w:val="22"/>
      <w:szCs w:val="20"/>
    </w:rPr>
  </w:style>
  <w:style w:customStyle="1" w:styleId="FootnoteBlockText" w:type="paragraph">
    <w:name w:val="Footnote Block Text"/>
    <w:basedOn w:val="FootnoteText"/>
    <w:next w:val="FootnoteText"/>
    <w:uiPriority w:val="9"/>
    <w:unhideWhenUsed/>
    <w:qFormat/>
    <w:pPr>
      <w:spacing w:after="100" w:before="100"/>
      <w:ind w:firstLine="0"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DefaultParagraphFont"/>
    <w:rsid w:val="006E261F"/>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Articletitle" w:type="paragraph">
    <w:name w:val="Article title"/>
    <w:basedOn w:val="Normal"/>
    <w:next w:val="Normal"/>
    <w:qFormat/>
    <w:rsid w:val="006E261F"/>
    <w:pPr>
      <w:spacing w:after="120" w:line="360" w:lineRule="auto"/>
    </w:pPr>
    <w:rPr>
      <w:b/>
      <w:sz w:val="28"/>
    </w:rPr>
  </w:style>
  <w:style w:customStyle="1" w:styleId="Authornames" w:type="paragraph">
    <w:name w:val="Author names"/>
    <w:basedOn w:val="Normal"/>
    <w:next w:val="Normal"/>
    <w:qFormat/>
    <w:rsid w:val="006E261F"/>
    <w:pPr>
      <w:spacing w:before="240" w:line="360" w:lineRule="auto"/>
    </w:pPr>
    <w:rPr>
      <w:sz w:val="28"/>
    </w:rPr>
  </w:style>
  <w:style w:customStyle="1" w:styleId="Affiliation" w:type="paragraph">
    <w:name w:val="Affiliation"/>
    <w:basedOn w:val="Normal"/>
    <w:qFormat/>
    <w:rsid w:val="006E261F"/>
    <w:pPr>
      <w:spacing w:before="240" w:line="360" w:lineRule="auto"/>
    </w:pPr>
    <w:rPr>
      <w:i/>
    </w:rPr>
  </w:style>
  <w:style w:customStyle="1" w:styleId="Receiveddates" w:type="paragraph">
    <w:name w:val="Received dates"/>
    <w:basedOn w:val="Affiliation"/>
    <w:next w:val="Normal"/>
    <w:qFormat/>
    <w:rsid w:val="006E261F"/>
  </w:style>
  <w:style w:customStyle="1" w:styleId="Keywords" w:type="paragraph">
    <w:name w:val="Keywords"/>
    <w:basedOn w:val="Normal"/>
    <w:next w:val="Paragraph"/>
    <w:qFormat/>
    <w:rsid w:val="006E261F"/>
    <w:pPr>
      <w:spacing w:after="240" w:before="240" w:line="360" w:lineRule="auto"/>
      <w:ind w:left="720" w:right="567"/>
    </w:pPr>
    <w:rPr>
      <w:sz w:val="22"/>
    </w:rPr>
  </w:style>
  <w:style w:customStyle="1" w:styleId="Correspondencedetails" w:type="paragraph">
    <w:name w:val="Correspondence details"/>
    <w:basedOn w:val="Normal"/>
    <w:qFormat/>
    <w:rsid w:val="006E261F"/>
    <w:pPr>
      <w:spacing w:before="240" w:line="360" w:lineRule="auto"/>
    </w:pPr>
  </w:style>
  <w:style w:customStyle="1" w:styleId="Displayedquotation" w:type="paragraph">
    <w:name w:val="Displayed quotation"/>
    <w:basedOn w:val="Normal"/>
    <w:qFormat/>
    <w:rsid w:val="006E261F"/>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6E261F"/>
    <w:pPr>
      <w:widowControl/>
      <w:numPr>
        <w:numId w:val="14"/>
      </w:numPr>
      <w:spacing w:after="240"/>
      <w:contextualSpacing/>
    </w:pPr>
  </w:style>
  <w:style w:customStyle="1" w:styleId="Displayedequation" w:type="paragraph">
    <w:name w:val="Displayed equation"/>
    <w:basedOn w:val="Normal"/>
    <w:next w:val="Paragraph"/>
    <w:qFormat/>
    <w:rsid w:val="006E261F"/>
    <w:pPr>
      <w:tabs>
        <w:tab w:pos="4253" w:val="center"/>
        <w:tab w:pos="8222" w:val="right"/>
      </w:tabs>
      <w:spacing w:after="240" w:before="240"/>
      <w:jc w:val="center"/>
    </w:pPr>
  </w:style>
  <w:style w:customStyle="1" w:styleId="Acknowledgements" w:type="paragraph">
    <w:name w:val="Acknowledgements"/>
    <w:basedOn w:val="Normal"/>
    <w:next w:val="Normal"/>
    <w:qFormat/>
    <w:rsid w:val="006E261F"/>
    <w:pPr>
      <w:spacing w:before="120" w:line="360" w:lineRule="auto"/>
    </w:pPr>
    <w:rPr>
      <w:sz w:val="22"/>
    </w:rPr>
  </w:style>
  <w:style w:customStyle="1" w:styleId="Tabletitle" w:type="paragraph">
    <w:name w:val="Table title"/>
    <w:basedOn w:val="Normal"/>
    <w:next w:val="Normal"/>
    <w:qFormat/>
    <w:rsid w:val="006E261F"/>
    <w:pPr>
      <w:spacing w:before="240" w:line="360" w:lineRule="auto"/>
    </w:pPr>
  </w:style>
  <w:style w:customStyle="1" w:styleId="Figurecaption" w:type="paragraph">
    <w:name w:val="Figure caption"/>
    <w:basedOn w:val="Normal"/>
    <w:next w:val="Normal"/>
    <w:qFormat/>
    <w:rsid w:val="006E261F"/>
    <w:pPr>
      <w:spacing w:before="240" w:line="360" w:lineRule="auto"/>
    </w:pPr>
  </w:style>
  <w:style w:customStyle="1" w:styleId="Footnotes" w:type="paragraph">
    <w:name w:val="Footnotes"/>
    <w:basedOn w:val="Normal"/>
    <w:qFormat/>
    <w:rsid w:val="006E261F"/>
    <w:pPr>
      <w:spacing w:before="120" w:line="360" w:lineRule="auto"/>
      <w:ind w:hanging="482" w:left="482"/>
      <w:contextualSpacing/>
    </w:pPr>
    <w:rPr>
      <w:sz w:val="22"/>
    </w:rPr>
  </w:style>
  <w:style w:customStyle="1" w:styleId="Notesoncontributors" w:type="paragraph">
    <w:name w:val="Notes on contributors"/>
    <w:basedOn w:val="Normal"/>
    <w:qFormat/>
    <w:rsid w:val="006E261F"/>
    <w:pPr>
      <w:spacing w:before="240" w:line="360" w:lineRule="auto"/>
    </w:pPr>
    <w:rPr>
      <w:sz w:val="22"/>
    </w:rPr>
  </w:style>
  <w:style w:customStyle="1" w:styleId="Normalparagraphstyle" w:type="paragraph">
    <w:name w:val="Normal paragraph style"/>
    <w:basedOn w:val="Normal"/>
    <w:next w:val="Normal"/>
    <w:rsid w:val="006E261F"/>
  </w:style>
  <w:style w:customStyle="1" w:styleId="Paragraph" w:type="paragraph">
    <w:name w:val="Paragraph"/>
    <w:basedOn w:val="Normal"/>
    <w:next w:val="Newparagraph"/>
    <w:qFormat/>
    <w:rsid w:val="006E261F"/>
    <w:pPr>
      <w:widowControl w:val="0"/>
      <w:spacing w:before="240"/>
    </w:pPr>
  </w:style>
  <w:style w:customStyle="1" w:styleId="Newparagraph" w:type="paragraph">
    <w:name w:val="New paragraph"/>
    <w:basedOn w:val="Normal"/>
    <w:qFormat/>
    <w:rsid w:val="006E261F"/>
    <w:pPr>
      <w:ind w:firstLine="720"/>
    </w:pPr>
  </w:style>
  <w:style w:styleId="NormalIndent" w:type="paragraph">
    <w:name w:val="Normal Indent"/>
    <w:basedOn w:val="Normal"/>
    <w:rsid w:val="006E261F"/>
    <w:pPr>
      <w:ind w:left="720"/>
    </w:pPr>
  </w:style>
  <w:style w:customStyle="1" w:styleId="References" w:type="paragraph">
    <w:name w:val="References"/>
    <w:basedOn w:val="Normal"/>
    <w:qFormat/>
    <w:rsid w:val="006E261F"/>
    <w:pPr>
      <w:spacing w:before="120" w:line="360" w:lineRule="auto"/>
      <w:ind w:hanging="720" w:left="720"/>
      <w:contextualSpacing/>
    </w:pPr>
  </w:style>
  <w:style w:customStyle="1" w:styleId="Subjectcodes" w:type="paragraph">
    <w:name w:val="Subject codes"/>
    <w:basedOn w:val="Keywords"/>
    <w:next w:val="Paragraph"/>
    <w:qFormat/>
    <w:rsid w:val="006E261F"/>
  </w:style>
  <w:style w:customStyle="1" w:styleId="Bulletedlist" w:type="paragraph">
    <w:name w:val="Bulleted list"/>
    <w:basedOn w:val="Paragraph"/>
    <w:next w:val="Paragraph"/>
    <w:qFormat/>
    <w:rsid w:val="006E261F"/>
    <w:pPr>
      <w:widowControl/>
      <w:numPr>
        <w:numId w:val="15"/>
      </w:numPr>
      <w:spacing w:after="240"/>
      <w:contextualSpacing/>
    </w:pPr>
  </w:style>
  <w:style w:customStyle="1" w:styleId="FootnoteTextChar" w:type="character">
    <w:name w:val="Footnote Text Char"/>
    <w:basedOn w:val="DefaultParagraphFont"/>
    <w:link w:val="FootnoteText"/>
    <w:rsid w:val="006E261F"/>
    <w:rPr>
      <w:rFonts w:ascii="Times New Roman" w:cs="Times New Roman" w:eastAsia="Times New Roman" w:hAnsi="Times New Roman"/>
      <w:sz w:val="22"/>
      <w:szCs w:val="20"/>
      <w:lang w:eastAsia="en-GB" w:val="en-GB"/>
    </w:rPr>
  </w:style>
  <w:style w:styleId="EndnoteText" w:type="paragraph">
    <w:name w:val="endnote text"/>
    <w:basedOn w:val="Normal"/>
    <w:link w:val="EndnoteTextChar"/>
    <w:autoRedefine/>
    <w:rsid w:val="006E261F"/>
    <w:pPr>
      <w:ind w:hanging="284" w:left="284"/>
    </w:pPr>
    <w:rPr>
      <w:sz w:val="22"/>
      <w:szCs w:val="20"/>
    </w:rPr>
  </w:style>
  <w:style w:customStyle="1" w:styleId="EndnoteTextChar" w:type="character">
    <w:name w:val="Endnote Text Char"/>
    <w:basedOn w:val="DefaultParagraphFont"/>
    <w:link w:val="EndnoteText"/>
    <w:rsid w:val="006E261F"/>
    <w:rPr>
      <w:rFonts w:ascii="Times New Roman" w:cs="Times New Roman" w:eastAsia="Times New Roman" w:hAnsi="Times New Roman"/>
      <w:sz w:val="22"/>
      <w:szCs w:val="20"/>
      <w:lang w:eastAsia="en-GB" w:val="en-GB"/>
    </w:rPr>
  </w:style>
  <w:style w:styleId="EndnoteReference" w:type="character">
    <w:name w:val="endnote reference"/>
    <w:basedOn w:val="DefaultParagraphFont"/>
    <w:rsid w:val="006E261F"/>
    <w:rPr>
      <w:vertAlign w:val="superscript"/>
    </w:rPr>
  </w:style>
  <w:style w:styleId="Header" w:type="paragraph">
    <w:name w:val="header"/>
    <w:basedOn w:val="Normal"/>
    <w:link w:val="HeaderChar"/>
    <w:rsid w:val="006E261F"/>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6E261F"/>
    <w:rPr>
      <w:rFonts w:ascii="Times New Roman" w:cs="Times New Roman" w:eastAsia="Times New Roman" w:hAnsi="Times New Roman"/>
      <w:lang w:eastAsia="en-GB" w:val="en-GB"/>
    </w:rPr>
  </w:style>
  <w:style w:styleId="Footer" w:type="paragraph">
    <w:name w:val="footer"/>
    <w:basedOn w:val="Normal"/>
    <w:link w:val="FooterChar"/>
    <w:rsid w:val="006E261F"/>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6E261F"/>
    <w:rPr>
      <w:rFonts w:ascii="Times New Roman" w:cs="Times New Roman" w:eastAsia="Times New Roman" w:hAnsi="Times New Roman"/>
      <w:lang w:eastAsia="en-GB" w:val="en-GB"/>
    </w:rPr>
  </w:style>
  <w:style w:customStyle="1" w:styleId="Heading4Paragraph" w:type="paragraph">
    <w:name w:val="Heading 4 + Paragraph"/>
    <w:basedOn w:val="Paragraph"/>
    <w:next w:val="Newparagraph"/>
    <w:qFormat/>
    <w:rsid w:val="006E261F"/>
    <w:pPr>
      <w:widowControl/>
      <w:spacing w:before="360"/>
    </w:pPr>
  </w:style>
  <w:style w:styleId="TableGridLight" w:type="table">
    <w:name w:val="Grid Table Light"/>
    <w:basedOn w:val="TableNormal"/>
    <w:rsid w:val="003E124A"/>
    <w:pPr>
      <w:spacing w:after="0"/>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40" Target="media/rId40.png" /><Relationship Type="http://schemas.openxmlformats.org/officeDocument/2006/relationships/hyperlink" Id="rId97" Target="https://adam-dennett.shinyapps.io/School_Attainment_Policy_Simulator/" TargetMode="External" /><Relationship Type="http://schemas.openxmlformats.org/officeDocument/2006/relationships/hyperlink" Id="rId140" Target="https://cep.lse.ac.uk/_new/publications/abstract.asp?index=5752" TargetMode="External" /><Relationship Type="http://schemas.openxmlformats.org/officeDocument/2006/relationships/hyperlink" Id="rId118" Target="https://committees.parliament.uk/committee/203/education-committee/news/156024/forgotten-white-workingclass-pupils-let-down-by-decades-of-neglect-mps-say/" TargetMode="External" /><Relationship Type="http://schemas.openxmlformats.org/officeDocument/2006/relationships/hyperlink" Id="rId50" Target="https://democracy.brighton-hove.gov.uk/documents/s204040/School%20Admission%20Arrangements%202026-27.pdf" TargetMode="External" /><Relationship Type="http://schemas.openxmlformats.org/officeDocument/2006/relationships/hyperlink" Id="rId51" Target="https://democracy.brighton-hove.gov.uk/documents/s205834/School%20Admission%20Arrangements%202026-27.pdf" TargetMode="External" /><Relationship Type="http://schemas.openxmlformats.org/officeDocument/2006/relationships/hyperlink" Id="rId142" Target="https://doi.org/10.1002/berj.3297" TargetMode="External" /><Relationship Type="http://schemas.openxmlformats.org/officeDocument/2006/relationships/hyperlink" Id="rId132" Target="https://doi.org/10.1002/berj.3992" TargetMode="External" /><Relationship Type="http://schemas.openxmlformats.org/officeDocument/2006/relationships/hyperlink" Id="rId189" Target="https://doi.org/10.1007/978-3-031-98300-9_17" TargetMode="External" /><Relationship Type="http://schemas.openxmlformats.org/officeDocument/2006/relationships/hyperlink" Id="rId172" Target="https://doi.org/10.1007/s41105-017-0091-0" TargetMode="External" /><Relationship Type="http://schemas.openxmlformats.org/officeDocument/2006/relationships/hyperlink" Id="rId114" Target="https://doi.org/10.1016/j.econedurev.2023.102405" TargetMode="External" /><Relationship Type="http://schemas.openxmlformats.org/officeDocument/2006/relationships/hyperlink" Id="rId130" Target="https://doi.org/10.1016/j.jth.2023.101605" TargetMode="External" /><Relationship Type="http://schemas.openxmlformats.org/officeDocument/2006/relationships/hyperlink" Id="rId154" Target="https://doi.org/10.1016/j.psyneuen.2021.105371" TargetMode="External" /><Relationship Type="http://schemas.openxmlformats.org/officeDocument/2006/relationships/hyperlink" Id="rId197" Target="https://doi.org/10.1016/j.sleep.2018.10.041" TargetMode="External" /><Relationship Type="http://schemas.openxmlformats.org/officeDocument/2006/relationships/hyperlink" Id="rId185" Target="https://doi.org/10.1080/01425692.2025.2474040" TargetMode="External" /><Relationship Type="http://schemas.openxmlformats.org/officeDocument/2006/relationships/hyperlink" Id="rId108" Target="https://doi.org/10.1080/0305764X.2024.2420611" TargetMode="External" /><Relationship Type="http://schemas.openxmlformats.org/officeDocument/2006/relationships/hyperlink" Id="rId104" Target="https://doi.org/10.1080/09645292.2017.1366425" TargetMode="External" /><Relationship Type="http://schemas.openxmlformats.org/officeDocument/2006/relationships/hyperlink" Id="rId134" Target="https://doi.org/10.1093/ooec/odad029" TargetMode="External" /><Relationship Type="http://schemas.openxmlformats.org/officeDocument/2006/relationships/hyperlink" Id="rId162" Target="https://doi.org/10.1098/rsif.2017.0213" TargetMode="External" /><Relationship Type="http://schemas.openxmlformats.org/officeDocument/2006/relationships/hyperlink" Id="rId138" Target="https://doi.org/10.1111/j.1467-8624.2004.00655.x" TargetMode="External" /><Relationship Type="http://schemas.openxmlformats.org/officeDocument/2006/relationships/hyperlink" Id="rId106" Target="https://doi.org/10.1111/j.1475-5661.2012.00511.x" TargetMode="External" /><Relationship Type="http://schemas.openxmlformats.org/officeDocument/2006/relationships/hyperlink" Id="rId164" Target="https://doi.org/10.1111/j.2041-210x.2012.00261.x" TargetMode="External" /><Relationship Type="http://schemas.openxmlformats.org/officeDocument/2006/relationships/hyperlink" Id="rId174" Target="https://doi.org/10.1111/jcpp.14082" TargetMode="External" /><Relationship Type="http://schemas.openxmlformats.org/officeDocument/2006/relationships/hyperlink" Id="rId166" Target="https://doi.org/10.1111/pcn.13714" TargetMode="External" /><Relationship Type="http://schemas.openxmlformats.org/officeDocument/2006/relationships/hyperlink" Id="rId112" Target="https://doi.org/10.1177/0308518X18787820" TargetMode="External" /><Relationship Type="http://schemas.openxmlformats.org/officeDocument/2006/relationships/hyperlink" Id="rId195" Target="https://doi.org/10.1177/0739456X17725148" TargetMode="External" /><Relationship Type="http://schemas.openxmlformats.org/officeDocument/2006/relationships/hyperlink" Id="rId144" Target="https://doi.org/10.1177/2158244018825171" TargetMode="External" /><Relationship Type="http://schemas.openxmlformats.org/officeDocument/2006/relationships/hyperlink" Id="rId136" Target="https://doi.org/10.1186/1471-2458-13-1166" TargetMode="External" /><Relationship Type="http://schemas.openxmlformats.org/officeDocument/2006/relationships/hyperlink" Id="rId150" Target="https://doi.org/10.1186/s12889-025-22861-7" TargetMode="External" /><Relationship Type="http://schemas.openxmlformats.org/officeDocument/2006/relationships/hyperlink" Id="rId168" Target="https://doi.org/10.1265/ehpm.25-00290" TargetMode="External" /><Relationship Type="http://schemas.openxmlformats.org/officeDocument/2006/relationships/hyperlink" Id="rId152" Target="https://doi.org/10.1371/journal.pmed.1003031" TargetMode="External" /><Relationship Type="http://schemas.openxmlformats.org/officeDocument/2006/relationships/hyperlink" Id="rId116" Target="https://doi.org/10.1371/journal.pone.0314687" TargetMode="External" /><Relationship Type="http://schemas.openxmlformats.org/officeDocument/2006/relationships/hyperlink" Id="rId158" Target="https://doi.org/10.14324/LRE.21.1.20" TargetMode="External" /><Relationship Type="http://schemas.openxmlformats.org/officeDocument/2006/relationships/hyperlink" Id="rId183" Target="https://doi.org/10.3102/0013189X20949504" TargetMode="External" /><Relationship Type="http://schemas.openxmlformats.org/officeDocument/2006/relationships/hyperlink" Id="rId120" Target="https://doi.org/10.3102/01623737221092450" TargetMode="External" /><Relationship Type="http://schemas.openxmlformats.org/officeDocument/2006/relationships/hyperlink" Id="rId170" Target="https://doi.org/10.3109/07420528.2013.826238" TargetMode="External" /><Relationship Type="http://schemas.openxmlformats.org/officeDocument/2006/relationships/hyperlink" Id="rId146" Target="https://doi.org/10.3390/educsci15010006" TargetMode="External" /><Relationship Type="http://schemas.openxmlformats.org/officeDocument/2006/relationships/hyperlink" Id="rId193" Target="https://epi.org.uk/annual-report-2023/" TargetMode="External" /><Relationship Type="http://schemas.openxmlformats.org/officeDocument/2006/relationships/hyperlink" Id="rId199" Target="https://epi.org.uk/publications-and-research/the-influence-of-headteachers-on-their-schools/" TargetMode="External" /><Relationship Type="http://schemas.openxmlformats.org/officeDocument/2006/relationships/hyperlink" Id="rId34" Target="https://explore-education-statistics.service.gov.uk/find-statistics/key-stage-4-performance" TargetMode="External" /><Relationship Type="http://schemas.openxmlformats.org/officeDocument/2006/relationships/hyperlink" Id="rId126" Target="https://explore-education-statistics.service.gov.uk/find-statistics/pupil-absence-in-schools-in-england/2024-25-autumn-and-spring-term" TargetMode="External" /><Relationship Type="http://schemas.openxmlformats.org/officeDocument/2006/relationships/hyperlink" Id="rId122" Target="https://explore-education-statistics.service.gov.uk/find-statistics/the-link-between-absence-and-attainment-at-ks2-and-ks4/2018-19" TargetMode="External" /><Relationship Type="http://schemas.openxmlformats.org/officeDocument/2006/relationships/hyperlink" Id="rId191" Target="https://ffteducationdatalab.org.uk/2023/11/are-pupils-who-live-further-away-from-their-school-absent-more-often/" TargetMode="External" /><Relationship Type="http://schemas.openxmlformats.org/officeDocument/2006/relationships/hyperlink" Id="rId180" Target="https://knowledge.uchicago.edu/record/7216" TargetMode="External" /><Relationship Type="http://schemas.openxmlformats.org/officeDocument/2006/relationships/hyperlink" Id="rId148"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91" Target="https://reports.ofsted.gov.uk/provider/23/136164" TargetMode="External" /><Relationship Type="http://schemas.openxmlformats.org/officeDocument/2006/relationships/hyperlink" Id="rId55"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176" Target="https://www.gov.uk/government/publications/against-the-odds" TargetMode="External" /><Relationship Type="http://schemas.openxmlformats.org/officeDocument/2006/relationships/hyperlink" Id="rId128" Target="https://www.gov.uk/government/publications/every-child-achieving-and-thriving/every-child-achieving-and-thriving-html-version" TargetMode="External" /><Relationship Type="http://schemas.openxmlformats.org/officeDocument/2006/relationships/hyperlink" Id="rId178" Target="https://www.gov.uk/government/publications/examining-the-london-advantage-in-attainment-evidence-from-lsype" TargetMode="External" /><Relationship Type="http://schemas.openxmlformats.org/officeDocument/2006/relationships/hyperlink" Id="rId124" Target="https://www.gov.uk/government/publications/link-between-attendance-and-attainment" TargetMode="External" /><Relationship Type="http://schemas.openxmlformats.org/officeDocument/2006/relationships/hyperlink" Id="rId187"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56" Target="https://www.nfer.ac.uk/publications/supporting-the-attainment-of-disadvantaged-pupils-articulating-success-and-good-practice/" TargetMode="External" /><Relationship Type="http://schemas.openxmlformats.org/officeDocument/2006/relationships/hyperlink" Id="rId160" Target="https://www.nfer.ac.uk/publications/understanding-the-relationship-between-attendance-wellbeing-and-sense-of-belonging/" TargetMode="External" /><Relationship Type="http://schemas.openxmlformats.org/officeDocument/2006/relationships/hyperlink" Id="rId110" Target="https://www.urban.org/sites/default/files/publication/99027/time_to_school_and_student_outcomes_in_dc_1.pdf" TargetMode="External" /><Relationship Type="http://schemas.openxmlformats.org/officeDocument/2006/relationships/hyperlink" Id="rId53"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97" Target="https://adam-dennett.shinyapps.io/School_Attainment_Policy_Simulator/" TargetMode="External" /><Relationship Type="http://schemas.openxmlformats.org/officeDocument/2006/relationships/hyperlink" Id="rId140" Target="https://cep.lse.ac.uk/_new/publications/abstract.asp?index=5752" TargetMode="External" /><Relationship Type="http://schemas.openxmlformats.org/officeDocument/2006/relationships/hyperlink" Id="rId118" Target="https://committees.parliament.uk/committee/203/education-committee/news/156024/forgotten-white-workingclass-pupils-let-down-by-decades-of-neglect-mps-say/" TargetMode="External" /><Relationship Type="http://schemas.openxmlformats.org/officeDocument/2006/relationships/hyperlink" Id="rId50" Target="https://democracy.brighton-hove.gov.uk/documents/s204040/School%20Admission%20Arrangements%202026-27.pdf" TargetMode="External" /><Relationship Type="http://schemas.openxmlformats.org/officeDocument/2006/relationships/hyperlink" Id="rId51" Target="https://democracy.brighton-hove.gov.uk/documents/s205834/School%20Admission%20Arrangements%202026-27.pdf" TargetMode="External" /><Relationship Type="http://schemas.openxmlformats.org/officeDocument/2006/relationships/hyperlink" Id="rId142" Target="https://doi.org/10.1002/berj.3297" TargetMode="External" /><Relationship Type="http://schemas.openxmlformats.org/officeDocument/2006/relationships/hyperlink" Id="rId132" Target="https://doi.org/10.1002/berj.3992" TargetMode="External" /><Relationship Type="http://schemas.openxmlformats.org/officeDocument/2006/relationships/hyperlink" Id="rId189" Target="https://doi.org/10.1007/978-3-031-98300-9_17" TargetMode="External" /><Relationship Type="http://schemas.openxmlformats.org/officeDocument/2006/relationships/hyperlink" Id="rId172" Target="https://doi.org/10.1007/s41105-017-0091-0" TargetMode="External" /><Relationship Type="http://schemas.openxmlformats.org/officeDocument/2006/relationships/hyperlink" Id="rId114" Target="https://doi.org/10.1016/j.econedurev.2023.102405" TargetMode="External" /><Relationship Type="http://schemas.openxmlformats.org/officeDocument/2006/relationships/hyperlink" Id="rId130" Target="https://doi.org/10.1016/j.jth.2023.101605" TargetMode="External" /><Relationship Type="http://schemas.openxmlformats.org/officeDocument/2006/relationships/hyperlink" Id="rId154" Target="https://doi.org/10.1016/j.psyneuen.2021.105371" TargetMode="External" /><Relationship Type="http://schemas.openxmlformats.org/officeDocument/2006/relationships/hyperlink" Id="rId197" Target="https://doi.org/10.1016/j.sleep.2018.10.041" TargetMode="External" /><Relationship Type="http://schemas.openxmlformats.org/officeDocument/2006/relationships/hyperlink" Id="rId185" Target="https://doi.org/10.1080/01425692.2025.2474040" TargetMode="External" /><Relationship Type="http://schemas.openxmlformats.org/officeDocument/2006/relationships/hyperlink" Id="rId108" Target="https://doi.org/10.1080/0305764X.2024.2420611" TargetMode="External" /><Relationship Type="http://schemas.openxmlformats.org/officeDocument/2006/relationships/hyperlink" Id="rId104" Target="https://doi.org/10.1080/09645292.2017.1366425" TargetMode="External" /><Relationship Type="http://schemas.openxmlformats.org/officeDocument/2006/relationships/hyperlink" Id="rId134" Target="https://doi.org/10.1093/ooec/odad029" TargetMode="External" /><Relationship Type="http://schemas.openxmlformats.org/officeDocument/2006/relationships/hyperlink" Id="rId162" Target="https://doi.org/10.1098/rsif.2017.0213" TargetMode="External" /><Relationship Type="http://schemas.openxmlformats.org/officeDocument/2006/relationships/hyperlink" Id="rId138" Target="https://doi.org/10.1111/j.1467-8624.2004.00655.x" TargetMode="External" /><Relationship Type="http://schemas.openxmlformats.org/officeDocument/2006/relationships/hyperlink" Id="rId106" Target="https://doi.org/10.1111/j.1475-5661.2012.00511.x" TargetMode="External" /><Relationship Type="http://schemas.openxmlformats.org/officeDocument/2006/relationships/hyperlink" Id="rId164" Target="https://doi.org/10.1111/j.2041-210x.2012.00261.x" TargetMode="External" /><Relationship Type="http://schemas.openxmlformats.org/officeDocument/2006/relationships/hyperlink" Id="rId174" Target="https://doi.org/10.1111/jcpp.14082" TargetMode="External" /><Relationship Type="http://schemas.openxmlformats.org/officeDocument/2006/relationships/hyperlink" Id="rId166" Target="https://doi.org/10.1111/pcn.13714" TargetMode="External" /><Relationship Type="http://schemas.openxmlformats.org/officeDocument/2006/relationships/hyperlink" Id="rId112" Target="https://doi.org/10.1177/0308518X18787820" TargetMode="External" /><Relationship Type="http://schemas.openxmlformats.org/officeDocument/2006/relationships/hyperlink" Id="rId195" Target="https://doi.org/10.1177/0739456X17725148" TargetMode="External" /><Relationship Type="http://schemas.openxmlformats.org/officeDocument/2006/relationships/hyperlink" Id="rId144" Target="https://doi.org/10.1177/2158244018825171" TargetMode="External" /><Relationship Type="http://schemas.openxmlformats.org/officeDocument/2006/relationships/hyperlink" Id="rId136" Target="https://doi.org/10.1186/1471-2458-13-1166" TargetMode="External" /><Relationship Type="http://schemas.openxmlformats.org/officeDocument/2006/relationships/hyperlink" Id="rId150" Target="https://doi.org/10.1186/s12889-025-22861-7" TargetMode="External" /><Relationship Type="http://schemas.openxmlformats.org/officeDocument/2006/relationships/hyperlink" Id="rId168" Target="https://doi.org/10.1265/ehpm.25-00290" TargetMode="External" /><Relationship Type="http://schemas.openxmlformats.org/officeDocument/2006/relationships/hyperlink" Id="rId152" Target="https://doi.org/10.1371/journal.pmed.1003031" TargetMode="External" /><Relationship Type="http://schemas.openxmlformats.org/officeDocument/2006/relationships/hyperlink" Id="rId116" Target="https://doi.org/10.1371/journal.pone.0314687" TargetMode="External" /><Relationship Type="http://schemas.openxmlformats.org/officeDocument/2006/relationships/hyperlink" Id="rId158" Target="https://doi.org/10.14324/LRE.21.1.20" TargetMode="External" /><Relationship Type="http://schemas.openxmlformats.org/officeDocument/2006/relationships/hyperlink" Id="rId183" Target="https://doi.org/10.3102/0013189X20949504" TargetMode="External" /><Relationship Type="http://schemas.openxmlformats.org/officeDocument/2006/relationships/hyperlink" Id="rId120" Target="https://doi.org/10.3102/01623737221092450" TargetMode="External" /><Relationship Type="http://schemas.openxmlformats.org/officeDocument/2006/relationships/hyperlink" Id="rId170" Target="https://doi.org/10.3109/07420528.2013.826238" TargetMode="External" /><Relationship Type="http://schemas.openxmlformats.org/officeDocument/2006/relationships/hyperlink" Id="rId146" Target="https://doi.org/10.3390/educsci15010006" TargetMode="External" /><Relationship Type="http://schemas.openxmlformats.org/officeDocument/2006/relationships/hyperlink" Id="rId193" Target="https://epi.org.uk/annual-report-2023/" TargetMode="External" /><Relationship Type="http://schemas.openxmlformats.org/officeDocument/2006/relationships/hyperlink" Id="rId199" Target="https://epi.org.uk/publications-and-research/the-influence-of-headteachers-on-their-schools/" TargetMode="External" /><Relationship Type="http://schemas.openxmlformats.org/officeDocument/2006/relationships/hyperlink" Id="rId34" Target="https://explore-education-statistics.service.gov.uk/find-statistics/key-stage-4-performance" TargetMode="External" /><Relationship Type="http://schemas.openxmlformats.org/officeDocument/2006/relationships/hyperlink" Id="rId126" Target="https://explore-education-statistics.service.gov.uk/find-statistics/pupil-absence-in-schools-in-england/2024-25-autumn-and-spring-term" TargetMode="External" /><Relationship Type="http://schemas.openxmlformats.org/officeDocument/2006/relationships/hyperlink" Id="rId122" Target="https://explore-education-statistics.service.gov.uk/find-statistics/the-link-between-absence-and-attainment-at-ks2-and-ks4/2018-19" TargetMode="External" /><Relationship Type="http://schemas.openxmlformats.org/officeDocument/2006/relationships/hyperlink" Id="rId191" Target="https://ffteducationdatalab.org.uk/2023/11/are-pupils-who-live-further-away-from-their-school-absent-more-often/" TargetMode="External" /><Relationship Type="http://schemas.openxmlformats.org/officeDocument/2006/relationships/hyperlink" Id="rId180" Target="https://knowledge.uchicago.edu/record/7216" TargetMode="External" /><Relationship Type="http://schemas.openxmlformats.org/officeDocument/2006/relationships/hyperlink" Id="rId148"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91" Target="https://reports.ofsted.gov.uk/provider/23/136164" TargetMode="External" /><Relationship Type="http://schemas.openxmlformats.org/officeDocument/2006/relationships/hyperlink" Id="rId55"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176" Target="https://www.gov.uk/government/publications/against-the-odds" TargetMode="External" /><Relationship Type="http://schemas.openxmlformats.org/officeDocument/2006/relationships/hyperlink" Id="rId128" Target="https://www.gov.uk/government/publications/every-child-achieving-and-thriving/every-child-achieving-and-thriving-html-version" TargetMode="External" /><Relationship Type="http://schemas.openxmlformats.org/officeDocument/2006/relationships/hyperlink" Id="rId178" Target="https://www.gov.uk/government/publications/examining-the-london-advantage-in-attainment-evidence-from-lsype" TargetMode="External" /><Relationship Type="http://schemas.openxmlformats.org/officeDocument/2006/relationships/hyperlink" Id="rId124" Target="https://www.gov.uk/government/publications/link-between-attendance-and-attainment" TargetMode="External" /><Relationship Type="http://schemas.openxmlformats.org/officeDocument/2006/relationships/hyperlink" Id="rId187"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56" Target="https://www.nfer.ac.uk/publications/supporting-the-attainment-of-disadvantaged-pupils-articulating-success-and-good-practice/" TargetMode="External" /><Relationship Type="http://schemas.openxmlformats.org/officeDocument/2006/relationships/hyperlink" Id="rId160" Target="https://www.nfer.ac.uk/publications/understanding-the-relationship-between-attendance-wellbeing-and-sense-of-belonging/" TargetMode="External" /><Relationship Type="http://schemas.openxmlformats.org/officeDocument/2006/relationships/hyperlink" Id="rId110" Target="https://www.urban.org/sites/default/files/publication/99027/time_to_school_and_student_outcomes_in_dc_1.pdf" TargetMode="External" /><Relationship Type="http://schemas.openxmlformats.org/officeDocument/2006/relationships/hyperlink" Id="rId53" Target="https://yourvoice.brighton-hove.gov.uk/en-GB/projects/school-admission-arrangements-public-consultation/1"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2</TotalTime>
  <Pages>49</Pages>
  <Words>11160</Words>
  <Characters>63615</Characters>
  <Application>Microsoft Office Word</Application>
  <DocSecurity>0</DocSecurity>
  <Lines>530</Lines>
  <Paragraphs>149</Paragraphs>
  <ScaleCrop>false</ScaleCrop>
  <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Right Lever: School Attainment, Open Data Analytics and Local Education Policy in England</dc:title>
  <dc:creator>Adam Dennett; Beatrice Taylor; Dan Campbell-Meiklejohn</dc:creator>
  <cp:keywords>school attainment, education policy, school absence, disadvantage gap, multilevel modelling, open data</cp:keywords>
  <dcterms:created xsi:type="dcterms:W3CDTF">2026-08-25T15:03:55Z</dcterms:created>
  <dcterms:modified xsi:type="dcterms:W3CDTF">2026-08-25T15:03:55Z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2026-08-25</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