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8.png" ContentType="image/png"/>
  <Override PartName="/word/media/rId189.png" ContentType="image/png"/>
  <Override PartName="/word/media/rId193.png" ContentType="image/png"/>
  <Override PartName="/word/media/rId202.png" ContentType="image/png"/>
  <Override PartName="/word/media/rId206.png" ContentType="image/png"/>
  <Override PartName="/word/media/rId185.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Pulling the Right Lever: School Attainment, Open Data Analytics and Local Education Policy in England</w:t>
      </w:r>
    </w:p>
    <w:p>
      <w:pPr>
        <w:pStyle w:val="Author"/>
      </w:pPr>
      <w:r>
        <w:t xml:space="preserve">Adam Dennett</w:t>
      </w:r>
    </w:p>
    <w:p>
      <w:pPr>
        <w:pStyle w:val="Author"/>
      </w:pPr>
      <w:r>
        <w:t xml:space="preserve">Beatrice Taylor</w:t>
      </w:r>
    </w:p>
    <w:p>
      <w:pPr>
        <w:pStyle w:val="Author"/>
      </w:pPr>
      <w:r>
        <w:t xml:space="preserve">Dan Campbell-Meiklejohn</w:t>
      </w:r>
    </w:p>
    <w:p>
      <w:pPr>
        <w:pStyle w:val="Date"/>
      </w:pPr>
      <w:r>
        <w:t xml:space="preserve">2026-08-26</w:t>
      </w:r>
    </w:p>
    <w:p>
      <w:pPr>
        <w:pStyle w:val="AbstractTitle"/>
      </w:pPr>
      <w:r>
        <w:t xml:space="preserve">Abstract</w:t>
      </w:r>
    </w:p>
    <w:p>
      <w:pPr>
        <w:pStyle w:val="Abstract"/>
      </w:pPr>
      <w:r>
        <w:t xml:space="preserve">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in their areas and choose interventions accordingly.</w:t>
      </w:r>
    </w:p>
    <w:p>
      <w:pPr>
        <w:pStyle w:val="BodyText"/>
      </w:pPr>
      <w:r>
        <w:t xml:space="preserve">Focusing on the secondary school attainment, 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pPr>
        <w:pStyle w:val="BodyText"/>
      </w:pPr>
      <w:r>
        <w:t xml:space="preserve">Brighton and Hove provides a particularly instructive case. The city already has a distinctive admissions landscape featuring catchment areas with a lottery tie-break for oversubscribed schools, introduced following a secondary school closure in 2005</w:t>
      </w:r>
      <w:r>
        <w:t xml:space="preserve"> </w:t>
      </w:r>
      <w:r>
        <w:t xml:space="preserve">(Allen et al. 2013)</w:t>
      </w:r>
      <w:r>
        <w:t xml:space="preserve">,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w:t>
      </w:r>
      <w:r>
        <w:t xml:space="preserve"> </w:t>
      </w:r>
      <w:r>
        <w:t xml:space="preserve">‘driven by economic advantage’</w:t>
      </w:r>
      <w:r>
        <w:t xml:space="preserve"> </w:t>
      </w:r>
      <w:r>
        <w:t xml:space="preserve">and that redistributing pupils would narrow the attainment gap. The public response was overwhelmingly negative, yet parents and schools lacked the tools to challenge the proposals effectively and the core policy direction persisted, albeit slightly watered down.</w:t>
      </w:r>
    </w:p>
    <w:p>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Our modelling addresses a critical blind spot in local decision-making: without the ability to account for structural factors like absence and prior attainment, councillors and citizens were unaware that,</w:t>
      </w:r>
      <w:r>
        <w:t xml:space="preserve"> </w:t>
      </w:r>
      <w:r>
        <w:rPr>
          <w:i/>
          <w:iCs/>
        </w:rPr>
        <w:t xml:space="preserve">after controlling for absence in particular</w:t>
      </w:r>
      <w:r>
        <w:t xml:space="preserve">, Brighton and Hove was already among the highest-performing LEAs nationally for taking students beyond those factors - ranking 15th of 151 for disadvantaged pupils and 4th for non-disadvantaged pupils. As we show later, that conditional ranking is itself a measure of how much the city’s severe absence problem is costing its disadvantaged pupils: set absence aside and the schools look exceptional; leave it in the ledger and the city is ordinary. These insights come from the analysis of open data presented in this paper and carried out after the consultation had closed. However, with more timely analysis and with this knowledge, the approach to improving outcomes for disadvantaged pupils in the city could have been more effective and different questions asked:</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Some rapidly-produced analysis was put into the public domain by some of the authors of this paper</w:t>
      </w:r>
      <w:r>
        <w:rPr>
          <w:rStyle w:val="FootnoteReference"/>
        </w:rPr>
        <w:footnoteReference w:id="20"/>
      </w:r>
      <w:r>
        <w:t xml:space="preserve">, but as a response to, not a contribution to, policy formation.</w:t>
      </w:r>
    </w:p>
    <w:p>
      <w:pPr>
        <w:pStyle w:val="BodyText"/>
      </w:pPr>
      <w:r>
        <w:t xml:space="preserve">The discussions that led to this paper took place over an 18-month period spanning the 2024 and 2025 admissions consultations and involved a diverse group of parents, academics, policy practitioners and school governors. We do not claim our model is optimal or novel - the variables and effects are very similar to those reported by</w:t>
      </w:r>
      <w:r>
        <w:t xml:space="preserve"> </w:t>
      </w:r>
      <w:r>
        <w:t xml:space="preserve">Macleod et al. (2015)</w:t>
      </w:r>
      <w:r>
        <w:t xml:space="preserve"> </w:t>
      </w:r>
      <w:r>
        <w:t xml:space="preserve">over a decade ago. Our intention is to show that with freely available open data and a small set of well-chosen variables, it is possible to build a model explaining close to 80% of the variation in school-level Attainment 8, and then to use it to answer locally targeted questions such as:</w:t>
      </w:r>
      <w:r>
        <w:t xml:space="preserve"> </w:t>
      </w:r>
      <w:r>
        <w:t xml:space="preserve">‘is changing the social mix in schools likely to improve disadvantaged pupil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 We report effects in GCSE-point units rather than standard deviations so that they have more direct meaning for policy makers.</w:t>
      </w:r>
    </w:p>
    <w:p>
      <w:pPr>
        <w:pStyle w:val="BodyText"/>
      </w:pPr>
      <w:r>
        <w:t xml:space="preserve">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X6c5e88f05ffb4b99244fe6316fbbde4006e9a28"/>
    <w:p>
      <w:pPr>
        <w:pStyle w:val="Heading1"/>
      </w:pPr>
      <w:r>
        <w:t xml:space="preserve">2. Literature review: factors affecting pupil attainment</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 (for wider reviews and evidence syntheses, see e.g.</w:t>
      </w:r>
      <w:r>
        <w:t xml:space="preserve"> </w:t>
      </w:r>
      <w:r>
        <w:t xml:space="preserve">Stopforth and Gayle (2025)</w:t>
      </w:r>
      <w:r>
        <w:t xml:space="preserve">;</w:t>
      </w:r>
      <w:r>
        <w:t xml:space="preserve"> </w:t>
      </w:r>
      <w:r>
        <w:t xml:space="preserve">Macleod et al. (2015)</w:t>
      </w:r>
      <w:r>
        <w:t xml:space="preserve">;</w:t>
      </w:r>
      <w:r>
        <w:t xml:space="preserve"> </w:t>
      </w:r>
      <w:r>
        <w:t xml:space="preserve">Tuckett et al. (2023)</w:t>
      </w:r>
      <w:r>
        <w:t xml:space="preserve">).</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Inequalities in GCSE outcomes are substantially mediated by prior attainment at National Curriculum Key Stage 2 (KS2 - the latter stages of primary school from ages 7 to 11</w:t>
      </w:r>
      <w:r>
        <w:rPr>
          <w:rStyle w:val="FootnoteReference"/>
        </w:rPr>
        <w:footnoteReference w:id="23"/>
      </w:r>
      <w:r>
        <w:t xml:space="preserve">), reflecting accumulated inequalities from before secondary school</w:t>
      </w:r>
      <w:r>
        <w:t xml:space="preserve"> </w:t>
      </w:r>
      <w:r>
        <w:t xml:space="preserve">(Stopforth and Gayle 2025)</w:t>
      </w:r>
      <w:r>
        <w:t xml:space="preserve">.</w:t>
      </w:r>
      <w:r>
        <w:t xml:space="preserve"> </w:t>
      </w:r>
      <w:r>
        <w:t xml:space="preserve">Gorard and Siddiqui (2019)</w:t>
      </w:r>
      <w:r>
        <w:t xml:space="preserve"> </w:t>
      </w:r>
      <w:r>
        <w:t xml:space="preserve">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w:t>
      </w:r>
      <w:r>
        <w:t xml:space="preserve"> </w:t>
      </w:r>
      <w:r>
        <w:t xml:space="preserve">‘almost no cost’</w:t>
      </w:r>
      <w:r>
        <w:t xml:space="preserve"> </w:t>
      </w:r>
      <w:r>
        <w:t xml:space="preserve">- a conjecture that overlooks real-world consequences for communities, particularly where local social geographies mean de-concentration requires children travelling long distances.</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It is also cited as one of the main factors in pushing down attainment for disadvantaged pupils by</w:t>
      </w:r>
      <w:r>
        <w:t xml:space="preserve"> </w:t>
      </w:r>
      <w:r>
        <w:t xml:space="preserve">Macleod et al. (2015)</w:t>
      </w:r>
      <w:r>
        <w:t xml:space="preserve">.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p>
      <w:pPr>
        <w:pStyle w:val="BodyText"/>
      </w:pPr>
      <w:r>
        <w:t xml:space="preserve">How far attendance is amenable to</w:t>
      </w:r>
      <w:r>
        <w:t xml:space="preserve"> </w:t>
      </w:r>
      <w:r>
        <w:rPr>
          <w:i/>
          <w:iCs/>
        </w:rPr>
        <w:t xml:space="preserve">school-level</w:t>
      </w:r>
      <w:r>
        <w:t xml:space="preserve"> </w:t>
      </w:r>
      <w:r>
        <w:t xml:space="preserve">action is an important question. Some of the variation reflects school practice - pastoral systems, attendance follow-up and ethos - but a substantial share is driven by circumstances beyond the school gate: family poverty, physical and mental ill-health, special educational needs, caring responsibilities, and the broader adversities that depress attainment through multiple channels</w:t>
      </w:r>
      <w:r>
        <w:t xml:space="preserve"> </w:t>
      </w:r>
      <w:r>
        <w:t xml:space="preserve">(Houtepen et al. 2020; Rakesh et al. 2025)</w:t>
      </w:r>
      <w:r>
        <w:t xml:space="preserve">. The steep, largely exogenous rise in absence since the pandemic underlines how much of the recent problem sits outside any individual school’s control. This distinction - between the intake-driven component of absence and the smaller portion a school can itself move - is central to how absence should be interpreted as a policy lever, and we make it explicit in our modelling in section 5.5. It also implies that authority-wide improvement is unlikely to come from school-led practice-sharing alone, and more probably requires strategic, council-led, cross-departmental action spanning health, children’s services and family support alongside schools.</w:t>
      </w:r>
    </w:p>
    <w:bookmarkEnd w:id="26"/>
    <w:bookmarkStart w:id="27"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(Burgess et al. 2023)</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(the apparent boost to attainment for disadvantaged pupils who live in the Capital)</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bookmarkEnd w:id="27"/>
    <w:bookmarkEnd w:id="28"/>
    <w:bookmarkStart w:id="36" w:name="data-and-methods"/>
    <w:p>
      <w:pPr>
        <w:pStyle w:val="Heading1"/>
      </w:pPr>
      <w:r>
        <w:t xml:space="preserve">3. Data and methods</w:t>
      </w:r>
    </w:p>
    <w:bookmarkStart w:id="31"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9"/>
      </w:r>
      <w:r>
        <w:t xml:space="preserve"> </w:t>
      </w:r>
      <w:r>
        <w:t xml:space="preserve">The full panel comprises 13,419 school-year observations from 3,523 academies and maintained schools across 152 LEAs. Independent schools, colleges and</w:t>
      </w:r>
      <w:r>
        <w:t xml:space="preserve"> </w:t>
      </w:r>
      <w:r>
        <w:t xml:space="preserve">‘special schools’</w:t>
      </w:r>
      <w:r>
        <w:t xml:space="preserve"> </w:t>
      </w:r>
      <w:r>
        <w:t xml:space="preserve">(those catering more for pupils with special educational needs and disabilities) are excluded. After the exclusion of cases with missing predictor values or imputation of those values required for the log-linear specification (principally missing workforce or Ofsted data in 2024-25, together with KS2 prior attainment, which is not published for that year because the relevant cohort’s primary assessments were cancelled during the pandemic - see section 3.2</w:t>
      </w:r>
      <w:r>
        <w:rPr>
          <w:rStyle w:val="FootnoteReference"/>
        </w:rPr>
        <w:footnoteReference w:id="30"/>
      </w:r>
      <w:r>
        <w:t xml:space="preserve">), the analysis sample used in the models is approximately 12,200 observations. All data are school-level aggregates; interpretations relate to this level of aggregation.</w:t>
      </w:r>
    </w:p>
    <w:bookmarkEnd w:id="31"/>
    <w:bookmarkStart w:id="35"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(for all, disadvantaged and non-disadvantaged pupils),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 We should be clear that the log transformation is</w:t>
      </w:r>
      <w:r>
        <w:t xml:space="preserve"> </w:t>
      </w:r>
      <w:r>
        <w:rPr>
          <w:i/>
          <w:iCs/>
        </w:rPr>
        <w:t xml:space="preserve">not</w:t>
      </w:r>
      <w:r>
        <w:t xml:space="preserve"> </w:t>
      </w:r>
      <w:r>
        <w:t xml:space="preserve">applied uniformly to every predictor: only the four skewed, strictly-positive count-and-rate variables - the disadvantage, absence and EAL percentages and teacher sickness days - enter in logged form, chosen on the basis of fit and the interpretability of elasticities. This variable-by-variable choice, together with supporting diagnostics (component-plus-residual plots and a comparison of logged, linear and spline treatments), is documented in the supplementary material; the log form is retained where it both improves fit and yields a policy-legible elasticity, and a linear form is used otherwise. The remaining predictors, including mean KS2 prior attainment, the segregation index and the workforce proportions, enter linearly.</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 % FSM), log(% overall absence - % Absence), log(% pupils with English as an additional language - % EAL), mean KS2 prior attainment (the cohort’s average KS2 scaled score, centred at the national standard of 100),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2"/>
      </w:r>
      <w:r>
        <w:t xml:space="preserve">.</w:t>
      </w:r>
    </w:p>
    <w:p>
      <w:pPr>
        <w:pStyle w:val="BodyText"/>
      </w:pPr>
      <w:r>
        <w:t xml:space="preserve">The selective-admissions variable is the DfE’s own performance-tables admissions classification, and within our state-funded sample it distinguishes three groups: wholly</w:t>
      </w:r>
      <w:r>
        <w:t xml:space="preserve"> </w:t>
      </w:r>
      <w:r>
        <w:rPr>
          <w:i/>
          <w:iCs/>
        </w:rPr>
        <w:t xml:space="preserve">selective</w:t>
      </w:r>
      <w:r>
        <w:t xml:space="preserve"> </w:t>
      </w:r>
      <w:r>
        <w:t xml:space="preserve">state grammar schools that admit by an entrance test (166 schools, 4.8% of the sample); non-selective schools located in otherwise selective areas (234 schools, the reference category); and all other non-selective schools (the remaining ~88%). The estimate we report is therefore the effect of</w:t>
      </w:r>
      <w:r>
        <w:t xml:space="preserve"> </w:t>
      </w:r>
      <w:r>
        <w:rPr>
          <w:i/>
          <w:iCs/>
        </w:rPr>
        <w:t xml:space="preserve">full</w:t>
      </w:r>
      <w:r>
        <w:t xml:space="preserve"> </w:t>
      </w:r>
      <w:r>
        <w:t xml:space="preserve">academic selection, benchmarked against non-selective schools whose intakes are shaped by the same local grammar systems. It does not capture partial selection, banding, aptitude-based selection or faith-based oversubscription criteria, all of which fall within the</w:t>
      </w:r>
      <w:r>
        <w:t xml:space="preserve"> </w:t>
      </w:r>
      <w:r>
        <w:t xml:space="preserve">‘other non-selective’</w:t>
      </w:r>
      <w:r>
        <w:t xml:space="preserve"> </w:t>
      </w:r>
      <w:r>
        <w:t xml:space="preserve">category and are consequently unmeasured here; faith schools in particular are not separately identified in the main model.</w:t>
      </w:r>
    </w:p>
    <w:p>
      <w:pPr>
        <w:pStyle w:val="BodyText"/>
      </w:pPr>
      <w:r>
        <w:t xml:space="preserve">Two points on the prior-attainment control deserve emphasis. First, we control for prior attainment using the cohort’s</w:t>
      </w:r>
      <w:r>
        <w:t xml:space="preserve"> </w:t>
      </w:r>
      <w:r>
        <w:rPr>
          <w:i/>
          <w:iCs/>
        </w:rPr>
        <w:t xml:space="preserve">mean KS2 scaled score</w:t>
      </w:r>
      <w:r>
        <w:t xml:space="preserve">, and for the final year of our panel no observed prior-attainment data exists at all. Because the KS2 tests and assessments of 2019-20 and 2020-21 were cancelled during the pandemic, the cohorts reaching the end of KS4 in 2024-25 and 2025-26 have no KS2 results of any kind; the DfE accordingly publishes neither prior-attainment measures nor Progress 8 for those years.</w:t>
      </w:r>
      <w:r>
        <w:rPr>
          <w:rStyle w:val="FootnoteReference"/>
        </w:rPr>
        <w:footnoteReference w:id="33"/>
      </w:r>
      <w:r>
        <w:t xml:space="preserve"> </w:t>
      </w:r>
      <w:r>
        <w:t xml:space="preserve">For 2024-25 we therefore carry forward each school’s most recently observed value (or, where that is unavailable, its mean across observed years), and the affected rows are flagged in the panel. Second, because we lack pupil-level data, prior attainment is corrected only at the school level; this is a coarser adjustment than a pupil-and-school-level correction would provide, and some residual confounding of the intake coefficients cannot be ruled out. We return to this limitation later in the paper.</w:t>
      </w:r>
    </w:p>
    <w:p>
      <w:pPr>
        <w:pStyle w:val="BodyText"/>
      </w:pPr>
      <w:r>
        <w:t xml:space="preserve">An earlier version of this analysis controlled for prior attainment using only the</w:t>
      </w:r>
      <w:r>
        <w:t xml:space="preserve"> </w:t>
      </w:r>
      <w:r>
        <w:rPr>
          <w:i/>
          <w:iCs/>
        </w:rPr>
        <w:t xml:space="preserve">percentage of pupils with low KS2 prior attainment</w:t>
      </w:r>
      <w:r>
        <w:t xml:space="preserve">. In this iteration we look at the mean KS2 score and discuss the difference here because it materially affects two of our estimates. The low-attainment share measures only the bottom of a school’s intake distribution: it records how many pupils arrived already behind, but says nothing about how many arrived ahead. Two schools with identical proportions of low prior attainers can have very different intakes across the rest of the attainment spectrum. A model controlling only for the low-attainment share cannot distinguish them, and so systematically under-adjusts for schools whose advantage lies at the</w:t>
      </w:r>
      <w:r>
        <w:t xml:space="preserve"> </w:t>
      </w:r>
      <w:r>
        <w:rPr>
          <w:i/>
          <w:iCs/>
        </w:rPr>
        <w:t xml:space="preserve">top</w:t>
      </w:r>
      <w:r>
        <w:t xml:space="preserve"> </w:t>
      </w:r>
      <w:r>
        <w:t xml:space="preserve">of the distribution. Mean KS2 score, in contrast, reflects the whole distribution - both tails - and produces a better model fit (a reduction in AIC of over 500 for the all-pupil model); once it is included, the low-attainment share adds nothing further (t = -0.45).</w:t>
      </w:r>
    </w:p>
    <w:p>
      <w:pPr>
        <w:pStyle w:val="BodyText"/>
      </w:pPr>
      <w:r>
        <w:t xml:space="preserve">This matters for the analysis we report. The coefficient on concentrations of disadvantage falls by roughly a</w:t>
      </w:r>
      <w:r>
        <w:t xml:space="preserve"> </w:t>
      </w:r>
      <w:r>
        <w:rPr>
          <w:i/>
          <w:iCs/>
        </w:rPr>
        <w:t xml:space="preserve">quarter</w:t>
      </w:r>
      <w:r>
        <w:t xml:space="preserve"> </w:t>
      </w:r>
      <w:r>
        <w:t xml:space="preserve">for all pupils, because the low-attainment share had been leaving part of the intake difference between high- and low-FSM schools unmeasured, and the FSM variable had been absorbing it. Properly controlled, disadvantage concentration is an even</w:t>
      </w:r>
      <w:r>
        <w:t xml:space="preserve"> </w:t>
      </w:r>
      <w:r>
        <w:rPr>
          <w:i/>
          <w:iCs/>
        </w:rPr>
        <w:t xml:space="preserve">weaker</w:t>
      </w:r>
      <w:r>
        <w:t xml:space="preserve"> </w:t>
      </w:r>
      <w:r>
        <w:t xml:space="preserve">predictor of attainment than our earlier specification implied. For disadvantaged pupils specifically, the positive coefficient on disadvantage concentration becomes both larger and far more clearly distinguishable from zero (</w:t>
      </w:r>
      <w:r>
        <w:rPr>
          <w:i/>
          <w:iCs/>
        </w:rPr>
        <w:t xml:space="preserve">t</w:t>
      </w:r>
      <w:r>
        <w:t xml:space="preserve"> </w:t>
      </w:r>
      <w:r>
        <w:t xml:space="preserve">rising from 2.1 to 5.6) - disadvantaged pupils in high disadvantage schools are even more positively affected by this than our earlier specification led us to believe. The absence coefficient, by contrast, barely moves - under 3% in either pupil group - so the paper’s central finding is unaffected by the choice. The practical lesson is that in modelling KS4 outcomes it is not sufficient to ask how many pupils arrived behind; how many arrived ahead matters just as much, and a control that sees only one tail will quietly over-credit schools for intake advantages they did not create.</w:t>
      </w:r>
    </w:p>
    <w:p>
      <w:pPr>
        <w:pStyle w:val="BodyText"/>
      </w:pPr>
      <w:r>
        <w:t xml:space="preserve">It is worth saying something about how we should be cautious in our interpretation following this improvement. Prior attainment at Key Stage 2 is not independent of disadvantage: it is in quiet a large way its accumulated product, reflecting the inequalities a child has already experienced before secondary school ever begins</w:t>
      </w:r>
      <w:r>
        <w:t xml:space="preserve"> </w:t>
      </w:r>
      <w:r>
        <w:t xml:space="preserve">(Stopforth and Gayle 2025; Gorard and Siddiqui 2019)</w:t>
      </w:r>
      <w:r>
        <w:t xml:space="preserve">. A control that captures the whole intake distribution therefore absorbs correspondingly more of the poverty signal than one that captures a single tail - which is precisely why the disadvantage coefficient attenuates as it does when we make the switch. The coefficient that survives this control should not, then, be read as an estimate of how much poverty matters to attainment. It is a</w:t>
      </w:r>
      <w:r>
        <w:t xml:space="preserve"> </w:t>
      </w:r>
      <w:r>
        <w:rPr>
          <w:i/>
          <w:iCs/>
        </w:rPr>
        <w:t xml:space="preserve">within-intake</w:t>
      </w:r>
      <w:r>
        <w:t xml:space="preserve"> </w:t>
      </w:r>
      <w:r>
        <w:t xml:space="preserve">comparison: what remains once schools receiving similar cohorts are set alongside one another. The total contribution of disadvantage to attainment is substantially larger than that residual coefficient implies, and nothing in our analysis should be taken to suggest otherwise. What our models do identify is the marginal association with the</w:t>
      </w:r>
      <w:r>
        <w:t xml:space="preserve"> </w:t>
      </w:r>
      <w:r>
        <w:rPr>
          <w:i/>
          <w:iCs/>
        </w:rPr>
        <w:t xml:space="preserve">concentration</w:t>
      </w:r>
      <w:r>
        <w:t xml:space="preserve"> </w:t>
      </w:r>
      <w:r>
        <w:t xml:space="preserve">of disadvantage at school level, holding intake constant - a much narrower quantity, and the one the 2023 (FSM priority) and 2024 (increased mixing) Brighton and Hove policy propositions actually turned on.</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Restricted Maximum Likelihood estimation.</w:t>
      </w:r>
    </w:p>
    <w:bookmarkEnd w:id="35"/>
    <w:bookmarkEnd w:id="36"/>
    <w:bookmarkStart w:id="43" w:name="results"/>
    <w:p>
      <w:pPr>
        <w:pStyle w:val="Heading1"/>
      </w:pPr>
      <w:r>
        <w:t xml:space="preserve">4. Results</w:t>
      </w:r>
    </w:p>
    <w:bookmarkStart w:id="37" w:name="model-fit"/>
    <w:p>
      <w:pPr>
        <w:pStyle w:val="Heading2"/>
      </w:pPr>
      <w:r>
        <w:t xml:space="preserve">4.1 Model fit</w:t>
      </w:r>
    </w:p>
    <w:p>
      <w:pPr>
        <w:pStyle w:val="FirstParagraph"/>
      </w:pPr>
      <w:r>
        <w:t xml:space="preserve">The models explain a substantial proportion of variance in school-level Attainment 8. In order that these fits are more intuitive for those used to interpreting OLS regression models, we use the method described by</w:t>
      </w:r>
      <w:r>
        <w:t xml:space="preserve"> </w:t>
      </w:r>
      <w:r>
        <w:t xml:space="preserve">Nakagawa and Schielzeth (2013)</w:t>
      </w:r>
      <w:r>
        <w:t xml:space="preserve"> </w:t>
      </w:r>
      <w:r>
        <w:t xml:space="preserve">and</w:t>
      </w:r>
      <w:r>
        <w:t xml:space="preserve"> </w:t>
      </w:r>
      <w:r>
        <w:t xml:space="preserve">Nakagawa et al. (2017)</w:t>
      </w:r>
      <w:r>
        <w:t xml:space="preserve"> </w:t>
      </w:r>
      <w:r>
        <w:t xml:space="preserve">to calculate indicative</w:t>
      </w:r>
      <w:r>
        <w:t xml:space="preserve"> </w:t>
      </w:r>
      <m:oMath>
        <m:sSup>
          <m:e>
            <m:r>
              <m:t>R</m:t>
            </m:r>
          </m:e>
          <m:sup>
            <m:r>
              <m:t>2</m:t>
            </m:r>
          </m:sup>
        </m:sSup>
      </m:oMath>
      <w:r>
        <w:t xml:space="preserve"> </w:t>
      </w:r>
      <w:r>
        <w:t xml:space="preserve">values. For all pupils, the conditional</w:t>
      </w:r>
      <w:r>
        <w:t xml:space="preserve"> </w:t>
      </w:r>
      <m:oMath>
        <m:sSup>
          <m:e>
            <m:r>
              <m:t>R</m:t>
            </m:r>
          </m:e>
          <m:sup>
            <m:r>
              <m:t>2</m:t>
            </m:r>
          </m:sup>
        </m:sSup>
      </m:oMath>
      <w:r>
        <w:t xml:space="preserve"> </w:t>
      </w:r>
      <w:r>
        <w:t xml:space="preserve">(fixed plus random effects) is 0.78, with marginal</w:t>
      </w:r>
      <w:r>
        <w:t xml:space="preserve"> </w:t>
      </w:r>
      <m:oMath>
        <m:sSup>
          <m:e>
            <m:r>
              <m:t>R</m:t>
            </m:r>
          </m:e>
          <m:sup>
            <m:r>
              <m:t>2</m:t>
            </m:r>
          </m:sup>
        </m:sSup>
      </m:oMath>
      <w:r>
        <w:t xml:space="preserve"> </w:t>
      </w:r>
      <w:r>
        <w:t xml:space="preserve">(fixed effects alone) of 0.65. For disadvantaged pupils the conditional</w:t>
      </w:r>
      <w:r>
        <w:t xml:space="preserve"> </w:t>
      </w:r>
      <m:oMath>
        <m:sSup>
          <m:e>
            <m:r>
              <m:t>R</m:t>
            </m:r>
          </m:e>
          <m:sup>
            <m:r>
              <m:t>2</m:t>
            </m:r>
          </m:sup>
        </m:sSup>
      </m:oMath>
      <w:r>
        <w:t xml:space="preserve"> </w:t>
      </w:r>
      <w:r>
        <w:t xml:space="preserve">is 0.73; for non-disadvantaged pupils, 0.8. School-level attainment is remarkably predictable from these structural factors, which makes them very useful for exploring the effectiveness of local policy levers.</w:t>
      </w:r>
    </w:p>
    <w:bookmarkEnd w:id="37"/>
    <w:bookmarkStart w:id="38" w:name="stepwise-decomposition"/>
    <w:p>
      <w:pPr>
        <w:pStyle w:val="Heading2"/>
      </w:pPr>
      <w:r>
        <w:t xml:space="preserve">4.2 Stepwise decomposition</w:t>
      </w:r>
    </w:p>
    <w:p>
      <w:pPr>
        <w:pStyle w:val="FirstParagraph"/>
      </w:pPr>
      <w:r>
        <w:rPr>
          <w:i/>
          <w:iCs/>
        </w:rPr>
        <w:t xml:space="preserve">[Table 1: Stepwise progression to the full multilevel model for overall Attainment 8. — about here]</w:t>
      </w:r>
    </w:p>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close to 70% of attainment variation is explained, with the t-values (in some respects a standardised version of the coefficients allowing for a degree of relative comparison) showing that % absence (t = -60.5) is the most important variable, mean KS2 prior attainment (t = 58.2) the next most important and % FSM the least influential (t = -21.0).</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w:t>
      </w:r>
      <w:r>
        <w:t xml:space="preserve"> </w:t>
      </w:r>
      <m:oMath>
        <m:sSup>
          <m:e>
            <m:r>
              <m:t>R</m:t>
            </m:r>
          </m:e>
          <m:sup>
            <m:r>
              <m:t>2</m:t>
            </m:r>
          </m:sup>
        </m:sSup>
      </m:oMath>
      <w:r>
        <w:t xml:space="preserve"> </w:t>
      </w:r>
      <w:r>
        <w:t xml:space="preserve">from 0.65 (marginal) to 0.78 (conditional), indicating that 13% of attainment variance is tied to these grouping factors - capturing unmeasured factors such as school culture, leadership quality, local authority support services, and community characteristics.</w:t>
      </w:r>
    </w:p>
    <w:p>
      <w:pPr>
        <w:pStyle w:val="BodyText"/>
      </w:pPr>
      <w:r>
        <w:t xml:space="preserve">Ofsted rating has only four ordered categories, fewer than would ordinarily be modelled as a random effect. We include it as a grouping factor for partial pooling and consistency with the other contextual groupings, but we have verified that treating it instead as a categorical fixed effect leaves every other coefficient unchanged to three or four significant figures and does not move Brighton and Hove’s rank (supplementary material). The fixed-effect form is also informative in its own right: relative to an</w:t>
      </w:r>
      <w:r>
        <w:t xml:space="preserve"> </w:t>
      </w:r>
      <w:r>
        <w:t xml:space="preserve">‘Outstanding’</w:t>
      </w:r>
      <w:r>
        <w:t xml:space="preserve"> </w:t>
      </w:r>
      <w:r>
        <w:t xml:space="preserve">school, and holding intake constant, a</w:t>
      </w:r>
      <w:r>
        <w:t xml:space="preserve"> </w:t>
      </w:r>
      <w:r>
        <w:t xml:space="preserve">‘Good’</w:t>
      </w:r>
      <w:r>
        <w:t xml:space="preserve"> </w:t>
      </w:r>
      <w:r>
        <w:t xml:space="preserve">rating is associated with roughly 1.9 fewer Attainment 8 points,</w:t>
      </w:r>
      <w:r>
        <w:t xml:space="preserve"> </w:t>
      </w:r>
      <w:r>
        <w:t xml:space="preserve">‘Requires Improvement’</w:t>
      </w:r>
      <w:r>
        <w:t xml:space="preserve"> </w:t>
      </w:r>
      <w:r>
        <w:t xml:space="preserve">with 4.0 fewer, and</w:t>
      </w:r>
      <w:r>
        <w:t xml:space="preserve"> </w:t>
      </w:r>
      <w:r>
        <w:t xml:space="preserve">‘Inadequate’</w:t>
      </w:r>
      <w:r>
        <w:t xml:space="preserve"> </w:t>
      </w:r>
      <w:r>
        <w:t xml:space="preserve">with 4.5 fewer - a scale that flattens markedly at the bottom, so that the gap between the two lowest ratings is small. We treat Ofsted as a contextual control rather than a causal factor throughout, since inspection judgements are formed with sight of a school’s results and are therefore partly an expression of attainment rather than an independent driver of it; consistent with this, omitting Ofsted entirely</w:t>
      </w:r>
      <w:r>
        <w:t xml:space="preserve"> </w:t>
      </w:r>
      <w:r>
        <w:rPr>
          <w:i/>
          <w:iCs/>
        </w:rPr>
        <w:t xml:space="preserve">increases</w:t>
      </w:r>
      <w:r>
        <w:t xml:space="preserve"> </w:t>
      </w:r>
      <w:r>
        <w:t xml:space="preserve">the estimated absence effect by 12–15%, so its inclusion makes our headline absence figure, if anything, conservative.</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 We make the practical magnitude concrete in section 5.3 (</w:t>
      </w:r>
      <w:hyperlink w:anchor="fig-accelerating-returns">
        <w:r>
          <w:rPr>
            <w:rStyle w:val="Hyperlink"/>
          </w:rPr>
          <w:t xml:space="preserve">Figure 4</w:t>
        </w:r>
      </w:hyperlink>
      <w:r>
        <w:t xml:space="preserve">), which translates the coefficients into the expected Attainment 8 gain from a one-percentage-point change at each point along the absence and disadvantage distributions.</w:t>
      </w:r>
    </w:p>
    <w:bookmarkEnd w:id="38"/>
    <w:bookmarkStart w:id="42" w:name="relative-variable-importance"/>
    <w:p>
      <w:pPr>
        <w:pStyle w:val="Heading2"/>
      </w:pPr>
      <w:r>
        <w:t xml:space="preserve">4.3 Relative variable importance</w:t>
      </w:r>
    </w:p>
    <w:p>
      <w:pPr>
        <w:pStyle w:val="FirstParagraph"/>
      </w:pPr>
      <w:r>
        <w:rPr>
          <w:i/>
          <w:iCs/>
        </w:rPr>
        <w:t xml:space="preserve">[Figure 1: Standardised coefficients showing relative variable importance across pupil groups. Bars show the change in log(ATT8) associated with a one-SD shift in each predictor. — about here]</w:t>
      </w:r>
    </w:p>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39"/>
      </w:r>
      <w:r>
        <w:t xml:space="preserve"> </w:t>
      </w:r>
      <w:r>
        <w:t xml:space="preserve">across all three pupil groups (all pupils, disadvantaged pupils and non-disadvantaged pupils - full model outputs available in the supplementary materials</w:t>
      </w:r>
      <w:r>
        <w:rPr>
          <w:rStyle w:val="FootnoteReference"/>
        </w:rPr>
        <w:footnoteReference w:id="40"/>
      </w:r>
      <w:r>
        <w:t xml:space="preserve">). Two predictors stand well clear of the rest, and which of them leads depends on the pupil group. Mean KS2 prior attainment has the largest standardised coefficient for all pupils and for non-disadvantaged pupils; for disadvantaged pupils, absence is larger. Prior attainment enters with a</w:t>
      </w:r>
      <w:r>
        <w:t xml:space="preserve"> </w:t>
      </w:r>
      <w:r>
        <w:rPr>
          <w:i/>
          <w:iCs/>
        </w:rPr>
        <w:t xml:space="preserve">positive</w:t>
      </w:r>
      <w:r>
        <w:t xml:space="preserve"> </w:t>
      </w:r>
      <w:r>
        <w:t xml:space="preserve">sign - cohorts arriving from primary school with higher average KS2 scores go on to higher Attainment 8 - and its prominence is unsurprising, since it is the closest thing in the model to a direct measure of the intake a school receives.</w:t>
      </w:r>
    </w:p>
    <w:p>
      <w:pPr>
        <w:pStyle w:val="BodyText"/>
      </w:pPr>
      <w:r>
        <w:t xml:space="preserve">The distinction that matters for policy is that these two variables are not equally available to act on. Prior attainment is inherited: for a cohort already in secondary school it is fixed, and no admissions or improvement decision taken by a local authority can alter it. It belongs in the model as a control for intake, not as a lever. Absence, by contrast, is at least partly open to intervention, and it is the largest such factor for every pupil group. It is also markedly more important for disadvantaged pupils, accounting for 33% of the combined standardised effect of all nine predictors for that group, against 26% for non-disadvantaged pupils.</w:t>
      </w:r>
    </w:p>
    <w:p>
      <w:pPr>
        <w:pStyle w:val="BodyText"/>
      </w:pPr>
      <w:hyperlink w:anchor="fig-standardised-coefficients">
        <w:r>
          <w:rPr>
            <w:rStyle w:val="Hyperlink"/>
          </w:rPr>
          <w:t xml:space="preserve">Figure 1</w:t>
        </w:r>
      </w:hyperlink>
      <w:r>
        <w:t xml:space="preserve"> </w:t>
      </w:r>
      <w:r>
        <w:t xml:space="preserve">makes the relative importance of the predictors explicit, and the ordering is the main empirical take-home message of the paper. Putting prior attainment to one side - as it describes the intake rather than anything a school or authority can change - school absence is the dominant lever by a clear margin; and the concentration of disadvantage - the variable around which the Brighton and Hove policy was built - is a distant contributor whose sign (direction of effect), as we discuss next, actually depends on the pupil group. Recognising this ordering matters, because a policy debate anchored on disadvantage concentration is, on this evidence, anchored on one of the weakest of the levers available.</w:t>
      </w:r>
    </w:p>
    <w:p>
      <w:pPr>
        <w:pStyle w:val="BodyText"/>
      </w:pPr>
      <w:r>
        <w:t xml:space="preserve">The most contentious finding in our analysis concerns concentrations of disadvantage (contentious in Brighton and Hove - although the findings echo the analysis of</w:t>
      </w:r>
      <w:r>
        <w:t xml:space="preserve"> </w:t>
      </w:r>
      <w:r>
        <w:t xml:space="preserve">Macleod et al. (2015)</w:t>
      </w:r>
      <w:r>
        <w:t xml:space="preserve"> </w:t>
      </w:r>
      <w:r>
        <w:t xml:space="preserve">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mean KS2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1"/>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We should be careful about the interpretation of this positive coefficient. One reading is that equivalent disadvantaged pupils do genuinely better in higher-concentration schools (</w:t>
      </w:r>
      <w:r>
        <w:t xml:space="preserve">‘differing effects’</w:t>
      </w:r>
      <w:r>
        <w:t xml:space="preserve">). But an alternative is that the FSM binary cannot distinguish the depth or duration of disadvantage, so the disadvantaged pupils in a 50%-FSM school may differ systematically from those in a 20%-FSM school in ways our aggregate measures do not capture (</w:t>
      </w:r>
      <w:r>
        <w:t xml:space="preserve">‘differing pupils’</w:t>
      </w:r>
      <w:r>
        <w:t xml:space="preserve">). We cannot unpick which with school-level data, and we do not try to. The consistency of the result across multiple operationalisations of both disadvantage and disadvantaged attainment makes a pure measurement artefact less likely, and the stronger positive association we observe on the vocational/technical component of Attainment 8 (supplementary material) is at least suggestive of a genuine specialisation mechanism rather than pure composition. But the composition interpretation cannot be excluded, and distinguishing the two would require pupil-level data with disadvantage histories. Importantly, our policy argument does not depend on which interpretation holds: under either, there is no evidence that concentrating disadvantaged pupils</w:t>
      </w:r>
      <w:r>
        <w:t xml:space="preserve"> </w:t>
      </w:r>
      <w:r>
        <w:rPr>
          <w:i/>
          <w:iCs/>
        </w:rPr>
        <w:t xml:space="preserve">harms</w:t>
      </w:r>
      <w:r>
        <w:t xml:space="preserve"> </w:t>
      </w:r>
      <w:r>
        <w:t xml:space="preserve">their attainment, and therefore no support for the premise that de-concentration would</w:t>
      </w:r>
      <w:r>
        <w:t xml:space="preserve"> </w:t>
      </w:r>
      <w:r>
        <w:rPr>
          <w:i/>
          <w:iCs/>
        </w:rPr>
        <w:t xml:space="preserve">improve</w:t>
      </w:r>
      <w:r>
        <w:t xml:space="preserve"> </w:t>
      </w:r>
      <w:r>
        <w:t xml:space="preserve">it.</w:t>
      </w:r>
    </w:p>
    <w:p>
      <w:pPr>
        <w:pStyle w:val="BodyText"/>
      </w:pPr>
      <w:r>
        <w:t xml:space="preserve">For non-disadvantaged pupils, the effect of higher disadvantage concentrations is more clearly negative - being in a higher-disadvantage school depresses Attainment 8 for this group, possibly through peer effects or curriculum-resourcing dynamics. Both findings challenge the</w:t>
      </w:r>
      <w:r>
        <w:t xml:space="preserve"> </w:t>
      </w:r>
      <w:r>
        <w:t xml:space="preserve">‘no cost’</w:t>
      </w:r>
      <w:r>
        <w:t xml:space="preserve"> </w:t>
      </w:r>
      <w:r>
        <w:t xml:space="preserve">conjecture and, in the Brighton and Hove context, suggest that further mixing of an already comparatively well-integrated set of schools could be counter-productive for disadvantaged attainment.</w:t>
      </w:r>
    </w:p>
    <w:p>
      <w:pPr>
        <w:pStyle w:val="BodyText"/>
      </w:pPr>
      <w:r>
        <w:t xml:space="preserve">Absence is the biggest modifiable predictor across all groups and is more important still for disadvantaged pupils, for whom it accounts for roughly a third of the combined standardised effect of every predictor in the model. 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w:t>
      </w:r>
      <w:r>
        <w:t xml:space="preserve"> </w:t>
      </w:r>
      <w:r>
        <w:t xml:space="preserve">(Thomson 2023)</w:t>
      </w:r>
      <w:r>
        <w:t xml:space="preserve">, they could be actively counter-productive.</w:t>
      </w:r>
    </w:p>
    <w:bookmarkEnd w:id="42"/>
    <w:bookmarkEnd w:id="43"/>
    <w:bookmarkStart w:id="57" w:name="brighton-and-hove-case-study"/>
    <w:p>
      <w:pPr>
        <w:pStyle w:val="Heading1"/>
      </w:pPr>
      <w:r>
        <w:t xml:space="preserve">5. Brighton and Hove case study</w:t>
      </w:r>
    </w:p>
    <w:bookmarkStart w:id="51"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In October 2024, the council launched proposals to amend the secondary school admissions process. The cabinet papers</w:t>
      </w:r>
      <w:r>
        <w:rPr>
          <w:rStyle w:val="FootnoteReference"/>
        </w:rPr>
        <w:footnoteReference w:id="44"/>
      </w:r>
      <w:r>
        <w:t xml:space="preserve"> </w:t>
      </w:r>
      <w:r>
        <w:t xml:space="preserve">set out three stated objectives:</w:t>
      </w:r>
      <w:r>
        <w:t xml:space="preserve"> </w:t>
      </w:r>
      <w:r>
        <w:rPr>
          <w:i/>
          <w:iCs/>
        </w:rPr>
        <w:t xml:space="preserve">‘a school system where all pupils get access to a great education’</w:t>
      </w:r>
      <w:r>
        <w:t xml:space="preserve">, improving</w:t>
      </w:r>
      <w:r>
        <w:t xml:space="preserve"> </w:t>
      </w:r>
      <w:r>
        <w:rPr>
          <w:i/>
          <w:iCs/>
        </w:rPr>
        <w:t xml:space="preserve">‘the education offer for disadvantaged pupils by reducing some schools’</w:t>
      </w:r>
      <w:r>
        <w:rPr>
          <w:i/>
          <w:iCs/>
        </w:rPr>
        <w:t xml:space="preserve"> </w:t>
      </w:r>
      <w:r>
        <w:rPr>
          <w:i/>
          <w:iCs/>
        </w:rPr>
        <w:t xml:space="preserve">barriers to success’</w:t>
      </w:r>
      <w:r>
        <w:t xml:space="preserve">, and</w:t>
      </w:r>
      <w:r>
        <w:t xml:space="preserve"> </w:t>
      </w:r>
      <w:r>
        <w:rPr>
          <w:i/>
          <w:iCs/>
        </w:rPr>
        <w:t xml:space="preserve">‘better equality of outcomes - results not driven by economic advantage’</w:t>
      </w:r>
      <w:r>
        <w:t xml:space="preserve">. Alongside ran a School Organisation Strategy commitment to</w:t>
      </w:r>
      <w:r>
        <w:t xml:space="preserve"> </w:t>
      </w:r>
      <w:r>
        <w:rPr>
          <w:i/>
          <w:iCs/>
        </w:rPr>
        <w:t xml:space="preserve">‘schools which are sustainable and able to thrive’</w:t>
      </w:r>
      <w:r>
        <w:t xml:space="preserve"> </w:t>
      </w:r>
      <w:r>
        <w:t xml:space="preserve">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w:t>
      </w:r>
      <w:r>
        <w:t xml:space="preserve"> </w:t>
      </w:r>
      <w:r>
        <w:t xml:space="preserve">Gorard and Siddiqui (2019)</w:t>
      </w:r>
      <w:r>
        <w:t xml:space="preserve"> </w:t>
      </w:r>
      <w:r>
        <w:t xml:space="preserve">in which more mixed intakes produce better outcomes for disadvantaged pupils, plus a premise that attainment in the city was</w:t>
      </w:r>
      <w:r>
        <w:t xml:space="preserve"> </w:t>
      </w:r>
      <w:r>
        <w:rPr>
          <w:i/>
          <w:iCs/>
        </w:rPr>
        <w:t xml:space="preserve">‘driven by economic advantage’</w:t>
      </w:r>
      <w:r>
        <w:t xml:space="preserve"> </w:t>
      </w:r>
      <w:r>
        <w:t xml:space="preserve">- a framing that implied that those who could afford to do so paid a housing premium to be near better schools in the city, but a characterisation empirically challenged in this context by</w:t>
      </w:r>
      <w:r>
        <w:t xml:space="preserve"> </w:t>
      </w:r>
      <w:r>
        <w:t xml:space="preserve">Tan and Dennett (2025)</w:t>
      </w:r>
      <w:r>
        <w:t xml:space="preserve"> </w:t>
      </w:r>
      <w:r>
        <w:t xml:space="preserve">who found that proximity to good schools in the city had a very small impact on prices. The 2024 proposals built on a 2023 policy giving FSM-eligible pupils priority at schools below the city-average (30%) FSM share, which was already producing flows from peripheral to central catchments.</w:t>
      </w:r>
    </w:p>
    <w:p>
      <w:pPr>
        <w:pStyle w:val="BodyText"/>
      </w:pPr>
      <w:r>
        <w:t xml:space="preserve">The public response was overwhelmingly negative, with the council’s pre-consultation feedback summary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schools at the city’s periphery, potentially requiring over two hours of daily commuting. The council’s transport-implications appendix</w:t>
      </w:r>
      <w:r>
        <w:rPr>
          <w:rStyle w:val="FootnoteReference"/>
        </w:rPr>
        <w:footnoteReference w:id="47"/>
      </w:r>
      <w:r>
        <w:t xml:space="preserve"> </w:t>
      </w:r>
      <w:r>
        <w:t xml:space="preserve">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 disadvantage</w:t>
      </w:r>
      <w:r>
        <w:rPr>
          <w:rStyle w:val="FootnoteReference"/>
        </w:rPr>
        <w:footnoteReference w:id="49"/>
      </w:r>
      <w:r>
        <w:t xml:space="preserve"> </w:t>
      </w:r>
      <w:r>
        <w:t xml:space="preserve">- which included sections on attendance, leadership, governance and targeted support - was not referenced in the 2024 consultation materials.</w:t>
      </w:r>
    </w:p>
    <w:p>
      <w:pPr>
        <w:pStyle w:val="BodyText"/>
      </w:pPr>
      <w:r>
        <w:t xml:space="preserve">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p>
      <w:pPr>
        <w:pStyle w:val="BodyText"/>
      </w:pPr>
      <w:r>
        <w:rPr>
          <w:i/>
          <w:iCs/>
        </w:rPr>
        <w:t xml:space="preserve">[Figure 2: Brighton and Hove secondary schools with 2025/26 catchment boundaries. — about here]</w:t>
      </w:r>
    </w:p>
    <w:bookmarkEnd w:id="51"/>
    <w:bookmarkStart w:id="52" w:name="local-authority-effects"/>
    <w:p>
      <w:pPr>
        <w:pStyle w:val="Heading2"/>
      </w:pPr>
      <w:r>
        <w:t xml:space="preserve">5.2 Local authority effects</w:t>
      </w:r>
    </w:p>
    <w:p>
      <w:pPr>
        <w:pStyle w:val="FirstParagraph"/>
      </w:pPr>
      <w:r>
        <w:rPr>
          <w:i/>
          <w:iCs/>
        </w:rPr>
        <w:t xml:space="preserve">[Figure 3: LA random intercepts for disadvantaged-pupil attainment (imputed full panel model). Top and bottom 10 LAs labelled; Brighton and Hove highlighted. — about here]</w:t>
      </w:r>
    </w:p>
    <w:p>
      <w:pPr>
        <w:pStyle w:val="BodyText"/>
      </w:pPr>
      <w:hyperlink w:anchor="fig-caterpillar">
        <w:r>
          <w:rPr>
            <w:rStyle w:val="Hyperlink"/>
          </w:rPr>
          <w:t xml:space="preserve">Figure 3</w:t>
        </w:r>
      </w:hyperlink>
      <w:r>
        <w:t xml:space="preserve"> </w:t>
      </w:r>
      <w:r>
        <w:t xml:space="preserve">shows the local-authority random intercepts for disadvantaged-pupil attainment. Conditional on the structural factors in the model - including school absence - Brighton and Hove ranks 15th of 151 local authorities (top 10%), a positive random intercept equivalent to roughly +1.6 Attainment 8 points above what those factors would predict. On the same conditional basis the city ranks 4th for non-disadvantaged pupils and 5th for all pupils. This was unknown at the time of the 2024 consultation and entirely absent from a public narrative framed around the raw attainment gap alone.</w:t>
      </w:r>
    </w:p>
    <w:p>
      <w:pPr>
        <w:pStyle w:val="BodyText"/>
      </w:pPr>
      <w:r>
        <w:t xml:space="preserve">That conditional ranking, however, depends on a modelling choice that turns out to carry most of the result. Controlling for absence estimates the city’s performance</w:t>
      </w:r>
      <w:r>
        <w:t xml:space="preserve"> </w:t>
      </w:r>
      <w:r>
        <w:rPr>
          <w:i/>
          <w:iCs/>
        </w:rPr>
        <w:t xml:space="preserve">given</w:t>
      </w:r>
      <w:r>
        <w:t xml:space="preserve"> </w:t>
      </w:r>
      <w:r>
        <w:t xml:space="preserve">the attendance its pupils actually record - and Brighton and Hove has among the worst attendance of any authority in England.</w:t>
      </w:r>
      <w:r>
        <w:t xml:space="preserve"> </w:t>
      </w:r>
      <w:hyperlink w:anchor="tbl-la-absence">
        <w:r>
          <w:rPr>
            <w:rStyle w:val="Hyperlink"/>
          </w:rPr>
          <w:t xml:space="preserve">Table 2</w:t>
        </w:r>
      </w:hyperlink>
      <w:r>
        <w:t xml:space="preserve"> </w:t>
      </w:r>
      <w:r>
        <w:t xml:space="preserve">reports the disadvantaged-attainment effect with and without that control. Without any absence term, the city falls from 15th to 69th of 151 and its effect is no longer statistically distinguishable from the national average. The city’s apparent excellence for disadvantaged pupils is, in this precise sense, conditional on setting its attendance problem aside.</w:t>
      </w:r>
    </w:p>
    <w:p>
      <w:pPr>
        <w:pStyle w:val="BodyText"/>
      </w:pPr>
      <w:r>
        <w:rPr>
          <w:i/>
          <w:iCs/>
        </w:rPr>
        <w:t xml:space="preserve">[Table 2: Brighton and Hove’s local-authority effect for disadvantaged-pupil attainment, with and without a control for school absence. The intake-predicted specification controls only for the part of absence that intake predicts, leaving the city’s excess absence in the residual. — about here]</w:t>
      </w:r>
    </w:p>
    <w:p>
      <w:pPr>
        <w:pStyle w:val="BodyText"/>
      </w:pPr>
      <w:r>
        <w:t xml:space="preserve">This is not an artefact peculiar to Brighton and Hove: controlling for absence reshuffles the whole distribution of local-authority effects, and 8 authorities that appear significantly above average once absence is controlled are indistinguishable from average without it. Absence does a great deal of work in any model of attainment, and where an authority sits on it materially changes how its schools appear to perform. But the shift is unusually consequential for Brighton and Hove precisely because its attendance is so extreme.</w:t>
      </w:r>
    </w:p>
    <w:p>
      <w:pPr>
        <w:pStyle w:val="BodyText"/>
      </w:pPr>
      <w:r>
        <w:t xml:space="preserve">The distance between these two numbers is the important finding, rather than either number alone. Conditional on the absence its pupils face, Brighton and Hove’s schools sit within the strongest 10% of local education authorities in England for disadvantaged attainment; unconditionally they are unremarkable. The gap between the two - about 1.4 Attainment 8 points per disadvantaged pupil - is a direct measure of what the city’s attendance problem costs its most disadvantaged children. It is not a reason to discount the schools’ underlying effectiveness; it is a reason to treat attendance as the single most valuable lever available to the city, a point we develop in section 5.5 and quantify through the accelerating-returns analysis below. (For all pupils the city’s advantage is more robust to this choice, remaining significantly positive without an absence control at 69th; it is specifically the disadvantaged-pupil result that rests on it.)</w:t>
      </w:r>
    </w:p>
    <w:p>
      <w:pPr>
        <w:pStyle w:val="BodyText"/>
      </w:pPr>
      <w:r>
        <w:t xml:space="preserve">Two features of the city’s absence confirm that this is a local problem rather than an inevitability of its intake. First, Brighton and Hove’s disadvantage is unexceptional: its mean school-level free-school-meal rate (25.2%) is slightly</w:t>
      </w:r>
      <w:r>
        <w:t xml:space="preserve"> </w:t>
      </w:r>
      <w:r>
        <w:rPr>
          <w:i/>
          <w:iCs/>
        </w:rPr>
        <w:t xml:space="preserve">below</w:t>
      </w:r>
      <w:r>
        <w:t xml:space="preserve"> </w:t>
      </w:r>
      <w:r>
        <w:t xml:space="preserve">the national average (27.1%). When we model expected absence from intake alone (section 5.5), the city’s schools should record about 8.8% absence; they actually record 10.8%. Almost two percentage points of absence sit above what the intake predicts. Second, the problem has not been improving. Between 2021–22 and 2024–25, absence fell in 94% of English local authorities - the national mean dropping by 0.88 percentage points as attendance recovered from the pandemic - while Brighton and Hove’s barely moved (-0.03 points), leaving it 143th of 152 authorities for improvement. The city did not become an outlier because its absence rose; it became an outlier because, almost alone, its absence did not fall.</w:t>
      </w:r>
    </w:p>
    <w:bookmarkEnd w:id="52"/>
    <w:bookmarkStart w:id="53"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p>
      <w:pPr>
        <w:pStyle w:val="BodyText"/>
      </w:pPr>
      <w:r>
        <w:rPr>
          <w:i/>
          <w:iCs/>
        </w:rPr>
        <w:t xml:space="preserve">[Figure 4: Accelerating returns: each percentage-point reduction buys a progressively larger ATT8 gain (reading right to left). Absence delivers substantially larger gains than FSM at every level. Brighton and Hove schools marked on each curve. — about here]</w:t>
      </w:r>
    </w:p>
    <w:p>
      <w:pPr>
        <w:pStyle w:val="BodyText"/>
      </w:pPr>
      <w:r>
        <w:t xml:space="preserve">Four features are immediately visible. First, the absence curve sits above the FSM curve at every starting level, indicating how much more effective changes in absence are than changes in disadvantage, for improving attainment. Second, the gap</w:t>
      </w:r>
      <w:r>
        <w:t xml:space="preserve"> </w:t>
      </w:r>
      <w:r>
        <w:rPr>
          <w:i/>
          <w:iCs/>
        </w:rPr>
        <w:t xml:space="preserve">widens</w:t>
      </w:r>
      <w:r>
        <w:t xml:space="preserve"> </w:t>
      </w:r>
      <w:r>
        <w:t xml:space="preserve">as values improve. Third, schools with the highest proportions of disadvantage and to a lesser extent, absence, will notice the least impact on attainment if those levels change. Fourth, Brighton and Hove schools cluster in the flatter right-hand portion for both variables, but for every school, changes in absence are likely to affect more noticable changes in attainment than changes in disadvantage.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3.4 times as important as FSM for predicting attainment.</w:t>
      </w:r>
    </w:p>
    <w:p>
      <w:pPr>
        <w:pStyle w:val="BodyText"/>
      </w:pPr>
      <w:r>
        <w:t xml:space="preserve">Bringing schools above the national average for absence down to it would produce predicted gains averaging +2.8 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bookmarkEnd w:id="53"/>
    <w:bookmarkStart w:id="54" w:name="contextualised-school-performance"/>
    <w:p>
      <w:pPr>
        <w:pStyle w:val="Heading2"/>
      </w:pPr>
      <w:r>
        <w:t xml:space="preserve">5.4 Contextualised school performance</w:t>
      </w:r>
    </w:p>
    <w:p>
      <w:pPr>
        <w:pStyle w:val="FirstParagraph"/>
      </w:pPr>
      <w:r>
        <w:rPr>
          <w:i/>
          <w:iCs/>
        </w:rPr>
        <w:t xml:space="preserve">[Figure 5: Observed versus predicted Attainment 8 for Brighton and Hove schools (highlighted) against all schools nationally, 2024–25. — about here]</w:t>
      </w:r>
    </w:p>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54"/>
    <w:bookmarkStart w:id="56" w:name="X8ff19f05081feb947c9bfda17930b607e81aacb"/>
    <w:p>
      <w:pPr>
        <w:pStyle w:val="Heading2"/>
      </w:pPr>
      <w:r>
        <w:t xml:space="preserve">5.5 Decomposing absence: structural intake versus school management</w:t>
      </w:r>
    </w:p>
    <w:p>
      <w:pPr>
        <w:pStyle w:val="FirstParagraph"/>
      </w:pPr>
      <w:r>
        <w:t xml:space="preserve">The contextualised value-added reading above hides a complication. Our headline model treats school-level absence as a single regressor 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w:t>
      </w:r>
      <w:r>
        <w:t xml:space="preserve"> </w:t>
      </w:r>
      <w:r>
        <w:t xml:space="preserve">‘value-added’</w:t>
      </w:r>
      <w:r>
        <w:t xml:space="preserve"> </w:t>
      </w:r>
      <w:r>
        <w:t xml:space="preserve">reflects what the school does</w:t>
      </w:r>
      <w:r>
        <w:t xml:space="preserve"> </w:t>
      </w:r>
      <w:r>
        <w:rPr>
          <w:i/>
          <w:iCs/>
        </w:rPr>
        <w:t xml:space="preserve">given</w:t>
      </w:r>
      <w:r>
        <w:t xml:space="preserve"> </w:t>
      </w:r>
      <w:r>
        <w:t xml:space="preserve">its attendance, not what it does</w:t>
      </w:r>
      <w:r>
        <w:t xml:space="preserve"> </w:t>
      </w:r>
      <w:r>
        <w:rPr>
          <w:i/>
          <w:iCs/>
        </w:rPr>
        <w:t xml:space="preserve">to</w:t>
      </w:r>
      <w:r>
        <w:t xml:space="preserve"> </w:t>
      </w:r>
      <w:r>
        <w:t xml:space="preserve">its attendance.</w:t>
      </w:r>
    </w:p>
    <w:p>
      <w:pPr>
        <w:pStyle w:val="BodyText"/>
      </w:pPr>
      <w:r>
        <w:t xml:space="preserve">A two-stage decomposition</w:t>
      </w:r>
      <w:r>
        <w:rPr>
          <w:rStyle w:val="FootnoteReference"/>
        </w:rPr>
        <w:footnoteReference w:id="55"/>
      </w:r>
      <w:r>
        <w:t xml:space="preserve"> </w:t>
      </w:r>
      <w:r>
        <w:t xml:space="preserve">separates these elements. First, we model school-level absence on the variables we treat as exogenous (FSM, EAL, mean KS2 prior attainment, segregation, plus place and year random effects), producing for every school-year an</w:t>
      </w:r>
      <w:r>
        <w:t xml:space="preserve"> </w:t>
      </w:r>
      <w:r>
        <w:rPr>
          <w:i/>
          <w:iCs/>
        </w:rPr>
        <w:t xml:space="preserve">expected absence</w:t>
      </w:r>
      <w:r>
        <w:t xml:space="preserve"> </w:t>
      </w:r>
      <w:r>
        <w:t xml:space="preserve">(intake-predicted) and a</w:t>
      </w:r>
      <w:r>
        <w:t xml:space="preserve"> </w:t>
      </w:r>
      <w:r>
        <w:rPr>
          <w:i/>
          <w:iCs/>
        </w:rPr>
        <w:t xml:space="preserve">residual absence</w:t>
      </w:r>
      <w:r>
        <w:t xml:space="preserve"> </w:t>
      </w:r>
      <w:r>
        <w:t xml:space="preserve">(school-controllable). Second, we refit the attainment model with intake-predicted absence in place of raw absence, dropping the workforce predictors. The school-level residual from this refitted model is a more honest value-added measure: attendance management is now counted as part of the school’s contribution rather than stripped away as a control.</w:t>
      </w:r>
    </w:p>
    <w:p>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w:t>
      </w:r>
      <w:r>
        <w:t xml:space="preserve"> </w:t>
      </w:r>
      <w:r>
        <w:rPr>
          <w:i/>
          <w:iCs/>
        </w:rPr>
        <w:t xml:space="preserve">and</w:t>
      </w:r>
      <w:r>
        <w:t xml:space="preserve"> </w:t>
      </w:r>
      <w:r>
        <w:t xml:space="preserve">cross-departmental work - public health, children’s services, area-level deprivation policy - because much of what schools deal with on attendance is inherited rather than generated.</w:t>
      </w:r>
    </w:p>
    <w:p>
      <w:pPr>
        <w:pStyle w:val="BodyText"/>
      </w:pPr>
      <w:r>
        <w:rPr>
          <w:i/>
          <w:iCs/>
        </w:rP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 — about here]</w:t>
      </w:r>
    </w:p>
    <w:p>
      <w:pPr>
        <w:pStyle w:val="BodyText"/>
      </w:pPr>
      <w:r>
        <w:t xml:space="preserve">For local school-level diagnostics the decomposition becomes considerably more informative. Two signals can now be read side by side: the school’s contextualised value-added, and its residual absence (positive when the school has more absence than its intake would predict, negative when less). Sorted on these two axes (</w:t>
      </w:r>
      <w:hyperlink w:anchor="fig-quadrant">
        <w:r>
          <w:rPr>
            <w:rStyle w:val="Hyperlink"/>
          </w:rPr>
          <w:t xml:space="preserve">Figure 6</w:t>
        </w:r>
      </w:hyperlink>
      <w:r>
        <w:t xml:space="preserve">),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pPr>
        <w:pStyle w:val="BodyText"/>
      </w:pPr>
      <w:r>
        <w:t xml:space="preserve">For Brighton and Hove the joint-signal view sharpens the case-study reading. Most of the city’s schools sit in Q2 in the top-right: they are delivering attainment above what their intake would predict and are doing so while experiencing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w:t>
      </w:r>
      <w:r>
        <w:t xml:space="preserve"> </w:t>
      </w:r>
      <w:r>
        <w:t xml:space="preserve">“fix attendance”</w:t>
      </w:r>
      <w:r>
        <w:t xml:space="preserve"> </w:t>
      </w:r>
      <w:r>
        <w:t xml:space="preserve">improvement story is not available. Schools in Q3 are the most natural targets for council-led attendance interventions, and Q1 schools are where the city should look for practice worth sharing.</w:t>
      </w:r>
    </w:p>
    <w:p>
      <w:pPr>
        <w:pStyle w:val="BodyText"/>
      </w:pPr>
      <w:r>
        <w:t xml:space="preserve">We are aware that Progress 8 is an attempt to bring a degree of value added into the reporting of attainment, but we would advocate for a more sophisticated, model-based measure of value added as outlined here. Controlling for many more of the exogenous variables that influence attainment allow us to dig deeper into the impact that schools are having, and as we have shown here, the reporting of measures such as value-added alongside residual absence means we can achieve a more honest framing than the single number that conventional benchmarking produces. This would help align local policy conversations with what the data can support them.</w:t>
      </w:r>
    </w:p>
    <w:bookmarkEnd w:id="56"/>
    <w:bookmarkEnd w:id="57"/>
    <w:bookmarkStart w:id="76" w:name="discussion"/>
    <w:p>
      <w:pPr>
        <w:pStyle w:val="Heading1"/>
      </w:pPr>
      <w:r>
        <w:t xml:space="preserve">6. Discussion</w:t>
      </w:r>
    </w:p>
    <w:bookmarkStart w:id="59" w:name="Xd3364b35d543c93770b334c5dc736f1edb746ee"/>
    <w:p>
      <w:pPr>
        <w:pStyle w:val="Heading2"/>
      </w:pPr>
      <w:r>
        <w:t xml:space="preserve">6.1 The danger of single-lever policy thinking</w:t>
      </w:r>
    </w:p>
    <w:p>
      <w:pPr>
        <w:pStyle w:val="FirstParagraph"/>
      </w:pPr>
      <w:r>
        <w:t xml:space="preserve">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 public</w:t>
      </w:r>
      <w:r>
        <w:rPr>
          <w:rStyle w:val="FootnoteReference"/>
        </w:rPr>
        <w:footnoteReference w:id="58"/>
      </w:r>
      <w:r>
        <w:t xml:space="preserve">, 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This premise sits awkwardly with the existing evidence base.</w:t>
      </w:r>
      <w:r>
        <w:t xml:space="preserve"> </w:t>
      </w:r>
      <w:r>
        <w:t xml:space="preserve">Macleod et al. (2015)</w:t>
      </w:r>
      <w:r>
        <w:t xml:space="preserve">’s earlier analysis for the DfE found that, controlling for intake characteristics, schools with higher concentrations of disadvantage tend to do</w:t>
      </w:r>
      <w:r>
        <w:t xml:space="preserve"> </w:t>
      </w:r>
      <w:r>
        <w:rPr>
          <w:i/>
          <w:iCs/>
        </w:rPr>
        <w:t xml:space="preserve">better</w:t>
      </w:r>
      <w:r>
        <w:t xml:space="preserve"> </w:t>
      </w:r>
      <w:r>
        <w:t xml:space="preserve">for their disadvantaged pupils, not worse. Our more up-to-date modelling on four years of national data reaches the same conclusion. Concentrations 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 the opposite outcome.</w:t>
      </w:r>
    </w:p>
    <w:p>
      <w:pPr>
        <w:pStyle w:val="BodyText"/>
      </w:pPr>
      <w:r>
        <w:t xml:space="preserve">It is worth setting this in the longer context of what school-effectiveness research has consistently found, because our result is not a novel or contrarian one. Ever since</w:t>
      </w:r>
      <w:r>
        <w:t xml:space="preserve"> </w:t>
      </w:r>
      <w:r>
        <w:t xml:space="preserve">Coleman et al. (1966)</w:t>
      </w:r>
      <w:r>
        <w:t xml:space="preserve">, the share of variation in pupil outcomes attributable to differences</w:t>
      </w:r>
      <w:r>
        <w:t xml:space="preserve"> </w:t>
      </w:r>
      <w:r>
        <w:rPr>
          <w:i/>
          <w:iCs/>
        </w:rPr>
        <w:t xml:space="preserve">between</w:t>
      </w:r>
      <w:r>
        <w:t xml:space="preserve"> </w:t>
      </w:r>
      <w:r>
        <w:t xml:space="preserve">schools - as opposed to differences in the pupils they admit and the circumstances those pupils bring - has been estimated at something in the order of 8 to 15 per cent. The landmark English study by</w:t>
      </w:r>
      <w:r>
        <w:t xml:space="preserve"> </w:t>
      </w:r>
      <w:r>
        <w:t xml:space="preserve">Smith and Tomlinson (1989)</w:t>
      </w:r>
      <w:r>
        <w:t xml:space="preserve"> </w:t>
      </w:r>
      <w:r>
        <w:t xml:space="preserve">settled on around a tenth, and</w:t>
      </w:r>
      <w:r>
        <w:t xml:space="preserve"> </w:t>
      </w:r>
      <w:r>
        <w:t xml:space="preserve">Teddlie and Reynolds (2000)</w:t>
      </w:r>
      <w:r>
        <w:t xml:space="preserve"> </w:t>
      </w:r>
      <w:r>
        <w:t xml:space="preserve">confirm that broad range across countries and phases. Our own between-school decomposition, reported in the supplementary material, recovers the same order of magnitude. This matters for how much any redistribution policy can be expected to achieve: if differences in pupil outcomes between schools are substantially nothing to do with what those schools do but who they admit, then policy that redistributes pupils between schools operates on a comparatively small share of the variance in the first place - it is working on the smaller term while leaving the larger one untouched.</w:t>
      </w:r>
    </w:p>
    <w:p>
      <w:pPr>
        <w:pStyle w:val="BodyText"/>
      </w:pPr>
      <w:r>
        <w:t xml:space="preserve">Furthermore, the chosen lever also carries risks that the proposals did not engage with. Redistribution generates longer journeys to school, and the wider literature is clear that long commutes are associated with reduced sleep and its psychosocial</w:t>
      </w:r>
      <w:r>
        <w:t xml:space="preserve"> </w:t>
      </w:r>
      <w:r>
        <w:t xml:space="preserve">(Fredriksen et al. 2004; Yeo et al. 2019)</w:t>
      </w:r>
      <w:r>
        <w:t xml:space="preserve">, physical</w:t>
      </w:r>
      <w:r>
        <w:t xml:space="preserve"> </w:t>
      </w:r>
      <w:r>
        <w:t xml:space="preserve">(Voulgaris et al. 2019; Pradhan and Sinha 2017; Pereira et al. 2014; Faulkner et al. 2013)</w:t>
      </w:r>
      <w:r>
        <w:t xml:space="preserve"> </w:t>
      </w:r>
      <w:r>
        <w:t xml:space="preserve">and mental health</w:t>
      </w:r>
      <w:r>
        <w:t xml:space="preserve"> </w:t>
      </w:r>
      <w:r>
        <w:t xml:space="preserve">(Nakajima et al. 2024; Chairassamee et al. 2024; Guan et al. 2025)</w:t>
      </w:r>
      <w:r>
        <w:t xml:space="preserve"> </w:t>
      </w:r>
      <w:r>
        <w:t xml:space="preserve">consequences, including stress</w:t>
      </w:r>
      <w:r>
        <w:t xml:space="preserve"> </w:t>
      </w:r>
      <w:r>
        <w:t xml:space="preserve">(Karan et al. 2021)</w:t>
      </w:r>
      <w:r>
        <w:t xml:space="preserve">, lower wellbeing</w:t>
      </w:r>
      <w:r>
        <w:t xml:space="preserve"> </w:t>
      </w:r>
      <w:r>
        <w:t xml:space="preserve">(Ding et al. 2023)</w:t>
      </w:r>
      <w:r>
        <w:t xml:space="preserve">, and higher absence across multiple national settings</w:t>
      </w:r>
      <w:r>
        <w:t xml:space="preserve"> </w:t>
      </w:r>
      <w:r>
        <w:t xml:space="preserve">(Otsuka et al. 2025; Cordes et al. 2022; Blagg et al. 2018)</w:t>
      </w:r>
      <w:r>
        <w:t xml:space="preserve">, including England</w:t>
      </w:r>
      <w:r>
        <w:t xml:space="preserve"> </w:t>
      </w:r>
      <w:r>
        <w:t xml:space="preserve">(Thomson 2023)</w:t>
      </w:r>
      <w:r>
        <w:t xml:space="preserve">.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w:t>
      </w:r>
      <w:r>
        <w:t xml:space="preserve"> </w:t>
      </w:r>
      <w:r>
        <w:t xml:space="preserve">(Faulkner et al. 2013)</w:t>
      </w:r>
      <w:r>
        <w:t xml:space="preserve">. A Chicago case study</w:t>
      </w:r>
      <w:r>
        <w:t xml:space="preserve"> </w:t>
      </w:r>
      <w:r>
        <w:t xml:space="preserve">(Shah 2023)</w:t>
      </w:r>
      <w:r>
        <w:t xml:space="preserve"> </w:t>
      </w:r>
      <w:r>
        <w:t xml:space="preserve">argues that the burden of long commutes falls disproportionately on pupils already experiencing other forms of marginalisation, and long-distance transit predicts early high school transfer</w:t>
      </w:r>
      <w:r>
        <w:t xml:space="preserve"> </w:t>
      </w:r>
      <w:r>
        <w:t xml:space="preserve">(Stein et al. 2021)</w:t>
      </w:r>
      <w:r>
        <w:t xml:space="preserve">, itself a risk factor for poor attainment. These are not peripheral concerns; they are part of the cost-benefit calculus any redistribution policy needs to engage with, and were largely missing from the 2024 deliberation. The claim that social mixing can be achieved at</w:t>
      </w:r>
      <w:r>
        <w:t xml:space="preserve"> </w:t>
      </w:r>
      <w:r>
        <w:t xml:space="preserve">‘almost no cost’</w:t>
      </w:r>
      <w:r>
        <w:t xml:space="preserve"> </w:t>
      </w:r>
      <w:r>
        <w:t xml:space="preserve">(Gorard and Siddiqui 2019)</w:t>
      </w:r>
      <w:r>
        <w:t xml:space="preserve"> </w:t>
      </w:r>
      <w:r>
        <w:t xml:space="preserve">sits awkwardly with this second-order literature.</w:t>
      </w:r>
    </w:p>
    <w:p>
      <w:pPr>
        <w:pStyle w:val="BodyText"/>
      </w:pPr>
      <w:r>
        <w:t xml:space="preserve">It is worth making the mechanism explicit, because it clarifies how an admissions reform actually reaches attainment. There are two pathways. The first is the intended one: changing where pupils go alters the</w:t>
      </w:r>
      <w:r>
        <w:t xml:space="preserve"> </w:t>
      </w:r>
      <w:r>
        <w:rPr>
          <w:i/>
          <w:iCs/>
        </w:rPr>
        <w:t xml:space="preserve">FSM composition</w:t>
      </w:r>
      <w:r>
        <w:t xml:space="preserve"> </w:t>
      </w:r>
      <w:r>
        <w:t xml:space="preserve">of individual schools, which our modelling shows has, at most, a small effect on attainment - and for disadvantaged pupils, an effect that if anything runs the wrong way. The second is unintended: moving pupils further from home increases</w:t>
      </w:r>
      <w:r>
        <w:t xml:space="preserve"> </w:t>
      </w:r>
      <w:r>
        <w:rPr>
          <w:i/>
          <w:iCs/>
        </w:rPr>
        <w:t xml:space="preserve">travel</w:t>
      </w:r>
      <w:r>
        <w:t xml:space="preserve">, which the evidence above links to</w:t>
      </w:r>
      <w:r>
        <w:t xml:space="preserve"> </w:t>
      </w:r>
      <w:r>
        <w:rPr>
          <w:i/>
          <w:iCs/>
        </w:rPr>
        <w:t xml:space="preserve">higher absence.</w:t>
      </w:r>
      <w:r>
        <w:t xml:space="preserve"> </w:t>
      </w:r>
      <w:r>
        <w:t xml:space="preserve">Recent research also clearly links attendance with the sense of well-being, life satisfaction and belonging in students</w:t>
      </w:r>
      <w:r>
        <w:t xml:space="preserve"> </w:t>
      </w:r>
      <w:r>
        <w:t xml:space="preserve">(Moore et al. 2026)</w:t>
      </w:r>
      <w:r>
        <w:t xml:space="preserve">. While it may not necessarily follow that this will be diminished in students attending schools far from their home communities and established friendship groups, it is reasonable to hypothesise this as a further risk factor to consider, particularly where absence is by a wide margin the strongest predictor of attainment we identify. In other words, the admissions lever operates on attainment mainly through the second, unintended channel, and in the direction opposite to the policy’s aim. This is why we describe it as pulling the wrong lever: not merely a weak instrument, but one whose most probable net effect on disadvantaged attainment is negative. We should be clear that this is a statement about</w:t>
      </w:r>
      <w:r>
        <w:t xml:space="preserve"> </w:t>
      </w:r>
      <w:r>
        <w:rPr>
          <w:i/>
          <w:iCs/>
        </w:rPr>
        <w:t xml:space="preserve">expected</w:t>
      </w:r>
      <w:r>
        <w:t xml:space="preserve"> </w:t>
      </w:r>
      <w:r>
        <w:t xml:space="preserve">effects derived from national associations, not an evaluation of the 2023 free-school-meal-priority policy or the 2026 arrangements, which post-date our outcome data and whose effects the council’s own commissioned follow-up work has yet to report.</w:t>
      </w:r>
    </w:p>
    <w:bookmarkEnd w:id="59"/>
    <w:bookmarkStart w:id="64" w:name="X721a00ff84e807512ec4207f4efbd7031d30b61"/>
    <w:p>
      <w:pPr>
        <w:pStyle w:val="Heading2"/>
      </w:pPr>
      <w:r>
        <w:t xml:space="preserve">6.2 Attendance as the most impactful single lever</w:t>
      </w:r>
    </w:p>
    <w:p>
      <w:pPr>
        <w:pStyle w:val="FirstParagraph"/>
      </w:pPr>
      <w:r>
        <w:t xml:space="preserve">A policy conversation about Brighton and Hove’s disadvantage attainment gap that wants to make the largest predictable difference should put attendance at its centre. This sits squarely within the council’s own framing: the December 2024 cabinet report named</w:t>
      </w:r>
      <w:r>
        <w:t xml:space="preserve"> </w:t>
      </w:r>
      <w:r>
        <w:rPr>
          <w:i/>
          <w:iCs/>
        </w:rPr>
        <w:t xml:space="preserve">‘reducing some schools’</w:t>
      </w:r>
      <w:r>
        <w:rPr>
          <w:i/>
          <w:iCs/>
        </w:rPr>
        <w:t xml:space="preserve"> </w:t>
      </w:r>
      <w:r>
        <w:rPr>
          <w:i/>
          <w:iCs/>
        </w:rPr>
        <w:t xml:space="preserve">barriers to success’</w:t>
      </w:r>
      <w:r>
        <w:t xml:space="preserve"> </w:t>
      </w:r>
      <w:r>
        <w:t xml:space="preserve">for disadvantaged pupils as one of its three core objectives for the 2026/27 admissions changes</w:t>
      </w:r>
      <w:r>
        <w:t xml:space="preserve"> </w:t>
      </w:r>
      <w:r>
        <w:rPr>
          <w:rStyle w:val="FootnoteReference"/>
        </w:rPr>
        <w:footnoteReference w:id="60"/>
      </w:r>
      <w:r>
        <w:t xml:space="preserve">. Of the school-level barriers our modelling is able to quantify - intake composition, prior attainment, workforce stability, segregation, and absence - none has a larger or better-evidenced effect on disadvantaged attainment than absence. On the council’s own framing, in other words, the most direct route to</w:t>
      </w:r>
      <w:r>
        <w:t xml:space="preserve"> </w:t>
      </w:r>
      <w:r>
        <w:rPr>
          <w:i/>
          <w:iCs/>
        </w:rPr>
        <w:t xml:space="preserve">‘reducing barriers to success’</w:t>
      </w:r>
      <w:r>
        <w:t xml:space="preserve"> </w:t>
      </w:r>
      <w:r>
        <w:t xml:space="preserve">for the city’s disadvantaged pupils points at attendance rather than at admissions arrangements. The city has the second-worst absence rate in England in 2024-25 - and, unlike almost every other authority, one that has barely improved since the pandemic - and the wider evidence indicates that closing this gap would yield attainment gains for disadvantaged pupils that comfortably exceed anything achievable through changes to admissions arrangements - and would do so</w:t>
      </w:r>
      <w:r>
        <w:t xml:space="preserve"> </w:t>
      </w:r>
      <w:r>
        <w:rPr>
          <w:i/>
          <w:iCs/>
        </w:rPr>
        <w:t xml:space="preserve">without</w:t>
      </w:r>
      <w:r>
        <w:t xml:space="preserve"> </w:t>
      </w:r>
      <w:r>
        <w:t xml:space="preserve">the social, health and travel costs that a redistribution-led approach might produce.</w:t>
      </w:r>
    </w:p>
    <w:p>
      <w:pPr>
        <w:pStyle w:val="BodyText"/>
      </w:pPr>
      <w:r>
        <w:t xml:space="preserve">We should reiterate that Brighton and Hove’s absence rates are not a necessary consequence of its intake. One response to an earlier presentation of this argument, advanced locally by the campaign group Class Divide</w:t>
      </w:r>
      <w:r>
        <w:rPr>
          <w:rStyle w:val="FootnoteReference"/>
        </w:rPr>
        <w:footnoteReference w:id="61"/>
      </w:r>
      <w:r>
        <w:t xml:space="preserve">, offered a memorable analogy: absence is the mould, poverty is the damp. On this view, treating absence directly is futile, because the underlying poverty will simply keep bringing it back. The analogy captures something real. At pupil level the association between disadvantage and absence is strong and well evidenced</w:t>
      </w:r>
      <w:r>
        <w:t xml:space="preserve"> </w:t>
      </w:r>
      <w:r>
        <w:t xml:space="preserve">(DfE 2025b)</w:t>
      </w:r>
      <w:r>
        <w:t xml:space="preserve">, and our own decomposition (section 5.5) finds that a substantial part of school-level absence is inherited from intake rather than generated by the school. Any serious attendance strategy must therefore engage with the material circumstances of families, not merely with attendance procedures.</w:t>
      </w:r>
    </w:p>
    <w:p>
      <w:pPr>
        <w:pStyle w:val="BodyText"/>
      </w:pPr>
      <w:r>
        <w:t xml:space="preserve">But the analogy does not explain Brighton and Hove. Across English local education authorities, differences in poverty account for remarkably little of the difference in absence: regressing LEA mean absence on LEA mean FSM eligibility across the 152 authorities in our latest year yields an</w:t>
      </w:r>
      <w:r>
        <w:t xml:space="preserve"> </w:t>
      </w:r>
      <m:oMath>
        <m:sSup>
          <m:e>
            <m:r>
              <m:t>R</m:t>
            </m:r>
          </m:e>
          <m:sup>
            <m:r>
              <m:t>2</m:t>
            </m:r>
          </m:sup>
        </m:sSup>
      </m:oMath>
      <w:r>
        <w:t xml:space="preserve"> </w:t>
      </w:r>
      <w:r>
        <w:t xml:space="preserve">of just 0.05. Brighton and Hove’s own position makes the point sharply. Its FSM rate (28.8%) is slightly</w:t>
      </w:r>
      <w:r>
        <w:t xml:space="preserve"> </w:t>
      </w:r>
      <w:r>
        <w:rPr>
          <w:i/>
          <w:iCs/>
        </w:rPr>
        <w:t xml:space="preserve">below</w:t>
      </w:r>
      <w:r>
        <w:t xml:space="preserve"> </w:t>
      </w:r>
      <w:r>
        <w:t xml:space="preserve">the average across authorities (29.6%), so on a poverty-only account its absence should be a little below average too — around 8.2%. It is 10.8%, an excess of 2.6 percentage points over what its disadvantage profile predicts, and the largest such excess of any authority in England. Among the 20 authorities whose FSM rates are within two percentage points of Brighton and Hove’s, the city has the</w:t>
      </w:r>
      <w:r>
        <w:t xml:space="preserve"> </w:t>
      </w:r>
      <w:r>
        <w:rPr>
          <w:i/>
          <w:iCs/>
        </w:rPr>
        <w:t xml:space="preserve">highest</w:t>
      </w:r>
      <w:r>
        <w:t xml:space="preserve"> </w:t>
      </w:r>
      <w:r>
        <w:t xml:space="preserve">absence of all, some 2.3 percentage points above their average. And where absence fell in 94% of local authorities between 2021–22 and 2024–25, the city’s did not move. There is damp in many places; the mould is markedly worse here, and it is not getting better as it is elsewhere.</w:t>
      </w:r>
    </w:p>
    <w:p>
      <w:pPr>
        <w:pStyle w:val="BodyText"/>
      </w:pPr>
      <w:r>
        <w:t xml:space="preserve">The reasonable conclusion is not that poverty is irrelevant to absence, but that it cannot be the explanation for Brighton and Hove’s position, and that treating the city’s absence as an inevitable consequence of its social composition is empirically unsupported. A substantial part of the city’s absence sits above what its intake predicts, which is precisely the part that local action can reach. The problem therefore reflects local factors - attendance culture, enforcement practices, transport friction or community dynamics - rather than being an unavoidable outcome of disadvantage. If the city is not already running a substantial cross-departmental attendance programme alongside its school-level work, the case for one is strong to introduce one. There is a budget question too: the £606,000 already spent annually on supported bus routes and passes</w:t>
      </w:r>
      <w:r>
        <w:rPr>
          <w:rStyle w:val="FootnoteReference"/>
        </w:rPr>
        <w:footnoteReference w:id="63"/>
      </w:r>
      <w:r>
        <w:t xml:space="preserve">,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p>
    <w:bookmarkEnd w:id="64"/>
    <w:bookmarkStart w:id="69" w:name="Xe20933ab3677df6d1953e5d7ada5fd38009a941"/>
    <w:p>
      <w:pPr>
        <w:pStyle w:val="Heading2"/>
      </w:pPr>
      <w:r>
        <w:t xml:space="preserve">6.3 A new value-added view to support better local decisions</w:t>
      </w:r>
    </w:p>
    <w:p>
      <w:pPr>
        <w:pStyle w:val="FirstParagraph"/>
      </w:pPr>
      <w:r>
        <w:t xml:space="preserve">Another contribution of this work is methodological. The multilevel model lets us look beyond a school’s raw attainment outcomes and ask how much it is adding</w:t>
      </w:r>
      <w:r>
        <w:t xml:space="preserve"> </w:t>
      </w:r>
      <w:r>
        <w:rPr>
          <w:i/>
          <w:iCs/>
        </w:rPr>
        <w:t xml:space="preserve">over and above</w:t>
      </w:r>
      <w:r>
        <w:t xml:space="preserve"> </w:t>
      </w:r>
      <w:r>
        <w:t xml:space="preserve">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 sharp illustration of why this matters: the local school for one of the city’s most disadvantaged catchments is, on this view, doing materially better for its disadvantaged pupils than the schools to which a number of those pupils’ families have been opting to travel.</w:t>
      </w:r>
    </w:p>
    <w:p>
      <w:pPr>
        <w:pStyle w:val="BodyText"/>
      </w:pPr>
      <w:r>
        <w:rPr>
          <w:i/>
          <w:iCs/>
        </w:rPr>
        <w:t xml:space="preserve">[Table 3: Value-added rankings for Brighton and Hove schools (panel model residuals by year, in Attainment 8 points). — about here]</w:t>
      </w:r>
    </w:p>
    <w:p>
      <w:pPr>
        <w:pStyle w:val="BodyText"/>
      </w:pPr>
      <w:r>
        <w:t xml:space="preserve">During the 2024 consultation, the public debate shifted from how the council’s proposals would improve disadvantaged attainment to how they would facilitate parental choice. An activist group (Equity in Education</w:t>
      </w:r>
      <w:r>
        <w:rPr>
          <w:rStyle w:val="FootnoteReference"/>
        </w:rPr>
        <w:footnoteReference w:id="65"/>
      </w:r>
      <w:r>
        <w:t xml:space="preserve"> </w:t>
      </w:r>
      <w:r>
        <w:t xml:space="preserve">- supported by Class Divide) emerged from within the BACA catchment advocating for alternatives to that school, which then had a</w:t>
      </w:r>
      <w:r>
        <w:t xml:space="preserve"> </w:t>
      </w:r>
      <w:r>
        <w:t xml:space="preserve">‘requires improvement’</w:t>
      </w:r>
      <w:r>
        <w:t xml:space="preserve"> </w:t>
      </w:r>
      <w:r>
        <w:t xml:space="preserve">Ofsted rating and some of the city’s lowest raw attainment scores. A considerable number of BACA-catchment parents subsequently opted for Patcham School -</w:t>
      </w:r>
      <w:r>
        <w:t xml:space="preserve"> </w:t>
      </w:r>
      <w:r>
        <w:t xml:space="preserve">‘Good’</w:t>
      </w:r>
      <w:r>
        <w:t xml:space="preserve"> </w:t>
      </w:r>
      <w:r>
        <w:t xml:space="preserve">rated, mid-table on raw attainment, in a more prosperous neighbouring catchment.</w:t>
      </w:r>
    </w:p>
    <w:p>
      <w:pPr>
        <w:pStyle w:val="BodyText"/>
      </w:pPr>
      <w:r>
        <w:t xml:space="preserve">The contextualised picture differs sharply. BACA sits in one of the most deprived parts of the city, experiences absence well above the high city average, has around 50% FSM and 30% low prior attainment; Patcham has below-national-average absence, around 25% FSM and 16% low prior attainment. Once these cohort differences are accounted for, the league tables in</w:t>
      </w:r>
      <w:r>
        <w:t xml:space="preserve"> </w:t>
      </w:r>
      <w:hyperlink w:anchor="tbl-league">
        <w:r>
          <w:rPr>
            <w:rStyle w:val="Hyperlink"/>
          </w:rPr>
          <w:t xml:space="preserve">Table 3</w:t>
        </w:r>
      </w:hyperlink>
      <w:r>
        <w:t xml:space="preserve"> </w:t>
      </w:r>
      <w:r>
        <w:t xml:space="preserve">(derived from</w:t>
      </w:r>
      <w:r>
        <w:t xml:space="preserve"> </w:t>
      </w:r>
      <w:hyperlink w:anchor="fig-obs-vs-pred">
        <w:r>
          <w:rPr>
            <w:rStyle w:val="Hyperlink"/>
          </w:rPr>
          <w:t xml:space="preserve">Figure 5</w:t>
        </w:r>
      </w:hyperlink>
      <w:r>
        <w:t xml:space="preserve">) show that in 2024-25 a disadvantaged pupil at BACA left, on average, with GCSE results around 5.7 points higher than a comparable pupil at a similar school elsewhere in England, with a four-year average around 3.1 points higher - substantially above the fraction of a point that might be expected from altering schools’ disadvantage mix. BACA out-performs every other school in the city for disadvantaged pupils, including those popularly viewed as the</w:t>
      </w:r>
      <w:r>
        <w:t xml:space="preserve"> </w:t>
      </w:r>
      <w:r>
        <w:t xml:space="preserve">‘best’</w:t>
      </w:r>
      <w:r>
        <w:t xml:space="preserve">. Its April 2025 Ofsted upgrade to</w:t>
      </w:r>
      <w:r>
        <w:t xml:space="preserve"> </w:t>
      </w:r>
      <w:r>
        <w:t xml:space="preserve">‘Good’</w:t>
      </w:r>
      <w:r>
        <w:t xml:space="preserve"> </w:t>
      </w:r>
      <w:r>
        <w:t xml:space="preserve">in all five areas</w:t>
      </w:r>
      <w:r>
        <w:rPr>
          <w:rStyle w:val="FootnoteReference"/>
        </w:rPr>
        <w:footnoteReference w:id="67"/>
      </w:r>
      <w:r>
        <w:t xml:space="preserve"> </w:t>
      </w:r>
      <w:r>
        <w:t xml:space="preserve">is unsurprising in the context of this analysis, but would have been surprising to anyone looking only at prior raw attainment and Ofsted ratings. Patcham, by contrast, sits ~2.4 GCSE points below expectation for disadvantaged pupils on a four-year average, with the gap reaching double figures in 2023-24 - differences hidden by its comfortable mid-table raw position. What other schools could learn from Patcham, however, is its attendance: it is one of only two city schools with absence below the national average, and exploring how it achieves this is a constructive city-level policy focus.</w:t>
      </w:r>
    </w:p>
    <w:bookmarkEnd w:id="69"/>
    <w:bookmarkStart w:id="71" w:name="viability-versus-attainment"/>
    <w:p>
      <w:pPr>
        <w:pStyle w:val="Heading2"/>
      </w:pPr>
      <w:r>
        <w:t xml:space="preserve">6.4 Viability versus attainment</w:t>
      </w:r>
    </w:p>
    <w:p>
      <w:pPr>
        <w:pStyle w:val="FirstParagraph"/>
      </w:pPr>
      <w:r>
        <w:t xml:space="preserve">The cabinet papers</w:t>
      </w:r>
      <w:r>
        <w:rPr>
          <w:rStyle w:val="FootnoteReference"/>
        </w:rPr>
        <w:footnoteReference w:id="70"/>
      </w:r>
      <w:r>
        <w:t xml:space="preserve"> </w:t>
      </w:r>
      <w:r>
        <w:t xml:space="preserve">set out the financial-sustainability rationale plainly. Schools in England are funded almost entirely on a per-pupil basis, so falling pupil numbers across the city would, in time, leave some schools struggling to operate efficiently or</w:t>
      </w:r>
      <w:r>
        <w:t xml:space="preserve"> </w:t>
      </w:r>
      <w:r>
        <w:rPr>
          <w:i/>
          <w:iCs/>
        </w:rPr>
        <w:t xml:space="preserve">‘offer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w:t>
      </w:r>
      <w:r>
        <w:t xml:space="preserve"> </w:t>
      </w:r>
      <w:r>
        <w:rPr>
          <w:i/>
          <w:iCs/>
        </w:rPr>
        <w:t xml:space="preserve">‘the largest percentage of [disadvantaged] pupils attend the schools with the lowest pupil numbers’</w:t>
      </w:r>
      <w:r>
        <w:t xml:space="preserve"> </w:t>
      </w:r>
      <w:r>
        <w:t xml:space="preserve">—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pPr>
        <w:pStyle w:val="BodyText"/>
      </w:pPr>
      <w:r>
        <w:t xml:space="preserve">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bookmarkEnd w:id="71"/>
    <w:bookmarkStart w:id="72" w:name="X66de271a6aca02794f420f50f4d8a324e8e27cc"/>
    <w:p>
      <w:pPr>
        <w:pStyle w:val="Heading2"/>
      </w:pPr>
      <w:r>
        <w:t xml:space="preserve">6.5 Conditional performance and the cost of absence</w:t>
      </w:r>
    </w:p>
    <w:p>
      <w:pPr>
        <w:pStyle w:val="FirstParagraph"/>
      </w:pPr>
      <w:r>
        <w:t xml:space="preserve">The LEA random effect for Brighton and Hove is positive and, in the main model, statistically significant across all three attainment groups. As section 5.2 set out, however, this result is conditional on how the model treats absence, and the city’s attendance is so extreme that the conditioning does most of the work. Controlling for absence, the city’s schools rank 15th of 151 for disadvantaged attainment; without that control they rank 69th and are statistically ordinary. We take neither number as the whole truth. Together they say something more useful than either alone: Brighton and Hove’s schools appear to be genuinely effective for the pupils who attend them, and the city’s attendance problem is large enough to erase that advantage in the aggregate.</w:t>
      </w:r>
    </w:p>
    <w:p>
      <w:pPr>
        <w:pStyle w:val="BodyText"/>
      </w:pPr>
      <w:r>
        <w:t xml:space="preserve">The distance between the two rankings has a concrete interpretation. It is roughly 1.4 Attainment 8 points per disadvantaged pupil - the difference between what the city’s disadvantaged children achieve and what they might achieve if their schools’ underlying effectiveness were not being drained by absence. Read this way, the city’s attendance is not a caveat to a good-news story; it is the story.</w:t>
      </w:r>
    </w:p>
    <w:p>
      <w:pPr>
        <w:pStyle w:val="BodyText"/>
      </w:pPr>
      <w:r>
        <w:t xml:space="preserve">This reframes what the 2024 consultation got right and what it got wrong. The council was not wrong that Brighton and Hove has a problem: unconditionally, its disadvantaged pupils do no better than the national average, and the raw attainment gap that motivated the consultation is real. What the consultation got wrong was the diagnosis. Presented with an attainment gap, it reached for the social composition of schools - one of the weakest levers our modelling identifies, and for disadvantaged pupils a lever that may point the wrong way (section 4.3, section 5.3) - while the factor that actually separates the city’s conditional standing from its unconditional standing, attendance, was absent from the consultation entirely. The more accurate account is not that a high-performing city was mistaken for a failing one, but that a city with one specific, severe, addressable problem was prescribed a treatment for a different problem it did not have.</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(and indeed some new preliminary analysis not reported here suggests that part of this effect could be explained by levels of higher education in the populations in the immediate neighbourhoods around the city’s schools, but this needs to be investigated further).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It could even be that if otherwise disruptive students switch to being absent students at a higher rate in Brighton and Hove, this may even have a positive impact on learning for those who remain in school. But without pupil and class-level longitudinal analysis, this hypothesis would be impossible to test. What all of these hypotheses show, however, is that identifying the sources of this conditional over-performance is an important research question in its own right, and one that could require additional qualitative investigation or access to pupil-level data that goes beyond what is publicly available. But what is clear is that policy interventions which risk disrupting a well-functioning system without understanding what makes it function well carry substantial downside risks.</w:t>
      </w:r>
    </w:p>
    <w:bookmarkEnd w:id="72"/>
    <w:bookmarkStart w:id="74"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should be candid that this gap is, in part, a structural consequence of policy since 2010. Academisation and sustained real-terms reductions in local authority central-services funding have substantially eroded the analytical capacity that once sat within LEAs, so a recommendation simply to</w:t>
      </w:r>
      <w:r>
        <w:t xml:space="preserve"> </w:t>
      </w:r>
      <w:r>
        <w:t xml:space="preserve">‘invest locally’</w:t>
      </w:r>
      <w:r>
        <w:t xml:space="preserve"> </w:t>
      </w:r>
      <w:r>
        <w:t xml:space="preserve">sits uneasily with the fiscal reality most authorities face. Multi-academy trusts have absorbed some of this function, but only for their own constituent schools; no actor now has both the remit and the capacity for the</w:t>
      </w:r>
      <w:r>
        <w:t xml:space="preserve"> </w:t>
      </w:r>
      <w:r>
        <w:rPr>
          <w:i/>
          <w:iCs/>
        </w:rPr>
        <w:t xml:space="preserve">locality-wide</w:t>
      </w:r>
      <w:r>
        <w:t xml:space="preserve"> </w:t>
      </w:r>
      <w:r>
        <w:t xml:space="preserve">analysis that spans maintained schools, academies across different trusts, and church schools within a single place. Brighton and Hove illustrates the gap to some extent – although to a lesser extent than some LEAs where it still has direct control of 6 out of 10 community secondary schools and academisation has not (yet) had the same impact as it has elsewhere. Council’s frequently remain the admissions authority for systems that funding cuts and academisation mean they have limited capacity to analyse as a whole.</w:t>
      </w:r>
    </w:p>
    <w:p>
      <w:pPr>
        <w:pStyle w:val="BodyText"/>
      </w:pPr>
      <w:r>
        <w:t xml:space="preserve">The need, then, is less for every council to rebuild bespoke capacity than for the system to close a locality-level analytical gap, whether through central funding for local capacity or nationally maintained benchmarking tools that any locality can use. LEAs can also do much more to help themselves where capacity and funding prevent them from doing more and this starts with sharing and being more open with data and analyses they do carry out. While we have pieced together a national analysis here from DfE data and applied it to a local context, LEAs have much more data of their own that they could put into the public domain and make accessible - prior to Freedom of Information Requests forcing them to do so - so that those in the wider community can help through donating their time and expertise. Hiding data away either completely or in inaccessible PDFs tucked away in committee meeting appendices, rather than publishing openly in machine-readable formats does not help anyone, least of all those trying to construct good, evidence-based policy with limited resources. Data such as aggregate pupil projections for schools and neighbourhoods, time series preference data, distances travelled to school, offers by school and home neighbourhood deprivation band, Free School Meal eligibility by neighbourhood, appeals and their outcomes – these are all held by LEAs but rarely published as a matter of course. In an effort to demonstrate how our collective intelligence could be enhanced through better data analytics we have developed an interactive Policy Simulator tool,</w:t>
      </w:r>
      <w:r>
        <w:rPr>
          <w:rStyle w:val="FootnoteReference"/>
        </w:rPr>
        <w:footnoteReference w:id="73"/>
      </w:r>
      <w:r>
        <w:t xml:space="preserve"> </w:t>
      </w:r>
      <w:r>
        <w:t xml:space="preserve">underpinned by the data and models in this paper. The tool allows users to explore any school in England, compare against contextual expectations, and model the indicative impact of changes to key variables. This is only a starting point and more bespoke intelligence systems could be built for local situations.</w:t>
      </w:r>
    </w:p>
    <w:bookmarkEnd w:id="74"/>
    <w:bookmarkStart w:id="75"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p>
      <w:pPr>
        <w:pStyle w:val="BodyText"/>
      </w:pPr>
      <w:r>
        <w:t xml:space="preserve">A note on statistical inference is also warranted, given the nature of the data. Our panel is not a random sample drawn from some larger frame; it is a population, comprising every state-funded mainstream secondary school in England that meets our inclusion criteria. We therefore do not interpret standard errors as quantifying uncertainty about generalising from a sample to a population. We interpret them as quantifying the stochastic, cohort-to-cohort variation that produces any given school’s result in any given year: each cohort is one realisation of a process that would have turned out somewhat differently with a different set of children, and school-level scores are correspondingly unstable from year to year. The multilevel structure is a further guard against over-reading that instability, since partial pooling shrinks the noisiest estimates - typically those from the smallest schools - toward the relevant group mean. Consistent with long-standing cautions about the over-interpretation of p-values</w:t>
      </w:r>
      <w:r>
        <w:t xml:space="preserve"> </w:t>
      </w:r>
      <w:r>
        <w:t xml:space="preserve">(Wasserstein and Lazar 2016)</w:t>
      </w:r>
      <w:r>
        <w:t xml:space="preserve">, we treat significance as descriptive rather than decisive: no conclusion in this paper turns on a threshold being crossed. The arguments are made in Attainment 8 points, they are reproduced across four separate years, and they would stand unchanged if every test statistic were removed.</w:t>
      </w:r>
    </w:p>
    <w:bookmarkEnd w:id="75"/>
    <w:bookmarkEnd w:id="76"/>
    <w:bookmarkStart w:id="77"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 yields three positions we feel are well-supported by the evidence presented here.</w:t>
      </w:r>
    </w:p>
    <w:p>
      <w:pPr>
        <w:pStyle w:val="BodyText"/>
      </w:pPr>
      <w:r>
        <w:t xml:space="preserve">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w:t>
      </w:r>
      <w:r>
        <w:t xml:space="preserve"> </w:t>
      </w:r>
      <w:r>
        <w:t xml:space="preserve">(Macleod et al. 2015)</w:t>
      </w:r>
      <w:r>
        <w:t xml:space="preserve">.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pPr>
        <w:pStyle w:val="BodyText"/>
      </w:pPr>
      <w:r>
        <w:t xml:space="preserve">Second, the single most consequential lever available to Brighton and Hove for raising disadvantaged attainment is attendance. The city had the second-worst absence rate in England in 2024-25 - and its absence has failed to fall while it fell almost everywhere else - and the modelling suggests that moving the city’s worst-affected schools toward the national absence average would yield gains for disadvantaged pupils that comfortably exceed anything achievable through admissions reform. The two-stage decomposition we develop here also shows that this lever has two parts to it: a</w:t>
      </w:r>
      <w:r>
        <w:t xml:space="preserve"> </w:t>
      </w:r>
      <w:r>
        <w:rPr>
          <w:i/>
          <w:iCs/>
        </w:rPr>
        <w:t xml:space="preserve">structural</w:t>
      </w:r>
      <w:r>
        <w:t xml:space="preserve"> </w:t>
      </w:r>
      <w:r>
        <w:t xml:space="preserve">component of school-level absence inherited from intake, area health, deprivation and family circumstances - which schools cannot themselves change - and a smaller</w:t>
      </w:r>
      <w:r>
        <w:t xml:space="preserve"> </w:t>
      </w:r>
      <w:r>
        <w:rPr>
          <w:i/>
          <w:iCs/>
        </w:rPr>
        <w:t xml:space="preserve">school-controllable</w:t>
      </w:r>
      <w:r>
        <w:t xml:space="preserve"> </w:t>
      </w:r>
      <w:r>
        <w:t xml:space="preserve">residual that pastoral systems, attendance officers, family liaison and persistent-absentee follow-up can act on directly. Closing the city’s absence problem therefore needs both school-level effort and cross-departmental 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w:t>
      </w:r>
      <w:r>
        <w:t xml:space="preserve"> </w:t>
      </w:r>
      <w:r>
        <w:rPr>
          <w:i/>
          <w:iCs/>
        </w:rPr>
        <w:t xml:space="preserve">and</w:t>
      </w:r>
      <w:r>
        <w:t xml:space="preserve"> </w:t>
      </w:r>
      <w:r>
        <w:t xml:space="preserve">preserve the benefits of local schooling.</w:t>
      </w:r>
    </w:p>
    <w:p>
      <w:pPr>
        <w:pStyle w:val="BodyText"/>
      </w:pPr>
      <w:r>
        <w:t xml:space="preserve">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bookmarkEnd w:id="77"/>
    <w:bookmarkStart w:id="78"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78"/>
    <w:bookmarkStart w:id="79" w:name="disclosure-statement"/>
    <w:p>
      <w:pPr>
        <w:pStyle w:val="Heading1"/>
      </w:pPr>
      <w:r>
        <w:t xml:space="preserve">Disclosure Statement</w:t>
      </w:r>
    </w:p>
    <w:p>
      <w:pPr>
        <w:pStyle w:val="FirstParagraph"/>
      </w:pPr>
      <w:r>
        <w:t xml:space="preserve">Some of the authors are residents of Brighton and Hove with school aged children and lived experience of the effects of the admissions policy process described. No financial conflicts of interest exist.</w:t>
      </w:r>
    </w:p>
    <w:bookmarkEnd w:id="79"/>
    <w:bookmarkStart w:id="183" w:name="references"/>
    <w:p>
      <w:pPr>
        <w:pStyle w:val="Heading1"/>
      </w:pPr>
      <w:r>
        <w:t xml:space="preserve">References</w:t>
      </w:r>
    </w:p>
    <w:bookmarkStart w:id="182" w:name="refs"/>
    <w:bookmarkStart w:id="81"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80">
        <w:r>
          <w:rPr>
            <w:rStyle w:val="Hyperlink"/>
          </w:rPr>
          <w:t xml:space="preserve">https://doi.org/10.1080/09645292.2017.1366425</w:t>
        </w:r>
      </w:hyperlink>
      <w:r>
        <w:t xml:space="preserve">.</w:t>
      </w:r>
    </w:p>
    <w:bookmarkEnd w:id="81"/>
    <w:bookmarkStart w:id="83"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82">
        <w:r>
          <w:rPr>
            <w:rStyle w:val="Hyperlink"/>
          </w:rPr>
          <w:t xml:space="preserve">https://doi.org/10.1111/j.1475-5661.2012.00511.x</w:t>
        </w:r>
      </w:hyperlink>
      <w:r>
        <w:t xml:space="preserve">.</w:t>
      </w:r>
    </w:p>
    <w:bookmarkEnd w:id="83"/>
    <w:bookmarkStart w:id="85"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84">
        <w:r>
          <w:rPr>
            <w:rStyle w:val="Hyperlink"/>
          </w:rPr>
          <w:t xml:space="preserve">https://doi.org/10.1080/0305764X.2024.2420611</w:t>
        </w:r>
      </w:hyperlink>
      <w:r>
        <w:t xml:space="preserve">.</w:t>
      </w:r>
    </w:p>
    <w:bookmarkEnd w:id="85"/>
    <w:bookmarkStart w:id="87" w:name="ref-Blagg2018"/>
    <w:p>
      <w:pPr>
        <w:pStyle w:val="Bibliography"/>
      </w:pPr>
      <w:r>
        <w:t xml:space="preserve">Blagg, Kristin, Victoria Rosenboom, and Matthew M. Chingos. 2018.</w:t>
      </w:r>
      <w:r>
        <w:t xml:space="preserve"> </w:t>
      </w:r>
      <w:r>
        <w:rPr>
          <w:i/>
          <w:iCs/>
        </w:rPr>
        <w:t xml:space="preserve">The</w:t>
      </w:r>
      <w:r>
        <w:rPr>
          <w:i/>
          <w:iCs/>
        </w:rPr>
        <w:t xml:space="preserve"> </w:t>
      </w:r>
      <w:r>
        <w:rPr>
          <w:i/>
          <w:iCs/>
        </w:rPr>
        <w:t xml:space="preserve">Extra</w:t>
      </w:r>
      <w:r>
        <w:rPr>
          <w:i/>
          <w:iCs/>
        </w:rPr>
        <w:t xml:space="preserve"> </w:t>
      </w:r>
      <w:r>
        <w:rPr>
          <w:i/>
          <w:iCs/>
        </w:rPr>
        <w:t xml:space="preserve">Mile</w:t>
      </w:r>
      <w:r>
        <w:rPr>
          <w:i/>
          <w:iCs/>
        </w:rPr>
        <w:t xml:space="preserve">:</w:t>
      </w:r>
      <w:r>
        <w:rPr>
          <w:i/>
          <w:iCs/>
        </w:rPr>
        <w:t xml:space="preserve"> </w:t>
      </w:r>
      <w:r>
        <w:rPr>
          <w:i/>
          <w:iCs/>
        </w:rPr>
        <w:t xml:space="preserve">Time</w:t>
      </w:r>
      <w:r>
        <w:rPr>
          <w:i/>
          <w:iCs/>
        </w:rPr>
        <w:t xml:space="preserve"> </w:t>
      </w:r>
      <w:r>
        <w:rPr>
          <w:i/>
          <w:iCs/>
        </w:rPr>
        <w:t xml:space="preserve">to</w:t>
      </w:r>
      <w:r>
        <w:rPr>
          <w:i/>
          <w:iCs/>
        </w:rPr>
        <w:t xml:space="preserve"> </w:t>
      </w:r>
      <w:r>
        <w:rPr>
          <w:i/>
          <w:iCs/>
        </w:rPr>
        <w:t xml:space="preserve">School</w:t>
      </w:r>
      <w:r>
        <w:rPr>
          <w:i/>
          <w:iCs/>
        </w:rPr>
        <w:t xml:space="preserve"> </w:t>
      </w:r>
      <w:r>
        <w:rPr>
          <w:i/>
          <w:iCs/>
        </w:rPr>
        <w:t xml:space="preserve">and</w:t>
      </w:r>
      <w:r>
        <w:rPr>
          <w:i/>
          <w:iCs/>
        </w:rPr>
        <w:t xml:space="preserve"> </w:t>
      </w:r>
      <w:r>
        <w:rPr>
          <w:i/>
          <w:iCs/>
        </w:rPr>
        <w:t xml:space="preserve">Student</w:t>
      </w:r>
      <w:r>
        <w:rPr>
          <w:i/>
          <w:iCs/>
        </w:rPr>
        <w:t xml:space="preserve"> </w:t>
      </w:r>
      <w:r>
        <w:rPr>
          <w:i/>
          <w:iCs/>
        </w:rPr>
        <w:t xml:space="preserve">Outcomes</w:t>
      </w:r>
      <w:r>
        <w:rPr>
          <w:i/>
          <w:iCs/>
        </w:rPr>
        <w:t xml:space="preserve"> </w:t>
      </w:r>
      <w:r>
        <w:rPr>
          <w:i/>
          <w:iCs/>
        </w:rPr>
        <w:t xml:space="preserve">in</w:t>
      </w:r>
      <w:r>
        <w:rPr>
          <w:i/>
          <w:iCs/>
        </w:rPr>
        <w:t xml:space="preserve"> </w:t>
      </w:r>
      <w:r>
        <w:rPr>
          <w:i/>
          <w:iCs/>
        </w:rPr>
        <w:t xml:space="preserve">Washington</w:t>
      </w:r>
      <w:r>
        <w:rPr>
          <w:i/>
          <w:iCs/>
        </w:rPr>
        <w:t xml:space="preserve">,</w:t>
      </w:r>
      <w:r>
        <w:rPr>
          <w:i/>
          <w:iCs/>
        </w:rPr>
        <w:t xml:space="preserve"> </w:t>
      </w:r>
      <w:r>
        <w:rPr>
          <w:i/>
          <w:iCs/>
        </w:rPr>
        <w:t xml:space="preserve">DC</w:t>
      </w:r>
      <w:r>
        <w:t xml:space="preserve">. Urban Institute.</w:t>
      </w:r>
      <w:r>
        <w:t xml:space="preserve"> </w:t>
      </w:r>
      <w:hyperlink r:id="rId86">
        <w:r>
          <w:rPr>
            <w:rStyle w:val="Hyperlink"/>
          </w:rPr>
          <w:t xml:space="preserve">https://www.urban.org/sites/default/files/publication/99027/time_to_school_and_student_outcomes_in_dc_1.pdf</w:t>
        </w:r>
      </w:hyperlink>
      <w:r>
        <w:t xml:space="preserve">.</w:t>
      </w:r>
    </w:p>
    <w:bookmarkEnd w:id="87"/>
    <w:bookmarkStart w:id="89"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88">
        <w:r>
          <w:rPr>
            <w:rStyle w:val="Hyperlink"/>
          </w:rPr>
          <w:t xml:space="preserve">https://doi.org/10.1177/0308518X18787820</w:t>
        </w:r>
      </w:hyperlink>
      <w:r>
        <w:t xml:space="preserve">.</w:t>
      </w:r>
    </w:p>
    <w:bookmarkEnd w:id="89"/>
    <w:bookmarkStart w:id="91"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90">
        <w:r>
          <w:rPr>
            <w:rStyle w:val="Hyperlink"/>
          </w:rPr>
          <w:t xml:space="preserve">https://doi.org/10.1016/j.econedurev.2023.102405</w:t>
        </w:r>
      </w:hyperlink>
      <w:r>
        <w:t xml:space="preserve">.</w:t>
      </w:r>
    </w:p>
    <w:bookmarkEnd w:id="91"/>
    <w:bookmarkStart w:id="93" w:name="ref-Chairassamee2024"/>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92">
        <w:r>
          <w:rPr>
            <w:rStyle w:val="Hyperlink"/>
          </w:rPr>
          <w:t xml:space="preserve">https://doi.org/10.1371/journal.pone.0314687</w:t>
        </w:r>
      </w:hyperlink>
      <w:r>
        <w:t xml:space="preserve">.</w:t>
      </w:r>
    </w:p>
    <w:bookmarkEnd w:id="93"/>
    <w:bookmarkStart w:id="94" w:name="ref-Coleman1966"/>
    <w:p>
      <w:pPr>
        <w:pStyle w:val="Bibliography"/>
      </w:pPr>
      <w:r>
        <w:t xml:space="preserve">Coleman, James S., Ernest Q. Campbell, Carol J. Hobson, et al. 1966.</w:t>
      </w:r>
      <w:r>
        <w:t xml:space="preserve"> </w:t>
      </w:r>
      <w:r>
        <w:rPr>
          <w:i/>
          <w:iCs/>
        </w:rPr>
        <w:t xml:space="preserve">Equality of</w:t>
      </w:r>
      <w:r>
        <w:rPr>
          <w:i/>
          <w:iCs/>
        </w:rPr>
        <w:t xml:space="preserve"> </w:t>
      </w:r>
      <w:r>
        <w:rPr>
          <w:i/>
          <w:iCs/>
        </w:rPr>
        <w:t xml:space="preserve">Educational</w:t>
      </w:r>
      <w:r>
        <w:rPr>
          <w:i/>
          <w:iCs/>
        </w:rPr>
        <w:t xml:space="preserve"> </w:t>
      </w:r>
      <w:r>
        <w:rPr>
          <w:i/>
          <w:iCs/>
        </w:rPr>
        <w:t xml:space="preserve">Opportunity</w:t>
      </w:r>
      <w:r>
        <w:t xml:space="preserve">. U.S. Department of Health, Education,; Welfare, Office of Education.</w:t>
      </w:r>
    </w:p>
    <w:bookmarkEnd w:id="94"/>
    <w:bookmarkStart w:id="96"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95">
        <w:r>
          <w:rPr>
            <w:rStyle w:val="Hyperlink"/>
          </w:rPr>
          <w:t xml:space="preserve">https://committees.parliament.uk/committee/203/education-committee/news/156024/forgotten-white-workingclass-pupils-let-down-by-decades-of-neglect-mps-say/</w:t>
        </w:r>
      </w:hyperlink>
      <w:r>
        <w:t xml:space="preserve">.</w:t>
      </w:r>
    </w:p>
    <w:bookmarkEnd w:id="96"/>
    <w:bookmarkStart w:id="98" w:name="ref-Cordes2022"/>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97">
        <w:r>
          <w:rPr>
            <w:rStyle w:val="Hyperlink"/>
          </w:rPr>
          <w:t xml:space="preserve">https://doi.org/10.3102/01623737221092450</w:t>
        </w:r>
      </w:hyperlink>
      <w:r>
        <w:t xml:space="preserve">.</w:t>
      </w:r>
    </w:p>
    <w:bookmarkEnd w:id="98"/>
    <w:bookmarkStart w:id="100"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99">
        <w:r>
          <w:rPr>
            <w:rStyle w:val="Hyperlink"/>
          </w:rPr>
          <w:t xml:space="preserve">https://explore-education-statistics.service.gov.uk/find-statistics/the-link-between-absence-and-attainment-at-ks2-and-ks4/2018-19</w:t>
        </w:r>
      </w:hyperlink>
      <w:r>
        <w:t xml:space="preserve">.</w:t>
      </w:r>
    </w:p>
    <w:bookmarkEnd w:id="100"/>
    <w:bookmarkStart w:id="102"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01">
        <w:r>
          <w:rPr>
            <w:rStyle w:val="Hyperlink"/>
          </w:rPr>
          <w:t xml:space="preserve">https://www.gov.uk/government/publications/link-between-attendance-and-attainment</w:t>
        </w:r>
      </w:hyperlink>
      <w:r>
        <w:t xml:space="preserve">.</w:t>
      </w:r>
    </w:p>
    <w:bookmarkEnd w:id="102"/>
    <w:bookmarkStart w:id="104"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03">
        <w:r>
          <w:rPr>
            <w:rStyle w:val="Hyperlink"/>
          </w:rPr>
          <w:t xml:space="preserve">https://explore-education-statistics.service.gov.uk/find-statistics/pupil-absence-in-schools-in-england/2024-25-autumn-and-spring-term</w:t>
        </w:r>
      </w:hyperlink>
      <w:r>
        <w:t xml:space="preserve">.</w:t>
      </w:r>
    </w:p>
    <w:bookmarkEnd w:id="104"/>
    <w:bookmarkStart w:id="106"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05">
        <w:r>
          <w:rPr>
            <w:rStyle w:val="Hyperlink"/>
          </w:rPr>
          <w:t xml:space="preserve">https://www.gov.uk/government/publications/every-child-achieving-and-thriving/every-child-achieving-and-thriving-html-version</w:t>
        </w:r>
      </w:hyperlink>
      <w:r>
        <w:t xml:space="preserve">.</w:t>
      </w:r>
    </w:p>
    <w:bookmarkEnd w:id="106"/>
    <w:bookmarkStart w:id="108" w:name="ref-Ding2023"/>
    <w:p>
      <w:pPr>
        <w:pStyle w:val="Bibliography"/>
      </w:pPr>
      <w:r>
        <w:t xml:space="preserve">Ding, Peng, Yan Li, Suwei Feng, and Dorina Pojani. 2023.</w:t>
      </w:r>
      <w:r>
        <w:t xml:space="preserve"> </w:t>
      </w:r>
      <w:r>
        <w:t xml:space="preserve">“Do Long School Commutes Undermine Teenagers’ Wellbeing?</w:t>
      </w:r>
      <w:r>
        <w:t xml:space="preserve"> </w:t>
      </w:r>
      <w:r>
        <w:t xml:space="preserve">Evidence</w:t>
      </w:r>
      <w:r>
        <w:t xml:space="preserve"> </w:t>
      </w:r>
      <w:r>
        <w:t xml:space="preserve">from a Nation-Wide Survey in</w:t>
      </w:r>
      <w:r>
        <w:t xml:space="preserve"> </w:t>
      </w:r>
      <w:r>
        <w:t xml:space="preserve">China</w:t>
      </w:r>
      <w:r>
        <w:t xml:space="preserve">.”</w:t>
      </w:r>
      <w:r>
        <w:t xml:space="preserve"> </w:t>
      </w:r>
      <w:r>
        <w:rPr>
          <w:i/>
          <w:iCs/>
        </w:rPr>
        <w:t xml:space="preserve">Journal of Transport &amp; Health</w:t>
      </w:r>
      <w:r>
        <w:t xml:space="preserve"> </w:t>
      </w:r>
      <w:r>
        <w:t xml:space="preserve">30: 101605.</w:t>
      </w:r>
      <w:r>
        <w:t xml:space="preserve"> </w:t>
      </w:r>
      <w:hyperlink r:id="rId107">
        <w:r>
          <w:rPr>
            <w:rStyle w:val="Hyperlink"/>
          </w:rPr>
          <w:t xml:space="preserve">https://doi.org/10.1016/j.jth.2023.101605</w:t>
        </w:r>
      </w:hyperlink>
      <w:r>
        <w:t xml:space="preserve">.</w:t>
      </w:r>
    </w:p>
    <w:bookmarkEnd w:id="108"/>
    <w:bookmarkStart w:id="110"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09">
        <w:r>
          <w:rPr>
            <w:rStyle w:val="Hyperlink"/>
          </w:rPr>
          <w:t xml:space="preserve">https://doi.org/10.1002/berj.3992</w:t>
        </w:r>
      </w:hyperlink>
      <w:r>
        <w:t xml:space="preserve">.</w:t>
      </w:r>
    </w:p>
    <w:bookmarkEnd w:id="110"/>
    <w:bookmarkStart w:id="112"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11">
        <w:r>
          <w:rPr>
            <w:rStyle w:val="Hyperlink"/>
          </w:rPr>
          <w:t xml:space="preserve">https://doi.org/10.1093/ooec/odad029</w:t>
        </w:r>
      </w:hyperlink>
      <w:r>
        <w:t xml:space="preserve">.</w:t>
      </w:r>
    </w:p>
    <w:bookmarkEnd w:id="112"/>
    <w:bookmarkStart w:id="114" w:name="ref-Faulkner2013"/>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113">
        <w:r>
          <w:rPr>
            <w:rStyle w:val="Hyperlink"/>
          </w:rPr>
          <w:t xml:space="preserve">https://doi.org/10.1186/1471-2458-13-1166</w:t>
        </w:r>
      </w:hyperlink>
      <w:r>
        <w:t xml:space="preserve">.</w:t>
      </w:r>
    </w:p>
    <w:bookmarkEnd w:id="114"/>
    <w:bookmarkStart w:id="116" w:name="ref-Fredriksen2004"/>
    <w:p>
      <w:pPr>
        <w:pStyle w:val="Bibliography"/>
      </w:pPr>
      <w:r>
        <w:t xml:space="preserve">Fredriksen, Katia, Jean Rhodes, Ranjini Reddy, and Niobe Way. 2004.</w:t>
      </w:r>
      <w:r>
        <w:t xml:space="preserve"> </w:t>
      </w:r>
      <w:r>
        <w:t xml:space="preserve">“Sleepless in Chicago: Tracking the Effects of Adolescent Sleep Loss During the Middle School Years.”</w:t>
      </w:r>
      <w:r>
        <w:t xml:space="preserve"> </w:t>
      </w:r>
      <w:r>
        <w:rPr>
          <w:i/>
          <w:iCs/>
        </w:rPr>
        <w:t xml:space="preserve">Child Development</w:t>
      </w:r>
      <w:r>
        <w:t xml:space="preserve"> </w:t>
      </w:r>
      <w:r>
        <w:t xml:space="preserve">75 (1): 84–95. https://doi.org/</w:t>
      </w:r>
      <w:hyperlink r:id="rId115">
        <w:r>
          <w:rPr>
            <w:rStyle w:val="Hyperlink"/>
          </w:rPr>
          <w:t xml:space="preserve">https://doi.org/10.1111/j.1467-8624.2004.00655.x</w:t>
        </w:r>
      </w:hyperlink>
      <w:r>
        <w:t xml:space="preserve">.</w:t>
      </w:r>
    </w:p>
    <w:bookmarkEnd w:id="116"/>
    <w:bookmarkStart w:id="118"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17">
        <w:r>
          <w:rPr>
            <w:rStyle w:val="Hyperlink"/>
          </w:rPr>
          <w:t xml:space="preserve">https://cep.lse.ac.uk/_new/publications/abstract.asp?index=5752</w:t>
        </w:r>
      </w:hyperlink>
      <w:r>
        <w:t xml:space="preserve">.</w:t>
      </w:r>
    </w:p>
    <w:bookmarkEnd w:id="118"/>
    <w:bookmarkStart w:id="120"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19">
        <w:r>
          <w:rPr>
            <w:rStyle w:val="Hyperlink"/>
          </w:rPr>
          <w:t xml:space="preserve">https://doi.org/10.1002/berj.3297</w:t>
        </w:r>
      </w:hyperlink>
      <w:r>
        <w:t xml:space="preserve">.</w:t>
      </w:r>
    </w:p>
    <w:bookmarkEnd w:id="120"/>
    <w:bookmarkStart w:id="122"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21">
        <w:r>
          <w:rPr>
            <w:rStyle w:val="Hyperlink"/>
          </w:rPr>
          <w:t xml:space="preserve">https://doi.org/10.1177/2158244018825171</w:t>
        </w:r>
      </w:hyperlink>
      <w:r>
        <w:t xml:space="preserve">.</w:t>
      </w:r>
    </w:p>
    <w:bookmarkEnd w:id="122"/>
    <w:bookmarkStart w:id="124"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23">
        <w:r>
          <w:rPr>
            <w:rStyle w:val="Hyperlink"/>
          </w:rPr>
          <w:t xml:space="preserve">https://doi.org/10.3390/educsci15010006</w:t>
        </w:r>
      </w:hyperlink>
      <w:r>
        <w:t xml:space="preserve">.</w:t>
      </w:r>
    </w:p>
    <w:bookmarkEnd w:id="124"/>
    <w:bookmarkStart w:id="126"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25">
        <w:r>
          <w:rPr>
            <w:rStyle w:val="Hyperlink"/>
          </w:rPr>
          <w:t xml:space="preserve">https://opendocs.ids.ac.uk/articles/report/The_Contribution_of_Education_to_Economic_Growth/26453986/1</w:t>
        </w:r>
      </w:hyperlink>
      <w:r>
        <w:t xml:space="preserve">.</w:t>
      </w:r>
    </w:p>
    <w:bookmarkEnd w:id="126"/>
    <w:bookmarkStart w:id="128" w:name="ref-Guan2025"/>
    <w:p>
      <w:pPr>
        <w:pStyle w:val="Bibliography"/>
      </w:pPr>
      <w:r>
        <w:t xml:space="preserve">Guan, Hongwei, Jingjing Xue, Yaqi Zhang, Fang Chang, and Wei Liu. 2025.</w:t>
      </w:r>
      <w:r>
        <w:t xml:space="preserve"> </w:t>
      </w:r>
      <w:r>
        <w:t xml:space="preserve">“Examining the Relationship Between Commuting Time, Academic Achievement, and Mental Health in Rural</w:t>
      </w:r>
      <w:r>
        <w:t xml:space="preserve"> </w:t>
      </w:r>
      <w:r>
        <w:t xml:space="preserve">China</w:t>
      </w:r>
      <w:r>
        <w:t xml:space="preserve">: A Cross-Sectional Analysis.”</w:t>
      </w:r>
      <w:r>
        <w:t xml:space="preserve"> </w:t>
      </w:r>
      <w:r>
        <w:rPr>
          <w:i/>
          <w:iCs/>
        </w:rPr>
        <w:t xml:space="preserve">BMC Public Health</w:t>
      </w:r>
      <w:r>
        <w:t xml:space="preserve"> </w:t>
      </w:r>
      <w:r>
        <w:t xml:space="preserve">25 (1): 1616.</w:t>
      </w:r>
      <w:r>
        <w:t xml:space="preserve"> </w:t>
      </w:r>
      <w:hyperlink r:id="rId127">
        <w:r>
          <w:rPr>
            <w:rStyle w:val="Hyperlink"/>
          </w:rPr>
          <w:t xml:space="preserve">https://doi.org/10.1186/s12889-025-22861-7</w:t>
        </w:r>
      </w:hyperlink>
      <w:r>
        <w:t xml:space="preserve">.</w:t>
      </w:r>
    </w:p>
    <w:bookmarkEnd w:id="128"/>
    <w:bookmarkStart w:id="130" w:name="ref-houtepen_associations_2020"/>
    <w:p>
      <w:pPr>
        <w:pStyle w:val="Bibliography"/>
      </w:pPr>
      <w:r>
        <w:t xml:space="preserve">Houtepen, Lotte C., Jon Heron, Matthew J. Suderman, Abigail Fraser, Catherine R. Chittleborough, and Laura D. Howe. 2020.</w:t>
      </w:r>
      <w:r>
        <w:t xml:space="preserve"> </w:t>
      </w:r>
      <w:r>
        <w:t xml:space="preserve">“Associations of Adverse Childhood Experiences with Educational Attainment and Adolescent Health and the Role of Family and Socioeconomic Factors:</w:t>
      </w:r>
      <w:r>
        <w:t xml:space="preserve"> </w:t>
      </w:r>
      <w:r>
        <w:t xml:space="preserve">A</w:t>
      </w:r>
      <w:r>
        <w:t xml:space="preserve"> </w:t>
      </w:r>
      <w:r>
        <w:t xml:space="preserve">Prospective Cohort Study in the</w:t>
      </w:r>
      <w:r>
        <w:t xml:space="preserve"> </w:t>
      </w:r>
      <w:r>
        <w:t xml:space="preserve">UK</w:t>
      </w:r>
      <w:r>
        <w:t xml:space="preserve">.”</w:t>
      </w:r>
      <w:r>
        <w:t xml:space="preserve"> </w:t>
      </w:r>
      <w:r>
        <w:rPr>
          <w:i/>
          <w:iCs/>
        </w:rPr>
        <w:t xml:space="preserve">PLOS Medicine</w:t>
      </w:r>
      <w:r>
        <w:t xml:space="preserve"> </w:t>
      </w:r>
      <w:r>
        <w:t xml:space="preserve">17 (3): e1003031.</w:t>
      </w:r>
      <w:r>
        <w:t xml:space="preserve"> </w:t>
      </w:r>
      <w:hyperlink r:id="rId129">
        <w:r>
          <w:rPr>
            <w:rStyle w:val="Hyperlink"/>
          </w:rPr>
          <w:t xml:space="preserve">https://doi.org/10.1371/journal.pmed.1003031</w:t>
        </w:r>
      </w:hyperlink>
      <w:r>
        <w:t xml:space="preserve">.</w:t>
      </w:r>
    </w:p>
    <w:bookmarkEnd w:id="130"/>
    <w:bookmarkStart w:id="132" w:name="ref-Karan2021"/>
    <w:p>
      <w:pPr>
        <w:pStyle w:val="Bibliography"/>
      </w:pPr>
      <w:r>
        <w:t xml:space="preserve">Karan, Maira, Danny Rahal, David M. Almeida, et al. 2021.</w:t>
      </w:r>
      <w:r>
        <w:t xml:space="preserve"> </w:t>
      </w:r>
      <w:r>
        <w:t xml:space="preserve">“School Commute Time, Chronotype, and Altered</w:t>
      </w:r>
      <w:r>
        <w:t xml:space="preserve"> </w:t>
      </w:r>
      <w:r>
        <w:t xml:space="preserve">HPA</w:t>
      </w:r>
      <w:r>
        <w:t xml:space="preserve"> </w:t>
      </w:r>
      <w:r>
        <w:t xml:space="preserve">Axis Functioning During Adolescence.”</w:t>
      </w:r>
      <w:r>
        <w:t xml:space="preserve"> </w:t>
      </w:r>
      <w:r>
        <w:rPr>
          <w:i/>
          <w:iCs/>
        </w:rPr>
        <w:t xml:space="preserve">Psychoneuroendocrinology</w:t>
      </w:r>
      <w:r>
        <w:t xml:space="preserve"> </w:t>
      </w:r>
      <w:r>
        <w:t xml:space="preserve">133: 105371.</w:t>
      </w:r>
      <w:r>
        <w:t xml:space="preserve"> </w:t>
      </w:r>
      <w:hyperlink r:id="rId131">
        <w:r>
          <w:rPr>
            <w:rStyle w:val="Hyperlink"/>
          </w:rPr>
          <w:t xml:space="preserve">https://doi.org/10.1016/j.psyneuen.2021.105371</w:t>
        </w:r>
      </w:hyperlink>
      <w:r>
        <w:t xml:space="preserve">.</w:t>
      </w:r>
    </w:p>
    <w:bookmarkEnd w:id="132"/>
    <w:bookmarkStart w:id="134" w:name="ref-macleod_supporting_2015"/>
    <w:p>
      <w:pPr>
        <w:pStyle w:val="Bibliography"/>
      </w:pPr>
      <w:r>
        <w:t xml:space="preserve">Macleod, S., C. Sharp, D. Bernardinelli, A. Skipp, and S. Higgins. 2015.</w:t>
      </w:r>
      <w:r>
        <w:t xml:space="preserve"> </w:t>
      </w:r>
      <w:r>
        <w:rPr>
          <w:i/>
          <w:iCs/>
        </w:rPr>
        <w:t xml:space="preserve">Supporting 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Disadvantaged</w:t>
      </w:r>
      <w:r>
        <w:rPr>
          <w:i/>
          <w:iCs/>
        </w:rPr>
        <w:t xml:space="preserve"> </w:t>
      </w:r>
      <w:r>
        <w:rPr>
          <w:i/>
          <w:iCs/>
        </w:rPr>
        <w:t xml:space="preserve">Pupils</w:t>
      </w:r>
      <w:r>
        <w:rPr>
          <w:i/>
          <w:iCs/>
        </w:rPr>
        <w:t xml:space="preserve">:</w:t>
      </w:r>
      <w:r>
        <w:rPr>
          <w:i/>
          <w:iCs/>
        </w:rPr>
        <w:t xml:space="preserve"> </w:t>
      </w:r>
      <w:r>
        <w:rPr>
          <w:i/>
          <w:iCs/>
        </w:rPr>
        <w:t xml:space="preserve">Articulating</w:t>
      </w:r>
      <w:r>
        <w:rPr>
          <w:i/>
          <w:iCs/>
        </w:rPr>
        <w:t xml:space="preserve"> </w:t>
      </w:r>
      <w:r>
        <w:rPr>
          <w:i/>
          <w:iCs/>
        </w:rPr>
        <w:t xml:space="preserve">Success</w:t>
      </w:r>
      <w:r>
        <w:rPr>
          <w:i/>
          <w:iCs/>
        </w:rPr>
        <w:t xml:space="preserve"> </w:t>
      </w:r>
      <w:r>
        <w:rPr>
          <w:i/>
          <w:iCs/>
        </w:rPr>
        <w:t xml:space="preserve">and</w:t>
      </w:r>
      <w:r>
        <w:rPr>
          <w:i/>
          <w:iCs/>
        </w:rPr>
        <w:t xml:space="preserve"> </w:t>
      </w:r>
      <w:r>
        <w:rPr>
          <w:i/>
          <w:iCs/>
        </w:rPr>
        <w:t xml:space="preserve">Good</w:t>
      </w:r>
      <w:r>
        <w:rPr>
          <w:i/>
          <w:iCs/>
        </w:rPr>
        <w:t xml:space="preserve"> </w:t>
      </w:r>
      <w:r>
        <w:rPr>
          <w:i/>
          <w:iCs/>
        </w:rPr>
        <w:t xml:space="preserve">Practice</w:t>
      </w:r>
      <w:r>
        <w:t xml:space="preserve">. Department for Education.</w:t>
      </w:r>
      <w:r>
        <w:t xml:space="preserve"> </w:t>
      </w:r>
      <w:hyperlink r:id="rId133">
        <w:r>
          <w:rPr>
            <w:rStyle w:val="Hyperlink"/>
          </w:rPr>
          <w:t xml:space="preserve">https://www.nfer.ac.uk/publications/supporting-the-attainment-of-disadvantaged-pupils-articulating-success-and-good-practice/</w:t>
        </w:r>
      </w:hyperlink>
      <w:r>
        <w:t xml:space="preserve">.</w:t>
      </w:r>
    </w:p>
    <w:bookmarkEnd w:id="134"/>
    <w:bookmarkStart w:id="136"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35">
        <w:r>
          <w:rPr>
            <w:rStyle w:val="Hyperlink"/>
          </w:rPr>
          <w:t xml:space="preserve">https://doi.org/10.14324/LRE.21.1.20</w:t>
        </w:r>
      </w:hyperlink>
      <w:r>
        <w:t xml:space="preserve">.</w:t>
      </w:r>
    </w:p>
    <w:bookmarkEnd w:id="136"/>
    <w:bookmarkStart w:id="138" w:name="ref-Moore2026"/>
    <w:p>
      <w:pPr>
        <w:pStyle w:val="Bibliography"/>
      </w:pPr>
      <w:r>
        <w:t xml:space="preserve">Moore, Emma, Juan Manuel Del Pozo Segura, and Jenna Julius. 2026.</w:t>
      </w:r>
      <w:r>
        <w:t xml:space="preserve"> </w:t>
      </w:r>
      <w:r>
        <w:rPr>
          <w:i/>
          <w:iCs/>
        </w:rPr>
        <w:t xml:space="preserve">Understanding the Relationship Between Attendance, Wellbeing and Sense of Belonging</w:t>
      </w:r>
      <w:r>
        <w:t xml:space="preserve">. National Foundation for Educational Research.</w:t>
      </w:r>
      <w:r>
        <w:t xml:space="preserve"> </w:t>
      </w:r>
      <w:hyperlink r:id="rId137">
        <w:r>
          <w:rPr>
            <w:rStyle w:val="Hyperlink"/>
          </w:rPr>
          <w:t xml:space="preserve">https://www.nfer.ac.uk/publications/understanding-the-relationship-between-attendance-wellbeing-and-sense-of-belonging/</w:t>
        </w:r>
      </w:hyperlink>
      <w:r>
        <w:t xml:space="preserve">.</w:t>
      </w:r>
    </w:p>
    <w:bookmarkEnd w:id="138"/>
    <w:bookmarkStart w:id="140" w:name="ref-nakagawa_coefficient_2017"/>
    <w:p>
      <w:pPr>
        <w:pStyle w:val="Bibliography"/>
      </w:pPr>
      <w:r>
        <w:t xml:space="preserve">Nakagawa, Shinichi, Paul C. D. Johnson, and Holger Schielzeth. 2017.</w:t>
      </w:r>
      <w:r>
        <w:t xml:space="preserve"> </w:t>
      </w:r>
      <w:r>
        <w:t xml:space="preserve">“The Coefficient of Determination</w:t>
      </w:r>
      <w:r>
        <w:t xml:space="preserve"> </w:t>
      </w:r>
      <w:r>
        <w:t xml:space="preserve">R2</w:t>
      </w:r>
      <w:r>
        <w:t xml:space="preserve"> </w:t>
      </w:r>
      <w:r>
        <w:t xml:space="preserve">and Intra-Class Correlation Coefficient from Generalized Linear Mixed-Effects Models Revisited and Expanded.”</w:t>
      </w:r>
      <w:r>
        <w:t xml:space="preserve"> </w:t>
      </w:r>
      <w:r>
        <w:rPr>
          <w:i/>
          <w:iCs/>
        </w:rPr>
        <w:t xml:space="preserve">Journal of The Royal Society Interface</w:t>
      </w:r>
      <w:r>
        <w:t xml:space="preserve"> </w:t>
      </w:r>
      <w:r>
        <w:t xml:space="preserve">14 (134): 20170213.</w:t>
      </w:r>
      <w:r>
        <w:t xml:space="preserve"> </w:t>
      </w:r>
      <w:hyperlink r:id="rId139">
        <w:r>
          <w:rPr>
            <w:rStyle w:val="Hyperlink"/>
          </w:rPr>
          <w:t xml:space="preserve">https://doi.org/10.1098/rsif.2017.0213</w:t>
        </w:r>
      </w:hyperlink>
      <w:r>
        <w:t xml:space="preserve">.</w:t>
      </w:r>
    </w:p>
    <w:bookmarkEnd w:id="140"/>
    <w:bookmarkStart w:id="142" w:name="ref-nakagawa_general_2013"/>
    <w:p>
      <w:pPr>
        <w:pStyle w:val="Bibliography"/>
      </w:pPr>
      <w:r>
        <w:t xml:space="preserve">Nakagawa, Shinichi, and Holger Schielzeth. 2013.</w:t>
      </w:r>
      <w:r>
        <w:t xml:space="preserve"> </w:t>
      </w:r>
      <w:r>
        <w:t xml:space="preserve">“A General and Simple Method for Obtaining</w:t>
      </w:r>
      <w:r>
        <w:t xml:space="preserve"> </w:t>
      </w:r>
      <w:r>
        <w:t xml:space="preserve">R2</w:t>
      </w:r>
      <w:r>
        <w:t xml:space="preserve"> </w:t>
      </w:r>
      <w:r>
        <w:t xml:space="preserve">from Generalized Linear Mixed-Effects Models.”</w:t>
      </w:r>
      <w:r>
        <w:t xml:space="preserve"> </w:t>
      </w:r>
      <w:r>
        <w:rPr>
          <w:i/>
          <w:iCs/>
        </w:rPr>
        <w:t xml:space="preserve">Methods in Ecology and Evolution</w:t>
      </w:r>
      <w:r>
        <w:t xml:space="preserve"> </w:t>
      </w:r>
      <w:r>
        <w:t xml:space="preserve">4 (2): 133–42.</w:t>
      </w:r>
      <w:r>
        <w:t xml:space="preserve"> </w:t>
      </w:r>
      <w:hyperlink r:id="rId141">
        <w:r>
          <w:rPr>
            <w:rStyle w:val="Hyperlink"/>
          </w:rPr>
          <w:t xml:space="preserve">https://doi.org/10.1111/j.2041-210x.2012.00261.x</w:t>
        </w:r>
      </w:hyperlink>
      <w:r>
        <w:t xml:space="preserve">.</w:t>
      </w:r>
    </w:p>
    <w:bookmarkEnd w:id="142"/>
    <w:bookmarkStart w:id="144" w:name="ref-Nakajima2024"/>
    <w:p>
      <w:pPr>
        <w:pStyle w:val="Bibliography"/>
      </w:pPr>
      <w:r>
        <w:t xml:space="preserve">Nakajima, Sakurako, Yuichiro Otsuka, Osamu Itani, Yoshifumi Kaneko, Masato Suzuki, and Yoshitaka Kaneita. 2024.</w:t>
      </w:r>
      <w:r>
        <w:t xml:space="preserve"> </w:t>
      </w:r>
      <w:r>
        <w:t xml:space="preserve">“Association Between Commuting and Mental Health Among</w:t>
      </w:r>
      <w:r>
        <w:t xml:space="preserve"> </w:t>
      </w:r>
      <w:r>
        <w:t xml:space="preserve">Japanese</w:t>
      </w:r>
      <w:r>
        <w:t xml:space="preserve"> </w:t>
      </w:r>
      <w:r>
        <w:t xml:space="preserve">Adolescents.”</w:t>
      </w:r>
      <w:r>
        <w:t xml:space="preserve"> </w:t>
      </w:r>
      <w:r>
        <w:rPr>
          <w:i/>
          <w:iCs/>
        </w:rPr>
        <w:t xml:space="preserve">Psychiatry and Clinical Neurosciences</w:t>
      </w:r>
      <w:r>
        <w:t xml:space="preserve"> </w:t>
      </w:r>
      <w:r>
        <w:t xml:space="preserve">78 (10): 588–94.</w:t>
      </w:r>
      <w:r>
        <w:t xml:space="preserve"> </w:t>
      </w:r>
      <w:hyperlink r:id="rId143">
        <w:r>
          <w:rPr>
            <w:rStyle w:val="Hyperlink"/>
          </w:rPr>
          <w:t xml:space="preserve">https://doi.org/10.1111/pcn.13714</w:t>
        </w:r>
      </w:hyperlink>
      <w:r>
        <w:t xml:space="preserve">.</w:t>
      </w:r>
    </w:p>
    <w:bookmarkEnd w:id="144"/>
    <w:bookmarkStart w:id="146" w:name="ref-Otsuka2025"/>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w:t>
      </w:r>
      <w:r>
        <w:t xml:space="preserve"> </w:t>
      </w:r>
      <w:r>
        <w:t xml:space="preserve">Japanese</w:t>
      </w:r>
      <w:r>
        <w:t xml:space="preserve"> </w:t>
      </w:r>
      <w:r>
        <w:t xml:space="preserve">Adolescents.”</w:t>
      </w:r>
      <w:r>
        <w:t xml:space="preserve"> </w:t>
      </w:r>
      <w:r>
        <w:rPr>
          <w:i/>
          <w:iCs/>
        </w:rPr>
        <w:t xml:space="preserve">Environmental Health and Preventive Medicine</w:t>
      </w:r>
      <w:r>
        <w:t xml:space="preserve"> </w:t>
      </w:r>
      <w:r>
        <w:t xml:space="preserve">30: 89–89.</w:t>
      </w:r>
      <w:r>
        <w:t xml:space="preserve"> </w:t>
      </w:r>
      <w:hyperlink r:id="rId145">
        <w:r>
          <w:rPr>
            <w:rStyle w:val="Hyperlink"/>
          </w:rPr>
          <w:t xml:space="preserve">https://doi.org/10.1265/ehpm.25-00290</w:t>
        </w:r>
      </w:hyperlink>
      <w:r>
        <w:t xml:space="preserve">.</w:t>
      </w:r>
    </w:p>
    <w:bookmarkEnd w:id="146"/>
    <w:bookmarkStart w:id="148" w:name="ref-Pereira2014"/>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47">
        <w:r>
          <w:rPr>
            <w:rStyle w:val="Hyperlink"/>
          </w:rPr>
          <w:t xml:space="preserve">https://doi.org/10.3109/07420528.2013.826238</w:t>
        </w:r>
      </w:hyperlink>
      <w:r>
        <w:t xml:space="preserve">.</w:t>
      </w:r>
    </w:p>
    <w:bookmarkEnd w:id="148"/>
    <w:bookmarkStart w:id="150" w:name="ref-Pradhan2017"/>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49">
        <w:r>
          <w:rPr>
            <w:rStyle w:val="Hyperlink"/>
          </w:rPr>
          <w:t xml:space="preserve">https://doi.org/10.1007/s41105-017-0091-0</w:t>
        </w:r>
      </w:hyperlink>
      <w:r>
        <w:t xml:space="preserve">.</w:t>
      </w:r>
    </w:p>
    <w:bookmarkEnd w:id="150"/>
    <w:bookmarkStart w:id="152" w:name="ref-Rakesh2025"/>
    <w:p>
      <w:pPr>
        <w:pStyle w:val="Bibliography"/>
      </w:pPr>
      <w:r>
        <w:t xml:space="preserve">Rakesh, Divyangana, Paris Anne Lee, Amruta Gaikwad, and Katie A. McLaughlin. 2025.</w:t>
      </w:r>
      <w:r>
        <w:t xml:space="preserve"> </w:t>
      </w:r>
      <w:r>
        <w:t xml:space="preserve">“Annual</w:t>
      </w:r>
      <w:r>
        <w:t xml:space="preserve"> </w:t>
      </w:r>
      <w:r>
        <w:t xml:space="preserve">Research</w:t>
      </w:r>
      <w:r>
        <w:t xml:space="preserve"> </w:t>
      </w:r>
      <w:r>
        <w:t xml:space="preserve">Review</w:t>
      </w:r>
      <w:r>
        <w:t xml:space="preserve">:</w:t>
      </w:r>
      <w:r>
        <w:t xml:space="preserve"> </w:t>
      </w:r>
      <w:r>
        <w:t xml:space="preserve">Associations</w:t>
      </w:r>
      <w:r>
        <w:t xml:space="preserve"> </w:t>
      </w:r>
      <w:r>
        <w:t xml:space="preserve">of Socioeconomic Status with Cognitive Function, Language Ability, and Academic Achievement in Youth: A Systematic Review of Mechanisms and Protective Factors.”</w:t>
      </w:r>
      <w:r>
        <w:t xml:space="preserve"> </w:t>
      </w:r>
      <w:r>
        <w:rPr>
          <w:i/>
          <w:iCs/>
        </w:rPr>
        <w:t xml:space="preserve">Journal of Child Psychology and Psychiatry</w:t>
      </w:r>
      <w:r>
        <w:t xml:space="preserve"> </w:t>
      </w:r>
      <w:r>
        <w:t xml:space="preserve">66 (4): 417–39.</w:t>
      </w:r>
      <w:r>
        <w:t xml:space="preserve"> </w:t>
      </w:r>
      <w:hyperlink r:id="rId151">
        <w:r>
          <w:rPr>
            <w:rStyle w:val="Hyperlink"/>
          </w:rPr>
          <w:t xml:space="preserve">https://doi.org/10.1111/jcpp.14082</w:t>
        </w:r>
      </w:hyperlink>
      <w:r>
        <w:t xml:space="preserve">.</w:t>
      </w:r>
    </w:p>
    <w:bookmarkEnd w:id="152"/>
    <w:bookmarkStart w:id="154"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53">
        <w:r>
          <w:rPr>
            <w:rStyle w:val="Hyperlink"/>
          </w:rPr>
          <w:t xml:space="preserve">https://www.gov.uk/government/publications/against-the-odds</w:t>
        </w:r>
      </w:hyperlink>
      <w:r>
        <w:t xml:space="preserve">.</w:t>
      </w:r>
    </w:p>
    <w:bookmarkEnd w:id="154"/>
    <w:bookmarkStart w:id="156"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55">
        <w:r>
          <w:rPr>
            <w:rStyle w:val="Hyperlink"/>
          </w:rPr>
          <w:t xml:space="preserve">https://www.gov.uk/government/publications/examining-the-london-advantage-in-attainment-evidence-from-lsype</w:t>
        </w:r>
      </w:hyperlink>
      <w:r>
        <w:t xml:space="preserve">.</w:t>
      </w:r>
    </w:p>
    <w:bookmarkEnd w:id="156"/>
    <w:bookmarkStart w:id="158" w:name="ref-Shah2023"/>
    <w:p>
      <w:pPr>
        <w:pStyle w:val="Bibliography"/>
      </w:pPr>
      <w:r>
        <w:t xml:space="preserve">Shah, Kajal B. 2023.</w:t>
      </w:r>
      <w:r>
        <w:t xml:space="preserve"> </w:t>
      </w:r>
      <w:r>
        <w:t xml:space="preserve">“Traversing the</w:t>
      </w:r>
      <w:r>
        <w:t xml:space="preserve"> </w:t>
      </w:r>
      <w:r>
        <w:t xml:space="preserve">City</w:t>
      </w:r>
      <w:r>
        <w:t xml:space="preserve">:</w:t>
      </w:r>
      <w:r>
        <w:t xml:space="preserve"> </w:t>
      </w:r>
      <w:r>
        <w:t xml:space="preserve">Examining</w:t>
      </w:r>
      <w:r>
        <w:t xml:space="preserve"> </w:t>
      </w:r>
      <w:r>
        <w:t xml:space="preserve">the</w:t>
      </w:r>
      <w:r>
        <w:t xml:space="preserve"> </w:t>
      </w:r>
      <w:r>
        <w:t xml:space="preserve">Impacts</w:t>
      </w:r>
      <w:r>
        <w:t xml:space="preserve"> </w:t>
      </w:r>
      <w:r>
        <w:t xml:space="preserve">of</w:t>
      </w:r>
      <w:r>
        <w:t xml:space="preserve"> </w:t>
      </w:r>
      <w:r>
        <w:t xml:space="preserve">Extended</w:t>
      </w:r>
      <w:r>
        <w:t xml:space="preserve"> </w:t>
      </w:r>
      <w:r>
        <w:t xml:space="preserve">Commute</w:t>
      </w:r>
      <w:r>
        <w:t xml:space="preserve"> </w:t>
      </w:r>
      <w:r>
        <w:t xml:space="preserve">on</w:t>
      </w:r>
      <w:r>
        <w:t xml:space="preserve"> </w:t>
      </w:r>
      <w:r>
        <w:t xml:space="preserve">Student</w:t>
      </w:r>
      <w:r>
        <w:t xml:space="preserve"> </w:t>
      </w:r>
      <w:r>
        <w:t xml:space="preserve">Wellbeing</w:t>
      </w:r>
      <w:r>
        <w:t xml:space="preserve"> </w:t>
      </w:r>
      <w:r>
        <w:t xml:space="preserve">&amp;</w:t>
      </w:r>
      <w:r>
        <w:t xml:space="preserve"> </w:t>
      </w:r>
      <w:r>
        <w:t xml:space="preserve">High</w:t>
      </w:r>
      <w:r>
        <w:t xml:space="preserve"> </w:t>
      </w:r>
      <w:r>
        <w:t xml:space="preserve">School</w:t>
      </w:r>
      <w:r>
        <w:t xml:space="preserve"> </w:t>
      </w:r>
      <w:r>
        <w:t xml:space="preserve">Experience</w:t>
      </w:r>
      <w:r>
        <w:t xml:space="preserve"> </w:t>
      </w:r>
      <w:r>
        <w:t xml:space="preserve">in</w:t>
      </w:r>
      <w:r>
        <w:t xml:space="preserve"> </w:t>
      </w:r>
      <w:r>
        <w:t xml:space="preserve">Chicago</w:t>
      </w:r>
      <w:r>
        <w:t xml:space="preserve">.”</w:t>
      </w:r>
      <w:r>
        <w:t xml:space="preserve"> </w:t>
      </w:r>
      <w:r>
        <w:t xml:space="preserve">Master’s thesis, University of Chicago.</w:t>
      </w:r>
      <w:r>
        <w:t xml:space="preserve"> </w:t>
      </w:r>
      <w:hyperlink r:id="rId157">
        <w:r>
          <w:rPr>
            <w:rStyle w:val="Hyperlink"/>
          </w:rPr>
          <w:t xml:space="preserve">https://knowledge.uchicago.edu/record/7216</w:t>
        </w:r>
      </w:hyperlink>
      <w:r>
        <w:t xml:space="preserve">.</w:t>
      </w:r>
    </w:p>
    <w:bookmarkEnd w:id="158"/>
    <w:bookmarkStart w:id="159" w:name="ref-SmithTomlinson1989"/>
    <w:p>
      <w:pPr>
        <w:pStyle w:val="Bibliography"/>
      </w:pPr>
      <w:r>
        <w:t xml:space="preserve">Smith, David J., and Sally Tomlinson. 1989.</w:t>
      </w:r>
      <w:r>
        <w:t xml:space="preserve"> </w:t>
      </w:r>
      <w:r>
        <w:rPr>
          <w:i/>
          <w:iCs/>
        </w:rPr>
        <w:t xml:space="preserve">The</w:t>
      </w:r>
      <w:r>
        <w:rPr>
          <w:i/>
          <w:iCs/>
        </w:rPr>
        <w:t xml:space="preserve"> </w:t>
      </w:r>
      <w:r>
        <w:rPr>
          <w:i/>
          <w:iCs/>
        </w:rPr>
        <w:t xml:space="preserve">School</w:t>
      </w:r>
      <w:r>
        <w:rPr>
          <w:i/>
          <w:iCs/>
        </w:rPr>
        <w:t xml:space="preserve"> </w:t>
      </w:r>
      <w:r>
        <w:rPr>
          <w:i/>
          <w:iCs/>
        </w:rPr>
        <w:t xml:space="preserve">Effect</w:t>
      </w:r>
      <w:r>
        <w:rPr>
          <w:i/>
          <w:iCs/>
        </w:rPr>
        <w:t xml:space="preserve">:</w:t>
      </w:r>
      <w:r>
        <w:rPr>
          <w:i/>
          <w:iCs/>
        </w:rPr>
        <w:t xml:space="preserve"> </w:t>
      </w:r>
      <w:r>
        <w:rPr>
          <w:i/>
          <w:iCs/>
        </w:rPr>
        <w:t xml:space="preserve">A</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Multi</w:t>
      </w:r>
      <w:r>
        <w:rPr>
          <w:i/>
          <w:iCs/>
        </w:rPr>
        <w:t xml:space="preserve">-</w:t>
      </w:r>
      <w:r>
        <w:rPr>
          <w:i/>
          <w:iCs/>
        </w:rPr>
        <w:t xml:space="preserve">Racial</w:t>
      </w:r>
      <w:r>
        <w:rPr>
          <w:i/>
          <w:iCs/>
        </w:rPr>
        <w:t xml:space="preserve"> </w:t>
      </w:r>
      <w:r>
        <w:rPr>
          <w:i/>
          <w:iCs/>
        </w:rPr>
        <w:t xml:space="preserve">Comprehensives</w:t>
      </w:r>
      <w:r>
        <w:t xml:space="preserve">. Policy Studies Institute.</w:t>
      </w:r>
    </w:p>
    <w:bookmarkEnd w:id="159"/>
    <w:bookmarkStart w:id="160"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60"/>
    <w:bookmarkStart w:id="162" w:name="ref-Stein2021"/>
    <w:p>
      <w:pPr>
        <w:pStyle w:val="Bibliography"/>
      </w:pPr>
      <w:r>
        <w:t xml:space="preserve">Stein, Marc L., Julia Burdick-Will, and Jeffrey Grigg. 2021.</w:t>
      </w:r>
      <w:r>
        <w:t xml:space="preserve"> </w:t>
      </w:r>
      <w:r>
        <w:t xml:space="preserve">“A Choice Too Far: Transit Difficulty and Early High School Transfer.”</w:t>
      </w:r>
      <w:r>
        <w:t xml:space="preserve"> </w:t>
      </w:r>
      <w:r>
        <w:rPr>
          <w:i/>
          <w:iCs/>
        </w:rPr>
        <w:t xml:space="preserve">Educational Researcher</w:t>
      </w:r>
      <w:r>
        <w:t xml:space="preserve"> </w:t>
      </w:r>
      <w:r>
        <w:t xml:space="preserve">50 (3): 137–44.</w:t>
      </w:r>
      <w:r>
        <w:t xml:space="preserve"> </w:t>
      </w:r>
      <w:hyperlink r:id="rId161">
        <w:r>
          <w:rPr>
            <w:rStyle w:val="Hyperlink"/>
          </w:rPr>
          <w:t xml:space="preserve">https://doi.org/10.3102/0013189X20949504</w:t>
        </w:r>
      </w:hyperlink>
      <w:r>
        <w:t xml:space="preserve">.</w:t>
      </w:r>
    </w:p>
    <w:bookmarkEnd w:id="162"/>
    <w:bookmarkStart w:id="164"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63">
        <w:r>
          <w:rPr>
            <w:rStyle w:val="Hyperlink"/>
          </w:rPr>
          <w:t xml:space="preserve">https://doi.org/10.1080/01425692.2025.2474040</w:t>
        </w:r>
      </w:hyperlink>
      <w:r>
        <w:t xml:space="preserve">.</w:t>
      </w:r>
    </w:p>
    <w:bookmarkEnd w:id="164"/>
    <w:bookmarkStart w:id="166"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65">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66"/>
    <w:bookmarkStart w:id="168" w:name="ref-tan_good_2025"/>
    <w:p>
      <w:pPr>
        <w:pStyle w:val="Bibliography"/>
      </w:pPr>
      <w:r>
        <w:t xml:space="preserve">Tan, Josiah, and Adam Dennett. 2025.</w:t>
      </w:r>
      <w:r>
        <w:t xml:space="preserve"> </w:t>
      </w:r>
      <w:r>
        <w:t xml:space="preserve">“Do</w:t>
      </w:r>
      <w:r>
        <w:t xml:space="preserve"> </w:t>
      </w:r>
      <w:r>
        <w:t xml:space="preserve">Good</w:t>
      </w:r>
      <w:r>
        <w:t xml:space="preserve"> </w:t>
      </w:r>
      <w:r>
        <w:t xml:space="preserve">Schools</w:t>
      </w:r>
      <w:r>
        <w:t xml:space="preserve"> </w:t>
      </w:r>
      <w:r>
        <w:t xml:space="preserve">Influence</w:t>
      </w:r>
      <w:r>
        <w:t xml:space="preserve"> </w:t>
      </w:r>
      <w:r>
        <w:t xml:space="preserve">Property</w:t>
      </w:r>
      <w:r>
        <w:t xml:space="preserve"> </w:t>
      </w:r>
      <w:r>
        <w:t xml:space="preserve">Prices</w:t>
      </w:r>
      <w:r>
        <w:t xml:space="preserve">?</w:t>
      </w:r>
      <w:r>
        <w:t xml:space="preserve"> </w:t>
      </w:r>
      <w:r>
        <w:t xml:space="preserve">Disentangling</w:t>
      </w:r>
      <w:r>
        <w:t xml:space="preserve"> </w:t>
      </w:r>
      <w:r>
        <w:t xml:space="preserve">School</w:t>
      </w:r>
      <w:r>
        <w:t xml:space="preserve"> </w:t>
      </w:r>
      <w:r>
        <w:t xml:space="preserve">and</w:t>
      </w:r>
      <w:r>
        <w:t xml:space="preserve"> </w:t>
      </w:r>
      <w:r>
        <w:t xml:space="preserve">Neighbourhood</w:t>
      </w:r>
      <w:r>
        <w:t xml:space="preserve"> </w:t>
      </w:r>
      <w:r>
        <w:t xml:space="preserve">Effects</w:t>
      </w:r>
      <w:r>
        <w:t xml:space="preserve"> </w:t>
      </w:r>
      <w:r>
        <w:t xml:space="preserve">with</w:t>
      </w:r>
      <w:r>
        <w:t xml:space="preserve"> </w:t>
      </w:r>
      <w:r>
        <w:t xml:space="preserve">Empirical</w:t>
      </w:r>
      <w:r>
        <w:t xml:space="preserve"> </w:t>
      </w:r>
      <w:r>
        <w:t xml:space="preserve">Evidence</w:t>
      </w:r>
      <w:r>
        <w:t xml:space="preserve"> </w:t>
      </w:r>
      <w:r>
        <w:t xml:space="preserve">from</w:t>
      </w:r>
      <w:r>
        <w:t xml:space="preserve"> </w:t>
      </w:r>
      <w:r>
        <w:t xml:space="preserve">Brighton</w:t>
      </w:r>
      <w:r>
        <w:t xml:space="preserve">.”</w:t>
      </w:r>
      <w:r>
        <w:t xml:space="preserve"> </w:t>
      </w:r>
      <w:r>
        <w:t xml:space="preserve">In</w:t>
      </w:r>
      <w:r>
        <w:t xml:space="preserve"> </w:t>
      </w:r>
      <w:r>
        <w:rPr>
          <w:i/>
          <w:iCs/>
        </w:rPr>
        <w:t xml:space="preserve">Digital-</w:t>
      </w:r>
      <w:r>
        <w:rPr>
          <w:i/>
          <w:iCs/>
        </w:rPr>
        <w:t xml:space="preserve">Era</w:t>
      </w:r>
      <w:r>
        <w:rPr>
          <w:i/>
          <w:iCs/>
        </w:rPr>
        <w:t xml:space="preserve"> </w:t>
      </w:r>
      <w:r>
        <w:rPr>
          <w:i/>
          <w:iCs/>
        </w:rPr>
        <w:t xml:space="preserve">Urban</w:t>
      </w:r>
      <w:r>
        <w:rPr>
          <w:i/>
          <w:iCs/>
        </w:rPr>
        <w:t xml:space="preserve"> </w:t>
      </w:r>
      <w:r>
        <w:rPr>
          <w:i/>
          <w:iCs/>
        </w:rPr>
        <w:t xml:space="preserve">Transformations</w:t>
      </w:r>
      <w:r>
        <w:t xml:space="preserve">, edited by Robert Goodspeed, Esra Suel, Huanfa Chen, Joana Barros, and Christopher Pettit. Springer Nature Switzerland.</w:t>
      </w:r>
      <w:r>
        <w:t xml:space="preserve"> </w:t>
      </w:r>
      <w:hyperlink r:id="rId167">
        <w:r>
          <w:rPr>
            <w:rStyle w:val="Hyperlink"/>
          </w:rPr>
          <w:t xml:space="preserve">https://doi.org/10.1007/978-3-031-98300-9_17</w:t>
        </w:r>
      </w:hyperlink>
      <w:r>
        <w:t xml:space="preserve">.</w:t>
      </w:r>
    </w:p>
    <w:bookmarkEnd w:id="168"/>
    <w:bookmarkStart w:id="169" w:name="ref-TeddlieReynolds2000"/>
    <w:p>
      <w:pPr>
        <w:pStyle w:val="Bibliography"/>
      </w:pPr>
      <w:r>
        <w:t xml:space="preserve">Teddlie, Charles, and David Reynolds. 2000.</w:t>
      </w:r>
      <w:r>
        <w:t xml:space="preserve"> </w:t>
      </w:r>
      <w:r>
        <w:rPr>
          <w:i/>
          <w:iCs/>
        </w:rPr>
        <w:t xml:space="preserve">The</w:t>
      </w:r>
      <w:r>
        <w:rPr>
          <w:i/>
          <w:iCs/>
        </w:rPr>
        <w:t xml:space="preserve"> </w:t>
      </w:r>
      <w:r>
        <w:rPr>
          <w:i/>
          <w:iCs/>
        </w:rPr>
        <w:t xml:space="preserve">International</w:t>
      </w:r>
      <w:r>
        <w:rPr>
          <w:i/>
          <w:iCs/>
        </w:rPr>
        <w:t xml:space="preserve"> </w:t>
      </w:r>
      <w:r>
        <w:rPr>
          <w:i/>
          <w:iCs/>
        </w:rPr>
        <w:t xml:space="preserve">Handbook</w:t>
      </w:r>
      <w:r>
        <w:rPr>
          <w:i/>
          <w:iCs/>
        </w:rPr>
        <w:t xml:space="preserve"> </w:t>
      </w:r>
      <w:r>
        <w:rPr>
          <w:i/>
          <w:iCs/>
        </w:rPr>
        <w:t xml:space="preserve">of</w:t>
      </w:r>
      <w:r>
        <w:rPr>
          <w:i/>
          <w:iCs/>
        </w:rPr>
        <w:t xml:space="preserve"> </w:t>
      </w:r>
      <w:r>
        <w:rPr>
          <w:i/>
          <w:iCs/>
        </w:rPr>
        <w:t xml:space="preserve">School</w:t>
      </w:r>
      <w:r>
        <w:rPr>
          <w:i/>
          <w:iCs/>
        </w:rPr>
        <w:t xml:space="preserve"> </w:t>
      </w:r>
      <w:r>
        <w:rPr>
          <w:i/>
          <w:iCs/>
        </w:rPr>
        <w:t xml:space="preserve">Effectiveness</w:t>
      </w:r>
      <w:r>
        <w:rPr>
          <w:i/>
          <w:iCs/>
        </w:rPr>
        <w:t xml:space="preserve"> </w:t>
      </w:r>
      <w:r>
        <w:rPr>
          <w:i/>
          <w:iCs/>
        </w:rPr>
        <w:t xml:space="preserve">Research</w:t>
      </w:r>
      <w:r>
        <w:t xml:space="preserve">. Falmer Press.</w:t>
      </w:r>
    </w:p>
    <w:bookmarkEnd w:id="169"/>
    <w:bookmarkStart w:id="171"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70">
        <w:r>
          <w:rPr>
            <w:rStyle w:val="Hyperlink"/>
          </w:rPr>
          <w:t xml:space="preserve">https://ffteducationdatalab.org.uk/2023/11/are-pupils-who-live-further-away-from-their-school-absent-more-often/</w:t>
        </w:r>
      </w:hyperlink>
      <w:r>
        <w:t xml:space="preserve">.</w:t>
      </w:r>
    </w:p>
    <w:bookmarkEnd w:id="171"/>
    <w:bookmarkStart w:id="173"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72">
        <w:r>
          <w:rPr>
            <w:rStyle w:val="Hyperlink"/>
          </w:rPr>
          <w:t xml:space="preserve">https://epi.org.uk/annual-report-2023/</w:t>
        </w:r>
      </w:hyperlink>
      <w:r>
        <w:t xml:space="preserve">.</w:t>
      </w:r>
    </w:p>
    <w:bookmarkEnd w:id="173"/>
    <w:bookmarkStart w:id="175" w:name="ref-Voulgaris2019"/>
    <w:p>
      <w:pPr>
        <w:pStyle w:val="Bibliography"/>
      </w:pPr>
      <w:r>
        <w:t xml:space="preserve">Voulgaris, Carole Turley, Michael J. Smart, and Brian D. Taylor. 2019.</w:t>
      </w:r>
      <w:r>
        <w:t xml:space="preserve"> </w:t>
      </w:r>
      <w:r>
        <w:t xml:space="preserve">“Tired of Commuting?</w:t>
      </w:r>
      <w:r>
        <w:t xml:space="preserve"> </w:t>
      </w:r>
      <w:r>
        <w:t xml:space="preserve">Relationships</w:t>
      </w:r>
      <w:r>
        <w:t xml:space="preserve"> </w:t>
      </w:r>
      <w:r>
        <w:t xml:space="preserve">Among Journeys to School, Sleep, and Exercise Among</w:t>
      </w:r>
      <w:r>
        <w:t xml:space="preserve"> </w:t>
      </w:r>
      <w:r>
        <w:t xml:space="preserve">American</w:t>
      </w:r>
      <w:r>
        <w:t xml:space="preserve"> </w:t>
      </w:r>
      <w:r>
        <w:t xml:space="preserve">Teenagers.”</w:t>
      </w:r>
      <w:r>
        <w:t xml:space="preserve"> </w:t>
      </w:r>
      <w:r>
        <w:rPr>
          <w:i/>
          <w:iCs/>
        </w:rPr>
        <w:t xml:space="preserve">Journal of Planning Education and Research</w:t>
      </w:r>
      <w:r>
        <w:t xml:space="preserve"> </w:t>
      </w:r>
      <w:r>
        <w:t xml:space="preserve">39 (2): 142–54.</w:t>
      </w:r>
      <w:r>
        <w:t xml:space="preserve"> </w:t>
      </w:r>
      <w:hyperlink r:id="rId174">
        <w:r>
          <w:rPr>
            <w:rStyle w:val="Hyperlink"/>
          </w:rPr>
          <w:t xml:space="preserve">https://doi.org/10.1177/0739456X17725148</w:t>
        </w:r>
      </w:hyperlink>
      <w:r>
        <w:t xml:space="preserve">.</w:t>
      </w:r>
    </w:p>
    <w:bookmarkEnd w:id="175"/>
    <w:bookmarkStart w:id="177" w:name="ref-WassersteinLazar2016"/>
    <w:p>
      <w:pPr>
        <w:pStyle w:val="Bibliography"/>
      </w:pPr>
      <w:r>
        <w:t xml:space="preserve">Wasserstein, Ronald L., and Nicole A. Lazar. 2016.</w:t>
      </w:r>
      <w:r>
        <w:t xml:space="preserve"> </w:t>
      </w:r>
      <w:r>
        <w:t xml:space="preserve">“The</w:t>
      </w:r>
      <w:r>
        <w:t xml:space="preserve"> </w:t>
      </w:r>
      <w:r>
        <w:t xml:space="preserve">ASA</w:t>
      </w:r>
      <w:r>
        <w:t xml:space="preserve"> </w:t>
      </w:r>
      <w:r>
        <w:t xml:space="preserve">Statement on p-Values: Context, Process, and Purpose.”</w:t>
      </w:r>
      <w:r>
        <w:t xml:space="preserve"> </w:t>
      </w:r>
      <w:r>
        <w:rPr>
          <w:i/>
          <w:iCs/>
        </w:rPr>
        <w:t xml:space="preserve">The American Statistician</w:t>
      </w:r>
      <w:r>
        <w:t xml:space="preserve"> </w:t>
      </w:r>
      <w:r>
        <w:t xml:space="preserve">70 (2): 129–33.</w:t>
      </w:r>
      <w:r>
        <w:t xml:space="preserve"> </w:t>
      </w:r>
      <w:hyperlink r:id="rId176">
        <w:r>
          <w:rPr>
            <w:rStyle w:val="Hyperlink"/>
          </w:rPr>
          <w:t xml:space="preserve">https://doi.org/10.1080/00031305.2016.1154108</w:t>
        </w:r>
      </w:hyperlink>
      <w:r>
        <w:t xml:space="preserve">.</w:t>
      </w:r>
    </w:p>
    <w:bookmarkEnd w:id="177"/>
    <w:bookmarkStart w:id="179" w:name="ref-Yeo2019"/>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178">
        <w:r>
          <w:rPr>
            <w:rStyle w:val="Hyperlink"/>
          </w:rPr>
          <w:t xml:space="preserve">https://doi.org/10.1016/j.sleep.2018.10.041</w:t>
        </w:r>
      </w:hyperlink>
      <w:r>
        <w:t xml:space="preserve">.</w:t>
      </w:r>
    </w:p>
    <w:bookmarkEnd w:id="179"/>
    <w:bookmarkStart w:id="181"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80">
        <w:r>
          <w:rPr>
            <w:rStyle w:val="Hyperlink"/>
          </w:rPr>
          <w:t xml:space="preserve">https://epi.org.uk/publications-and-research/the-influence-of-headteachers-on-their-schools/</w:t>
        </w:r>
      </w:hyperlink>
      <w:r>
        <w:t xml:space="preserve">.</w:t>
      </w:r>
    </w:p>
    <w:bookmarkEnd w:id="181"/>
    <w:bookmarkEnd w:id="182"/>
    <w:bookmarkEnd w:id="183"/>
    <w:bookmarkStart w:id="211" w:name="figures-and-tables"/>
    <w:p>
      <w:pPr>
        <w:pStyle w:val="Heading1"/>
      </w:pPr>
      <w:r>
        <w:t xml:space="preserve">Figures and Tables</w:t>
      </w:r>
    </w:p>
    <w:tbl>
      <w:tblPr>
        <w:tblStyle w:val="Table"/>
        <w:tblW w:type="pct" w:w="5000"/>
        <w:tblLayout w:type="fixed"/>
        <w:tblLook w:firstRow="0" w:lastRow="0" w:firstColumn="0" w:lastColumn="0" w:noHBand="0" w:noVBand="0" w:val="0000"/>
      </w:tblPr>
      <w:tblGrid>
        <w:gridCol w:w="7920"/>
      </w:tblGrid>
      <w:tr>
        <w:tc>
          <w:tcPr/>
          <w:bookmarkStart w:id="184"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20"/>
              <w:gridCol w:w="660"/>
              <w:gridCol w:w="420"/>
              <w:gridCol w:w="660"/>
              <w:gridCol w:w="420"/>
              <w:gridCol w:w="660"/>
              <w:gridCol w:w="420"/>
              <w:gridCol w:w="660"/>
              <w:gridCol w:w="420"/>
              <w:gridCol w:w="660"/>
              <w:gridCol w:w="102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 ***</w:t>
                  </w:r>
                </w:p>
              </w:tc>
              <w:tc>
                <w:tcPr/>
                <w:p>
                  <w:pPr>
                    <w:pStyle w:val="Compact"/>
                    <w:jc w:val="left"/>
                    <w:jc w:val="center"/>
                  </w:pPr>
                  <w:r>
                    <w:t xml:space="preserve">621.25</w:t>
                  </w:r>
                </w:p>
              </w:tc>
              <w:tc>
                <w:tcPr/>
                <w:p>
                  <w:pPr>
                    <w:pStyle w:val="Compact"/>
                    <w:jc w:val="right"/>
                    <w:jc w:val="center"/>
                  </w:pPr>
                  <w:r>
                    <w:t xml:space="preserve">5.006 ***</w:t>
                  </w:r>
                </w:p>
              </w:tc>
              <w:tc>
                <w:tcPr/>
                <w:p>
                  <w:pPr>
                    <w:pStyle w:val="Compact"/>
                    <w:jc w:val="left"/>
                    <w:jc w:val="center"/>
                  </w:pPr>
                  <w:r>
                    <w:t xml:space="preserve">579.97</w:t>
                  </w:r>
                </w:p>
              </w:tc>
              <w:tc>
                <w:tcPr/>
                <w:p>
                  <w:pPr>
                    <w:pStyle w:val="Compact"/>
                    <w:jc w:val="right"/>
                    <w:jc w:val="center"/>
                  </w:pPr>
                  <w:r>
                    <w:t xml:space="preserve">4.412 ***</w:t>
                  </w:r>
                </w:p>
              </w:tc>
              <w:tc>
                <w:tcPr/>
                <w:p>
                  <w:pPr>
                    <w:pStyle w:val="Compact"/>
                    <w:jc w:val="left"/>
                    <w:jc w:val="center"/>
                  </w:pPr>
                  <w:r>
                    <w:t xml:space="preserve">345.92</w:t>
                  </w:r>
                </w:p>
              </w:tc>
              <w:tc>
                <w:tcPr/>
                <w:p>
                  <w:pPr>
                    <w:pStyle w:val="Compact"/>
                    <w:jc w:val="right"/>
                    <w:jc w:val="center"/>
                  </w:pPr>
                  <w:r>
                    <w:t xml:space="preserve">4.304 ***</w:t>
                  </w:r>
                </w:p>
              </w:tc>
              <w:tc>
                <w:tcPr/>
                <w:p>
                  <w:pPr>
                    <w:pStyle w:val="Compact"/>
                    <w:jc w:val="left"/>
                    <w:jc w:val="center"/>
                  </w:pPr>
                  <w:r>
                    <w:t xml:space="preserve">263.27</w:t>
                  </w:r>
                </w:p>
              </w:tc>
              <w:tc>
                <w:tcPr/>
                <w:p>
                  <w:pPr>
                    <w:pStyle w:val="Compact"/>
                    <w:jc w:val="right"/>
                    <w:jc w:val="center"/>
                  </w:pPr>
                  <w:r>
                    <w:t xml:space="preserve">4.261 ***</w:t>
                  </w:r>
                </w:p>
              </w:tc>
              <w:tc>
                <w:tcPr/>
                <w:p>
                  <w:pPr>
                    <w:pStyle w:val="Compact"/>
                    <w:jc w:val="left"/>
                    <w:jc w:val="center"/>
                  </w:pPr>
                  <w:r>
                    <w:t xml:space="preserve">114.98</w:t>
                  </w:r>
                </w:p>
              </w:tc>
            </w:tr>
            <w:tr>
              <w:tc>
                <w:tcPr/>
                <w:p>
                  <w:pPr>
                    <w:pStyle w:val="Compact"/>
                    <w:jc w:val="left"/>
                    <w:jc w:val="center"/>
                  </w:pPr>
                  <w:r>
                    <w:t xml:space="preserve">log(% FSM)</w:t>
                  </w:r>
                </w:p>
              </w:tc>
              <w:tc>
                <w:tcPr/>
                <w:p>
                  <w:pPr>
                    <w:pStyle w:val="Compact"/>
                    <w:jc w:val="right"/>
                    <w:jc w:val="center"/>
                  </w:pPr>
                  <w:r>
                    <w:t xml:space="preserve">-0.201 ***</w:t>
                  </w:r>
                </w:p>
              </w:tc>
              <w:tc>
                <w:tcPr/>
                <w:p>
                  <w:pPr>
                    <w:pStyle w:val="Compact"/>
                    <w:jc w:val="left"/>
                    <w:jc w:val="center"/>
                  </w:pPr>
                  <w:r>
                    <w:t xml:space="preserve">-88.94</w:t>
                  </w:r>
                </w:p>
              </w:tc>
              <w:tc>
                <w:tcPr/>
                <w:p>
                  <w:pPr>
                    <w:pStyle w:val="Compact"/>
                    <w:jc w:val="right"/>
                    <w:jc w:val="center"/>
                  </w:pPr>
                  <w:r>
                    <w:t xml:space="preserve">-0.122 ***</w:t>
                  </w:r>
                </w:p>
              </w:tc>
              <w:tc>
                <w:tcPr/>
                <w:p>
                  <w:pPr>
                    <w:pStyle w:val="Compact"/>
                    <w:jc w:val="left"/>
                    <w:jc w:val="center"/>
                  </w:pPr>
                  <w:r>
                    <w:t xml:space="preserve">-59.66</w:t>
                  </w:r>
                </w:p>
              </w:tc>
              <w:tc>
                <w:tcPr/>
                <w:p>
                  <w:pPr>
                    <w:pStyle w:val="Compact"/>
                    <w:jc w:val="right"/>
                    <w:jc w:val="center"/>
                  </w:pPr>
                  <w:r>
                    <w:t xml:space="preserve">-0.047 ***</w:t>
                  </w:r>
                </w:p>
              </w:tc>
              <w:tc>
                <w:tcPr/>
                <w:p>
                  <w:pPr>
                    <w:pStyle w:val="Compact"/>
                    <w:jc w:val="left"/>
                    <w:jc w:val="center"/>
                  </w:pPr>
                  <w:r>
                    <w:t xml:space="preserve">-21.04</w:t>
                  </w:r>
                </w:p>
              </w:tc>
              <w:tc>
                <w:tcPr/>
                <w:p>
                  <w:pPr>
                    <w:pStyle w:val="Compact"/>
                    <w:jc w:val="right"/>
                    <w:jc w:val="center"/>
                  </w:pPr>
                  <w:r>
                    <w:t xml:space="preserve">-0.054 ***</w:t>
                  </w:r>
                </w:p>
              </w:tc>
              <w:tc>
                <w:tcPr/>
                <w:p>
                  <w:pPr>
                    <w:pStyle w:val="Compact"/>
                    <w:jc w:val="left"/>
                    <w:jc w:val="center"/>
                  </w:pPr>
                  <w:r>
                    <w:t xml:space="preserve">-21.47</w:t>
                  </w:r>
                </w:p>
              </w:tc>
              <w:tc>
                <w:tcPr/>
                <w:p>
                  <w:pPr>
                    <w:pStyle w:val="Compact"/>
                    <w:jc w:val="right"/>
                    <w:jc w:val="center"/>
                  </w:pPr>
                  <w:r>
                    <w:t xml:space="preserve">-0.050 ***</w:t>
                  </w:r>
                </w:p>
              </w:tc>
              <w:tc>
                <w:tcPr/>
                <w:p>
                  <w:pPr>
                    <w:pStyle w:val="Compact"/>
                    <w:jc w:val="left"/>
                    <w:jc w:val="center"/>
                  </w:pPr>
                  <w:r>
                    <w:t xml:space="preserve">-18.18</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 ***</w:t>
                  </w:r>
                </w:p>
              </w:tc>
              <w:tc>
                <w:tcPr/>
                <w:p>
                  <w:pPr>
                    <w:pStyle w:val="Compact"/>
                    <w:jc w:val="left"/>
                    <w:jc w:val="center"/>
                  </w:pPr>
                  <w:r>
                    <w:t xml:space="preserve">-82.87</w:t>
                  </w:r>
                </w:p>
              </w:tc>
              <w:tc>
                <w:tcPr/>
                <w:p>
                  <w:pPr>
                    <w:pStyle w:val="Compact"/>
                    <w:jc w:val="right"/>
                    <w:jc w:val="center"/>
                  </w:pPr>
                  <w:r>
                    <w:t xml:space="preserve">-0.259 ***</w:t>
                  </w:r>
                </w:p>
              </w:tc>
              <w:tc>
                <w:tcPr/>
                <w:p>
                  <w:pPr>
                    <w:pStyle w:val="Compact"/>
                    <w:jc w:val="left"/>
                    <w:jc w:val="center"/>
                  </w:pPr>
                  <w:r>
                    <w:t xml:space="preserve">-60.47</w:t>
                  </w:r>
                </w:p>
              </w:tc>
              <w:tc>
                <w:tcPr/>
                <w:p>
                  <w:pPr>
                    <w:pStyle w:val="Compact"/>
                    <w:jc w:val="right"/>
                    <w:jc w:val="center"/>
                  </w:pPr>
                  <w:r>
                    <w:t xml:space="preserve">-0.229 ***</w:t>
                  </w:r>
                </w:p>
              </w:tc>
              <w:tc>
                <w:tcPr/>
                <w:p>
                  <w:pPr>
                    <w:pStyle w:val="Compact"/>
                    <w:jc w:val="left"/>
                    <w:jc w:val="center"/>
                  </w:pPr>
                  <w:r>
                    <w:t xml:space="preserve">-49.98</w:t>
                  </w:r>
                </w:p>
              </w:tc>
              <w:tc>
                <w:tcPr/>
                <w:p>
                  <w:pPr>
                    <w:pStyle w:val="Compact"/>
                    <w:jc w:val="right"/>
                    <w:jc w:val="center"/>
                  </w:pPr>
                  <w:r>
                    <w:t xml:space="preserve">-0.207 ***</w:t>
                  </w:r>
                </w:p>
              </w:tc>
              <w:tc>
                <w:tcPr/>
                <w:p>
                  <w:pPr>
                    <w:pStyle w:val="Compact"/>
                    <w:jc w:val="left"/>
                    <w:jc w:val="center"/>
                  </w:pPr>
                  <w:r>
                    <w:t xml:space="preserve">-45.74</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0.013 ***</w:t>
                  </w:r>
                </w:p>
              </w:tc>
              <w:tc>
                <w:tcPr/>
                <w:p>
                  <w:pPr>
                    <w:pStyle w:val="Compact"/>
                    <w:jc w:val="left"/>
                    <w:jc w:val="center"/>
                  </w:pPr>
                  <w:r>
                    <w:t xml:space="preserve">12.83</w:t>
                  </w:r>
                </w:p>
              </w:tc>
              <w:tc>
                <w:tcPr/>
                <w:p>
                  <w:pPr>
                    <w:pStyle w:val="Compact"/>
                    <w:jc w:val="right"/>
                    <w:jc w:val="center"/>
                  </w:pPr>
                  <w:r>
                    <w:t xml:space="preserve">0.007 ***</w:t>
                  </w:r>
                </w:p>
              </w:tc>
              <w:tc>
                <w:tcPr/>
                <w:p>
                  <w:pPr>
                    <w:pStyle w:val="Compact"/>
                    <w:jc w:val="left"/>
                    <w:jc w:val="center"/>
                  </w:pPr>
                  <w:r>
                    <w:t xml:space="preserve">6.09</w:t>
                  </w:r>
                </w:p>
              </w:tc>
            </w:tr>
            <w:tr>
              <w:tc>
                <w:tcPr/>
                <w:p>
                  <w:pPr>
                    <w:pStyle w:val="Compact"/>
                    <w:jc w:val="left"/>
                    <w:jc w:val="center"/>
                  </w:pPr>
                  <w:r>
                    <w:t xml:space="preserve">Mean KS2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0.031 ***</w:t>
                  </w:r>
                </w:p>
              </w:tc>
              <w:tc>
                <w:tcPr/>
                <w:p>
                  <w:pPr>
                    <w:pStyle w:val="Compact"/>
                    <w:jc w:val="left"/>
                    <w:jc w:val="center"/>
                  </w:pPr>
                  <w:r>
                    <w:t xml:space="preserve">58.18</w:t>
                  </w:r>
                </w:p>
              </w:tc>
              <w:tc>
                <w:tcPr/>
                <w:p>
                  <w:pPr>
                    <w:pStyle w:val="Compact"/>
                    <w:jc w:val="right"/>
                    <w:jc w:val="center"/>
                  </w:pPr>
                  <w:r>
                    <w:t xml:space="preserve">0.030 ***</w:t>
                  </w:r>
                </w:p>
              </w:tc>
              <w:tc>
                <w:tcPr/>
                <w:p>
                  <w:pPr>
                    <w:pStyle w:val="Compact"/>
                    <w:jc w:val="left"/>
                    <w:jc w:val="center"/>
                  </w:pPr>
                  <w:r>
                    <w:t xml:space="preserve">46.70</w:t>
                  </w:r>
                </w:p>
              </w:tc>
              <w:tc>
                <w:tcPr/>
                <w:p>
                  <w:pPr>
                    <w:pStyle w:val="Compact"/>
                    <w:jc w:val="right"/>
                    <w:jc w:val="center"/>
                  </w:pPr>
                  <w:r>
                    <w:t xml:space="preserve">0.032 ***</w:t>
                  </w:r>
                </w:p>
              </w:tc>
              <w:tc>
                <w:tcPr/>
                <w:p>
                  <w:pPr>
                    <w:pStyle w:val="Compact"/>
                    <w:jc w:val="left"/>
                    <w:jc w:val="center"/>
                  </w:pPr>
                  <w:r>
                    <w:t xml:space="preserve">48.46</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0.039 ***</w:t>
                  </w:r>
                </w:p>
              </w:tc>
              <w:tc>
                <w:tcPr/>
                <w:p>
                  <w:pPr>
                    <w:pStyle w:val="Compact"/>
                    <w:jc w:val="left"/>
                    <w:jc w:val="center"/>
                  </w:pPr>
                  <w:r>
                    <w:t xml:space="preserve">8.73</w:t>
                  </w:r>
                </w:p>
              </w:tc>
              <w:tc>
                <w:tcPr/>
                <w:p>
                  <w:pPr>
                    <w:pStyle w:val="Compact"/>
                    <w:jc w:val="right"/>
                    <w:jc w:val="center"/>
                  </w:pPr>
                  <w:r>
                    <w:t xml:space="preserve">0.028 ***</w:t>
                  </w:r>
                </w:p>
              </w:tc>
              <w:tc>
                <w:tcPr/>
                <w:p>
                  <w:pPr>
                    <w:pStyle w:val="Compact"/>
                    <w:jc w:val="left"/>
                    <w:jc w:val="center"/>
                  </w:pPr>
                  <w:r>
                    <w:t xml:space="preserve">4.06</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0.019 *</w:t>
                  </w:r>
                </w:p>
              </w:tc>
              <w:tc>
                <w:tcPr/>
                <w:p>
                  <w:pPr>
                    <w:pStyle w:val="Compact"/>
                    <w:jc w:val="left"/>
                    <w:jc w:val="center"/>
                  </w:pPr>
                  <w:r>
                    <w:t xml:space="preserve">2.44</w:t>
                  </w:r>
                </w:p>
              </w:tc>
              <w:tc>
                <w:tcPr/>
                <w:p>
                  <w:pPr>
                    <w:pStyle w:val="Compact"/>
                    <w:jc w:val="right"/>
                    <w:jc w:val="center"/>
                  </w:pPr>
                  <w:r>
                    <w:t xml:space="preserve">-0.004</w:t>
                  </w:r>
                </w:p>
              </w:tc>
              <w:tc>
                <w:tcPr/>
                <w:p>
                  <w:pPr>
                    <w:pStyle w:val="Compact"/>
                    <w:jc w:val="left"/>
                    <w:jc w:val="center"/>
                  </w:pPr>
                  <w:r>
                    <w:t xml:space="preserve">-0.55</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0.075 **</w:t>
                  </w:r>
                </w:p>
              </w:tc>
              <w:tc>
                <w:tcPr/>
                <w:p>
                  <w:pPr>
                    <w:pStyle w:val="Compact"/>
                    <w:jc w:val="left"/>
                    <w:jc w:val="center"/>
                  </w:pPr>
                  <w:r>
                    <w:t xml:space="preserve">2.84</w:t>
                  </w:r>
                </w:p>
              </w:tc>
              <w:tc>
                <w:tcPr/>
                <w:p>
                  <w:pPr>
                    <w:pStyle w:val="Compact"/>
                    <w:jc w:val="right"/>
                    <w:jc w:val="center"/>
                  </w:pPr>
                  <w:r>
                    <w:t xml:space="preserve">0.026</w:t>
                  </w:r>
                </w:p>
              </w:tc>
              <w:tc>
                <w:tcPr/>
                <w:p>
                  <w:pPr>
                    <w:pStyle w:val="Compact"/>
                    <w:jc w:val="left"/>
                    <w:jc w:val="center"/>
                  </w:pPr>
                  <w:r>
                    <w:t xml:space="preserve">0.58</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 ***</w:t>
                  </w:r>
                </w:p>
              </w:tc>
              <w:tc>
                <w:tcPr/>
                <w:p>
                  <w:pPr>
                    <w:pStyle w:val="Compact"/>
                    <w:jc w:val="left"/>
                    <w:jc w:val="center"/>
                  </w:pPr>
                  <w:r>
                    <w:t xml:space="preserve">11.66</w:t>
                  </w:r>
                </w:p>
              </w:tc>
              <w:tc>
                <w:tcPr/>
                <w:p>
                  <w:pPr>
                    <w:pStyle w:val="Compact"/>
                    <w:jc w:val="right"/>
                    <w:jc w:val="center"/>
                  </w:pPr>
                  <w:r>
                    <w:t xml:space="preserve">0.000 ***</w:t>
                  </w:r>
                </w:p>
              </w:tc>
              <w:tc>
                <w:tcPr/>
                <w:p>
                  <w:pPr>
                    <w:pStyle w:val="Compact"/>
                    <w:jc w:val="left"/>
                    <w:jc w:val="center"/>
                  </w:pPr>
                  <w:r>
                    <w:t xml:space="preserve">8.99</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 ***</w:t>
                  </w:r>
                </w:p>
              </w:tc>
              <w:tc>
                <w:tcPr/>
                <w:p>
                  <w:pPr>
                    <w:pStyle w:val="Compact"/>
                    <w:jc w:val="left"/>
                    <w:jc w:val="center"/>
                  </w:pPr>
                  <w:r>
                    <w:t xml:space="preserve">-5.45</w:t>
                  </w:r>
                </w:p>
              </w:tc>
              <w:tc>
                <w:tcPr/>
                <w:p>
                  <w:pPr>
                    <w:pStyle w:val="Compact"/>
                    <w:jc w:val="right"/>
                    <w:jc w:val="center"/>
                  </w:pPr>
                  <w:r>
                    <w:t xml:space="preserve">-0.001 ***</w:t>
                  </w:r>
                </w:p>
              </w:tc>
              <w:tc>
                <w:tcPr/>
                <w:p>
                  <w:pPr>
                    <w:pStyle w:val="Compact"/>
                    <w:jc w:val="left"/>
                    <w:jc w:val="center"/>
                  </w:pPr>
                  <w:r>
                    <w:t xml:space="preserve">-4.52</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-0.013 ***</w:t>
                  </w:r>
                </w:p>
              </w:tc>
              <w:tc>
                <w:tcPr/>
                <w:p>
                  <w:pPr>
                    <w:pStyle w:val="Compact"/>
                    <w:jc w:val="left"/>
                    <w:jc w:val="center"/>
                  </w:pPr>
                  <w:r>
                    <w:t xml:space="preserve">-5.20</w:t>
                  </w:r>
                </w:p>
              </w:tc>
              <w:tc>
                <w:tcPr/>
                <w:p>
                  <w:pPr>
                    <w:pStyle w:val="Compact"/>
                    <w:jc w:val="right"/>
                    <w:jc w:val="center"/>
                  </w:pPr>
                  <w:r>
                    <w:t xml:space="preserve">-0.013 ***</w:t>
                  </w:r>
                </w:p>
              </w:tc>
              <w:tc>
                <w:tcPr/>
                <w:p>
                  <w:pPr>
                    <w:pStyle w:val="Compact"/>
                    <w:jc w:val="left"/>
                    <w:jc w:val="center"/>
                  </w:pPr>
                  <w:r>
                    <w:t xml:space="preserve">-5.69</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0.026</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0.045</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0.045</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0.092</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0.696</w:t>
                  </w:r>
                </w:p>
              </w:tc>
              <w:tc>
                <w:tcPr/>
                <w:p>
                  <w:pPr>
                    <w:pStyle w:val="Compact"/>
                  </w:pPr>
                </w:p>
              </w:tc>
              <w:tc>
                <w:tcPr/>
                <w:p>
                  <w:pPr>
                    <w:pStyle w:val="Compact"/>
                    <w:jc w:val="right"/>
                    <w:jc w:val="center"/>
                  </w:pPr>
                  <w:r>
                    <w:t xml:space="preserve">0.709</w:t>
                  </w:r>
                </w:p>
              </w:tc>
              <w:tc>
                <w:tcPr/>
                <w:p>
                  <w:pPr>
                    <w:pStyle w:val="Compact"/>
                  </w:pPr>
                </w:p>
              </w:tc>
              <w:tc>
                <w:tcPr/>
                <w:p>
                  <w:pPr>
                    <w:pStyle w:val="Compact"/>
                    <w:jc w:val="right"/>
                    <w:jc w:val="center"/>
                  </w:pPr>
                  <w:r>
                    <w:t xml:space="preserve">0.651</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0.779</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18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8" w:name="fig-standardised-coefficients"/>
          <w:p>
            <w:pPr>
              <w:pStyle w:val="Compact"/>
              <w:jc w:val="center"/>
            </w:pPr>
            <w:r>
              <w:drawing>
                <wp:inline>
                  <wp:extent cx="5943600" cy="4245428"/>
                  <wp:effectExtent b="0" l="0" r="0" t="0"/>
                  <wp:docPr descr="" title="" id="186" name="Picture"/>
                  <a:graphic>
                    <a:graphicData uri="http://schemas.openxmlformats.org/drawingml/2006/picture">
                      <pic:pic>
                        <pic:nvPicPr>
                          <pic:cNvPr descr="RPE_Paper_files/figure-docx/fig-standardised-coefficients-1.png" id="187" name="Picture"/>
                          <pic:cNvPicPr>
                            <a:picLocks noChangeArrowheads="1" noChangeAspect="1"/>
                          </pic:cNvPicPr>
                        </pic:nvPicPr>
                        <pic:blipFill>
                          <a:blip r:embed="rId185"/>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1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2" w:name="fig-catchments"/>
          <w:p>
            <w:pPr>
              <w:pStyle w:val="Compact"/>
              <w:jc w:val="center"/>
            </w:pPr>
            <w:r>
              <w:drawing>
                <wp:inline>
                  <wp:extent cx="5943600" cy="5094514"/>
                  <wp:effectExtent b="0" l="0" r="0" t="0"/>
                  <wp:docPr descr="" title="" id="190" name="Picture"/>
                  <a:graphic>
                    <a:graphicData uri="http://schemas.openxmlformats.org/drawingml/2006/picture">
                      <pic:pic>
                        <pic:nvPicPr>
                          <pic:cNvPr descr="RPE_Paper_files/figure-docx/fig-catchments-1.png" id="191" name="Picture"/>
                          <pic:cNvPicPr>
                            <a:picLocks noChangeArrowheads="1" noChangeAspect="1"/>
                          </pic:cNvPicPr>
                        </pic:nvPicPr>
                        <pic:blipFill>
                          <a:blip r:embed="rId189"/>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19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6" w:name="fig-caterpillar"/>
          <w:p>
            <w:pPr>
              <w:pStyle w:val="Compact"/>
              <w:jc w:val="center"/>
            </w:pPr>
            <w:r>
              <w:drawing>
                <wp:inline>
                  <wp:extent cx="5943600" cy="5094514"/>
                  <wp:effectExtent b="0" l="0" r="0" t="0"/>
                  <wp:docPr descr="" title="" id="194" name="Picture"/>
                  <a:graphic>
                    <a:graphicData uri="http://schemas.openxmlformats.org/drawingml/2006/picture">
                      <pic:pic>
                        <pic:nvPicPr>
                          <pic:cNvPr descr="RPE_Paper_files/figure-docx/fig-caterpillar-1.png" id="195" name="Picture"/>
                          <pic:cNvPicPr>
                            <a:picLocks noChangeArrowheads="1" noChangeAspect="1"/>
                          </pic:cNvPicPr>
                        </pic:nvPicPr>
                        <pic:blipFill>
                          <a:blip r:embed="rId193"/>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19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7" w:name="tbl-la-absence"/>
          <w:p>
            <w:pPr>
              <w:jc w:val="center"/>
            </w:pPr>
            <w:pPr>
              <w:jc w:val="left"/>
              <w:spacing w:before="200"/>
              <w:pStyle w:val="ImageCaption"/>
            </w:pPr>
            <w:r>
              <w:t xml:space="preserve">Table 2: Brighton and Hove’s local-authority effect for disadvantaged-pupil attainment, with and without a control for school absence. The intake-predicted specification controls only for the part of absence that intake predicts, leaving the city’s excess absence in the residual.</w:t>
            </w:r>
          </w:p>
          <w:tbl>
            <w:tblPr>
              <w:tblStyle w:val="Table"/>
              <w:tblW w:type="pct" w:w="5000"/>
              <w:tblLayout w:type="fixed"/>
              <w:tblLook w:firstRow="1" w:lastRow="0" w:firstColumn="0" w:lastColumn="0" w:noHBand="0" w:noVBand="0" w:val="0020"/>
            </w:tblPr>
            <w:tblGrid>
              <w:gridCol w:w="3203"/>
              <w:gridCol w:w="978"/>
              <w:gridCol w:w="1423"/>
              <w:gridCol w:w="1512"/>
              <w:gridCol w:w="800"/>
            </w:tblGrid>
            <w:tr>
              <w:trPr>
                <w:tblHeader w:val="on"/>
              </w:trPr>
              <w:tc>
                <w:tcPr/>
                <w:p>
                  <w:pPr>
                    <w:pStyle w:val="Compact"/>
                    <w:jc w:val="left"/>
                    <w:jc w:val="center"/>
                  </w:pPr>
                  <w:r>
                    <w:t xml:space="preserve">Specification</w:t>
                  </w:r>
                </w:p>
              </w:tc>
              <w:tc>
                <w:tcPr/>
                <w:p>
                  <w:pPr>
                    <w:pStyle w:val="Compact"/>
                    <w:jc w:val="right"/>
                    <w:jc w:val="center"/>
                  </w:pPr>
                  <w:r>
                    <w:t xml:space="preserve">B&amp;H effect</w:t>
                  </w:r>
                </w:p>
              </w:tc>
              <w:tc>
                <w:tcPr/>
                <w:p>
                  <w:pPr>
                    <w:pStyle w:val="Compact"/>
                    <w:jc w:val="right"/>
                    <w:jc w:val="center"/>
                  </w:pPr>
                  <w:r>
                    <w:t xml:space="preserve">95% CI</w:t>
                  </w:r>
                </w:p>
              </w:tc>
              <w:tc>
                <w:tcPr/>
                <w:p>
                  <w:pPr>
                    <w:pStyle w:val="Compact"/>
                    <w:jc w:val="left"/>
                    <w:jc w:val="center"/>
                  </w:pPr>
                  <w:r>
                    <w:t xml:space="preserve">Rank</w:t>
                  </w:r>
                </w:p>
              </w:tc>
              <w:tc>
                <w:tcPr/>
                <w:p>
                  <w:pPr>
                    <w:pStyle w:val="Compact"/>
                    <w:jc w:val="right"/>
                    <w:jc w:val="center"/>
                  </w:pPr>
                  <w:r>
                    <w:t xml:space="preserve">ATT8 pts</w:t>
                  </w:r>
                </w:p>
              </w:tc>
            </w:tr>
            <w:tr>
              <w:tc>
                <w:tcPr/>
                <w:p>
                  <w:pPr>
                    <w:pStyle w:val="Compact"/>
                    <w:jc w:val="left"/>
                    <w:jc w:val="center"/>
                  </w:pPr>
                  <w:r>
                    <w:t xml:space="preserve">No absence control</w:t>
                  </w:r>
                </w:p>
              </w:tc>
              <w:tc>
                <w:tcPr/>
                <w:p>
                  <w:pPr>
                    <w:pStyle w:val="Compact"/>
                    <w:jc w:val="right"/>
                    <w:jc w:val="center"/>
                  </w:pPr>
                  <w:r>
                    <w:t xml:space="preserve">+0.006</w:t>
                  </w:r>
                </w:p>
              </w:tc>
              <w:tc>
                <w:tcPr/>
                <w:p>
                  <w:pPr>
                    <w:pStyle w:val="Compact"/>
                    <w:jc w:val="right"/>
                    <w:jc w:val="center"/>
                  </w:pPr>
                  <w:r>
                    <w:t xml:space="preserve">-0.034 to 0.046</w:t>
                  </w:r>
                </w:p>
              </w:tc>
              <w:tc>
                <w:tcPr/>
                <w:p>
                  <w:pPr>
                    <w:pStyle w:val="Compact"/>
                    <w:jc w:val="left"/>
                    <w:jc w:val="center"/>
                  </w:pPr>
                  <w:r>
                    <w:t xml:space="preserve">69 of 151 (n.s.)</w:t>
                  </w:r>
                </w:p>
              </w:tc>
              <w:tc>
                <w:tcPr/>
                <w:p>
                  <w:pPr>
                    <w:pStyle w:val="Compact"/>
                    <w:jc w:val="right"/>
                    <w:jc w:val="center"/>
                  </w:pPr>
                  <w:r>
                    <w:t xml:space="preserve">+0.2</w:t>
                  </w:r>
                </w:p>
              </w:tc>
            </w:tr>
            <w:tr>
              <w:tc>
                <w:tcPr/>
                <w:p>
                  <w:pPr>
                    <w:pStyle w:val="Compact"/>
                    <w:jc w:val="left"/>
                    <w:jc w:val="center"/>
                  </w:pPr>
                  <w:r>
                    <w:t xml:space="preserve">Absence controlled (main model)</w:t>
                  </w:r>
                </w:p>
              </w:tc>
              <w:tc>
                <w:tcPr/>
                <w:p>
                  <w:pPr>
                    <w:pStyle w:val="Compact"/>
                    <w:jc w:val="right"/>
                    <w:jc w:val="center"/>
                  </w:pPr>
                  <w:r>
                    <w:t xml:space="preserve">+0.041</w:t>
                  </w:r>
                </w:p>
              </w:tc>
              <w:tc>
                <w:tcPr/>
                <w:p>
                  <w:pPr>
                    <w:pStyle w:val="Compact"/>
                    <w:jc w:val="right"/>
                    <w:jc w:val="center"/>
                  </w:pPr>
                  <w:r>
                    <w:t xml:space="preserve">0.006 to 0.076</w:t>
                  </w:r>
                </w:p>
              </w:tc>
              <w:tc>
                <w:tcPr/>
                <w:p>
                  <w:pPr>
                    <w:pStyle w:val="Compact"/>
                    <w:jc w:val="left"/>
                    <w:jc w:val="center"/>
                  </w:pPr>
                  <w:r>
                    <w:t xml:space="preserve">15 of 151</w:t>
                  </w:r>
                </w:p>
              </w:tc>
              <w:tc>
                <w:tcPr/>
                <w:p>
                  <w:pPr>
                    <w:pStyle w:val="Compact"/>
                    <w:jc w:val="right"/>
                    <w:jc w:val="center"/>
                  </w:pPr>
                  <w:r>
                    <w:t xml:space="preserve">+1.6</w:t>
                  </w:r>
                </w:p>
              </w:tc>
            </w:tr>
            <w:tr>
              <w:tc>
                <w:tcPr/>
                <w:p>
                  <w:pPr>
                    <w:pStyle w:val="Compact"/>
                    <w:jc w:val="left"/>
                    <w:jc w:val="center"/>
                  </w:pPr>
                  <w:r>
                    <w:t xml:space="preserve">Intake-predicted absence controlled</w:t>
                  </w:r>
                </w:p>
              </w:tc>
              <w:tc>
                <w:tcPr/>
                <w:p>
                  <w:pPr>
                    <w:pStyle w:val="Compact"/>
                    <w:jc w:val="right"/>
                    <w:jc w:val="center"/>
                  </w:pPr>
                  <w:r>
                    <w:t xml:space="preserve">+0.005</w:t>
                  </w:r>
                </w:p>
              </w:tc>
              <w:tc>
                <w:tcPr/>
                <w:p>
                  <w:pPr>
                    <w:pStyle w:val="Compact"/>
                    <w:jc w:val="right"/>
                    <w:jc w:val="center"/>
                  </w:pPr>
                  <w:r>
                    <w:t xml:space="preserve">-0.035 to 0.044</w:t>
                  </w:r>
                </w:p>
              </w:tc>
              <w:tc>
                <w:tcPr/>
                <w:p>
                  <w:pPr>
                    <w:pStyle w:val="Compact"/>
                    <w:jc w:val="left"/>
                    <w:jc w:val="center"/>
                  </w:pPr>
                  <w:r>
                    <w:t xml:space="preserve">71 of 151 (n.s.)</w:t>
                  </w:r>
                </w:p>
              </w:tc>
              <w:tc>
                <w:tcPr/>
                <w:p>
                  <w:pPr>
                    <w:pStyle w:val="Compact"/>
                    <w:jc w:val="right"/>
                    <w:jc w:val="center"/>
                  </w:pPr>
                  <w:r>
                    <w:t xml:space="preserve">+0.2</w:t>
                  </w:r>
                </w:p>
              </w:tc>
            </w:tr>
          </w:tbl>
          <w:bookmarkEnd w:id="1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1" w:name="fig-accelerating-returns"/>
          <w:p>
            <w:pPr>
              <w:pStyle w:val="Compact"/>
              <w:jc w:val="center"/>
            </w:pPr>
            <w:r>
              <w:drawing>
                <wp:inline>
                  <wp:extent cx="5943600" cy="3820885"/>
                  <wp:effectExtent b="0" l="0" r="0" t="0"/>
                  <wp:docPr descr="" title="" id="199" name="Picture"/>
                  <a:graphic>
                    <a:graphicData uri="http://schemas.openxmlformats.org/drawingml/2006/picture">
                      <pic:pic>
                        <pic:nvPicPr>
                          <pic:cNvPr descr="RPE_Paper_files/figure-docx/fig-accelerating-returns-1.png" id="200" name="Picture"/>
                          <pic:cNvPicPr>
                            <a:picLocks noChangeArrowheads="1" noChangeAspect="1"/>
                          </pic:cNvPicPr>
                        </pic:nvPicPr>
                        <pic:blipFill>
                          <a:blip r:embed="rId198"/>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2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5" w:name="fig-obs-vs-pred"/>
          <w:p>
            <w:pPr>
              <w:pStyle w:val="Compact"/>
              <w:jc w:val="center"/>
            </w:pPr>
            <w:r>
              <w:drawing>
                <wp:inline>
                  <wp:extent cx="5943600" cy="7641771"/>
                  <wp:effectExtent b="0" l="0" r="0" t="0"/>
                  <wp:docPr descr="" title="" id="203" name="Picture"/>
                  <a:graphic>
                    <a:graphicData uri="http://schemas.openxmlformats.org/drawingml/2006/picture">
                      <pic:pic>
                        <pic:nvPicPr>
                          <pic:cNvPr descr="RPE_Paper_files/figure-docx/fig-obs-vs-pred-1.png" id="204" name="Picture"/>
                          <pic:cNvPicPr>
                            <a:picLocks noChangeArrowheads="1" noChangeAspect="1"/>
                          </pic:cNvPicPr>
                        </pic:nvPicPr>
                        <pic:blipFill>
                          <a:blip r:embed="rId202"/>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20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9" w:name="fig-quadrant"/>
          <w:p>
            <w:pPr>
              <w:pStyle w:val="Compact"/>
              <w:jc w:val="center"/>
            </w:pPr>
            <w:r>
              <w:drawing>
                <wp:inline>
                  <wp:extent cx="5943600" cy="4245428"/>
                  <wp:effectExtent b="0" l="0" r="0" t="0"/>
                  <wp:docPr descr="" title="" id="207" name="Picture"/>
                  <a:graphic>
                    <a:graphicData uri="http://schemas.openxmlformats.org/drawingml/2006/picture">
                      <pic:pic>
                        <pic:nvPicPr>
                          <pic:cNvPr descr="RPE_Paper_files/figure-docx/fig-quadrant-1.png" id="208" name="Picture"/>
                          <pic:cNvPicPr>
                            <a:picLocks noChangeArrowheads="1" noChangeAspect="1"/>
                          </pic:cNvPicPr>
                        </pic:nvPicPr>
                        <pic:blipFill>
                          <a:blip r:embed="rId20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bookmarkEnd w:id="2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0" w:name="tbl-league"/>
          <w:p>
            <w:pPr>
              <w:jc w:val="center"/>
            </w:pPr>
            <w:pPr>
              <w:jc w:val="left"/>
              <w:spacing w:before="200"/>
              <w:pStyle w:val="ImageCaption"/>
            </w:pPr>
            <w:r>
              <w:t xml:space="preserve">Table 3: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+3.1</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+2.7</w:t>
                  </w:r>
                </w:p>
              </w:tc>
              <w:tc>
                <w:tcPr/>
                <w:p>
                  <w:pPr>
                    <w:pStyle w:val="Compact"/>
                    <w:jc w:val="right"/>
                    <w:jc w:val="center"/>
                  </w:pPr>
                  <w:r>
                    <w:t xml:space="preserve">+2.6</w:t>
                  </w:r>
                </w:p>
              </w:tc>
              <w:tc>
                <w:tcPr/>
                <w:p>
                  <w:pPr>
                    <w:pStyle w:val="Compact"/>
                    <w:jc w:val="right"/>
                    <w:jc w:val="center"/>
                  </w:pPr>
                  <w:r>
                    <w:t xml:space="preserve">+5.3</w:t>
                  </w:r>
                </w:p>
              </w:tc>
              <w:tc>
                <w:tcPr/>
                <w:p>
                  <w:pPr>
                    <w:pStyle w:val="Compact"/>
                    <w:jc w:val="right"/>
                    <w:jc w:val="center"/>
                  </w:pPr>
                  <w:r>
                    <w:t xml:space="preserve">+0.5</w:t>
                  </w:r>
                </w:p>
              </w:tc>
              <w:tc>
                <w:tcPr/>
                <w:p>
                  <w:pPr>
                    <w:pStyle w:val="Compact"/>
                    <w:jc w:val="right"/>
                    <w:jc w:val="center"/>
                  </w:pPr>
                  <w:r>
                    <w:t xml:space="preserve">+2.8</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+3.5</w:t>
                  </w:r>
                </w:p>
              </w:tc>
              <w:tc>
                <w:tcPr/>
                <w:p>
                  <w:pPr>
                    <w:pStyle w:val="Compact"/>
                    <w:jc w:val="right"/>
                    <w:jc w:val="center"/>
                  </w:pPr>
                  <w:r>
                    <w:t xml:space="preserve">+0.9</w:t>
                  </w:r>
                </w:p>
              </w:tc>
              <w:tc>
                <w:tcPr/>
                <w:p>
                  <w:pPr>
                    <w:pStyle w:val="Compact"/>
                    <w:jc w:val="right"/>
                    <w:jc w:val="center"/>
                  </w:pPr>
                  <w:r>
                    <w:t xml:space="preserve">+5.0</w:t>
                  </w:r>
                </w:p>
              </w:tc>
              <w:tc>
                <w:tcPr/>
                <w:p>
                  <w:pPr>
                    <w:pStyle w:val="Compact"/>
                    <w:jc w:val="right"/>
                    <w:jc w:val="center"/>
                  </w:pPr>
                  <w:r>
                    <w:t xml:space="preserve">-0.5</w:t>
                  </w:r>
                </w:p>
              </w:tc>
              <w:tc>
                <w:tcPr/>
                <w:p>
                  <w:pPr>
                    <w:pStyle w:val="Compact"/>
                    <w:jc w:val="right"/>
                    <w:jc w:val="center"/>
                  </w:pPr>
                  <w:r>
                    <w:t xml:space="preserve">+2.2</w:t>
                  </w:r>
                </w:p>
              </w:tc>
            </w:tr>
            <w:tr>
              <w:tc>
                <w:tcPr/>
                <w:p>
                  <w:pPr>
                    <w:pStyle w:val="Compact"/>
                    <w:jc w:val="right"/>
                    <w:jc w:val="center"/>
                  </w:pPr>
                  <w:r>
                    <w:t xml:space="preserve">4</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+0.8</w:t>
                  </w:r>
                </w:p>
              </w:tc>
              <w:tc>
                <w:tcPr/>
                <w:p>
                  <w:pPr>
                    <w:pStyle w:val="Compact"/>
                    <w:jc w:val="right"/>
                    <w:jc w:val="center"/>
                  </w:pPr>
                  <w:r>
                    <w:t xml:space="preserve">+1.4</w:t>
                  </w:r>
                </w:p>
              </w:tc>
            </w:tr>
            <w:tr>
              <w:tc>
                <w:tcPr/>
                <w:p>
                  <w:pPr>
                    <w:pStyle w:val="Compact"/>
                    <w:jc w:val="right"/>
                    <w:jc w:val="center"/>
                  </w:pPr>
                  <w:r>
                    <w:t xml:space="preserve">5</w:t>
                  </w:r>
                </w:p>
              </w:tc>
              <w:tc>
                <w:tcPr/>
                <w:p>
                  <w:pPr>
                    <w:pStyle w:val="Compact"/>
                    <w:jc w:val="left"/>
                    <w:jc w:val="center"/>
                  </w:pPr>
                  <w:r>
                    <w:t xml:space="preserve">Portslade Aldridge Community Academy</w:t>
                  </w:r>
                </w:p>
              </w:tc>
              <w:tc>
                <w:tcPr/>
                <w:p>
                  <w:pPr>
                    <w:pStyle w:val="Compact"/>
                    <w:jc w:val="right"/>
                    <w:jc w:val="center"/>
                  </w:pPr>
                  <w:r>
                    <w:t xml:space="preserve">+3.8</w:t>
                  </w:r>
                </w:p>
              </w:tc>
              <w:tc>
                <w:tcPr/>
                <w:p>
                  <w:pPr>
                    <w:pStyle w:val="Compact"/>
                    <w:jc w:val="right"/>
                    <w:jc w:val="center"/>
                  </w:pPr>
                  <w:r>
                    <w:t xml:space="preserve">+0.6</w:t>
                  </w:r>
                </w:p>
              </w:tc>
              <w:tc>
                <w:tcPr/>
                <w:p>
                  <w:pPr>
                    <w:pStyle w:val="Compact"/>
                    <w:jc w:val="right"/>
                    <w:jc w:val="center"/>
                  </w:pPr>
                  <w:r>
                    <w:t xml:space="preserve">+2.3</w:t>
                  </w:r>
                </w:p>
              </w:tc>
              <w:tc>
                <w:tcPr/>
                <w:p>
                  <w:pPr>
                    <w:pStyle w:val="Compact"/>
                    <w:jc w:val="right"/>
                    <w:jc w:val="center"/>
                  </w:pPr>
                  <w:r>
                    <w:t xml:space="preserve">-1.3</w:t>
                  </w:r>
                </w:p>
              </w:tc>
              <w:tc>
                <w:tcPr/>
                <w:p>
                  <w:pPr>
                    <w:pStyle w:val="Compact"/>
                    <w:jc w:val="right"/>
                    <w:jc w:val="center"/>
                  </w:pPr>
                  <w:r>
                    <w:t xml:space="preserve">+1.4</w:t>
                  </w:r>
                </w:p>
              </w:tc>
            </w:tr>
            <w:tr>
              <w:tc>
                <w:tcPr/>
                <w:p>
                  <w:pPr>
                    <w:pStyle w:val="Compact"/>
                    <w:jc w:val="right"/>
                    <w:jc w:val="center"/>
                  </w:pPr>
                  <w:r>
                    <w:t xml:space="preserve">6</w:t>
                  </w:r>
                </w:p>
              </w:tc>
              <w:tc>
                <w:tcPr/>
                <w:p>
                  <w:pPr>
                    <w:pStyle w:val="Compact"/>
                    <w:jc w:val="left"/>
                    <w:jc w:val="center"/>
                  </w:pPr>
                  <w:r>
                    <w:t xml:space="preserve">Hove Park School and Sixth Form Centre</w:t>
                  </w:r>
                </w:p>
              </w:tc>
              <w:tc>
                <w:tcPr/>
                <w:p>
                  <w:pPr>
                    <w:pStyle w:val="Compact"/>
                    <w:jc w:val="right"/>
                    <w:jc w:val="center"/>
                  </w:pPr>
                  <w:r>
                    <w:t xml:space="preserve">+1.5</w:t>
                  </w:r>
                </w:p>
              </w:tc>
              <w:tc>
                <w:tcPr/>
                <w:p>
                  <w:pPr>
                    <w:pStyle w:val="Compact"/>
                    <w:jc w:val="right"/>
                    <w:jc w:val="center"/>
                  </w:pPr>
                  <w:r>
                    <w:t xml:space="preserve">+0.9</w:t>
                  </w:r>
                </w:p>
              </w:tc>
              <w:tc>
                <w:tcPr/>
                <w:p>
                  <w:pPr>
                    <w:pStyle w:val="Compact"/>
                    <w:jc w:val="right"/>
                    <w:jc w:val="center"/>
                  </w:pPr>
                  <w:r>
                    <w:t xml:space="preserve">+1.4</w:t>
                  </w:r>
                </w:p>
              </w:tc>
              <w:tc>
                <w:tcPr/>
                <w:p>
                  <w:pPr>
                    <w:pStyle w:val="Compact"/>
                    <w:jc w:val="right"/>
                    <w:jc w:val="center"/>
                  </w:pPr>
                  <w:r>
                    <w:t xml:space="preserve">+0.4</w:t>
                  </w:r>
                </w:p>
              </w:tc>
              <w:tc>
                <w:tcPr/>
                <w:p>
                  <w:pPr>
                    <w:pStyle w:val="Compact"/>
                    <w:jc w:val="right"/>
                    <w:jc w:val="center"/>
                  </w:pPr>
                  <w:r>
                    <w:t xml:space="preserve">+1.0</w:t>
                  </w:r>
                </w:p>
              </w:tc>
            </w:tr>
            <w:tr>
              <w:tc>
                <w:tcPr/>
                <w:p>
                  <w:pPr>
                    <w:pStyle w:val="Compact"/>
                    <w:jc w:val="right"/>
                    <w:jc w:val="center"/>
                  </w:pPr>
                  <w:r>
                    <w:t xml:space="preserve">7</w:t>
                  </w:r>
                </w:p>
              </w:tc>
              <w:tc>
                <w:tcPr/>
                <w:p>
                  <w:pPr>
                    <w:pStyle w:val="Compact"/>
                    <w:jc w:val="left"/>
                    <w:jc w:val="center"/>
                  </w:pPr>
                  <w:r>
                    <w:t xml:space="preserve">Blatchington Mill School</w:t>
                  </w:r>
                </w:p>
              </w:tc>
              <w:tc>
                <w:tcPr/>
                <w:p>
                  <w:pPr>
                    <w:pStyle w:val="Compact"/>
                    <w:jc w:val="right"/>
                    <w:jc w:val="center"/>
                  </w:pPr>
                  <w:r>
                    <w:t xml:space="preserve">-1.5</w:t>
                  </w:r>
                </w:p>
              </w:tc>
              <w:tc>
                <w:tcPr/>
                <w:p>
                  <w:pPr>
                    <w:pStyle w:val="Compact"/>
                    <w:jc w:val="right"/>
                    <w:jc w:val="center"/>
                  </w:pPr>
                  <w:r>
                    <w:t xml:space="preserve">-1.0</w:t>
                  </w:r>
                </w:p>
              </w:tc>
              <w:tc>
                <w:tcPr/>
                <w:p>
                  <w:pPr>
                    <w:pStyle w:val="Compact"/>
                    <w:jc w:val="right"/>
                    <w:jc w:val="center"/>
                  </w:pPr>
                  <w:r>
                    <w:t xml:space="preserve">+2.0</w:t>
                  </w:r>
                </w:p>
              </w:tc>
              <w:tc>
                <w:tcPr/>
                <w:p>
                  <w:pPr>
                    <w:pStyle w:val="Compact"/>
                    <w:jc w:val="right"/>
                    <w:jc w:val="center"/>
                  </w:pPr>
                  <w:r>
                    <w:t xml:space="preserve">+2.4</w:t>
                  </w:r>
                </w:p>
              </w:tc>
              <w:tc>
                <w:tcPr/>
                <w:p>
                  <w:pPr>
                    <w:pStyle w:val="Compact"/>
                    <w:jc w:val="right"/>
                    <w:jc w:val="center"/>
                  </w:pPr>
                  <w:r>
                    <w:t xml:space="preserve">+0.5</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+1.3</w:t>
                  </w:r>
                </w:p>
              </w:tc>
              <w:tc>
                <w:tcPr/>
                <w:p>
                  <w:pPr>
                    <w:pStyle w:val="Compact"/>
                    <w:jc w:val="right"/>
                    <w:jc w:val="center"/>
                  </w:pPr>
                  <w:r>
                    <w:t xml:space="preserve">-2.2</w:t>
                  </w:r>
                </w:p>
              </w:tc>
              <w:tc>
                <w:tcPr/>
                <w:p>
                  <w:pPr>
                    <w:pStyle w:val="Compact"/>
                    <w:jc w:val="right"/>
                    <w:jc w:val="center"/>
                  </w:pPr>
                  <w:r>
                    <w:t xml:space="preserve">+1.3</w:t>
                  </w:r>
                </w:p>
              </w:tc>
              <w:tc>
                <w:tcPr/>
                <w:p>
                  <w:pPr>
                    <w:pStyle w:val="Compact"/>
                    <w:jc w:val="right"/>
                    <w:jc w:val="center"/>
                  </w:pPr>
                  <w:r>
                    <w:t xml:space="preserve">-1.5</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-0.2</w:t>
                  </w:r>
                </w:p>
              </w:tc>
              <w:tc>
                <w:tcPr/>
                <w:p>
                  <w:pPr>
                    <w:pStyle w:val="Compact"/>
                    <w:jc w:val="right"/>
                    <w:jc w:val="center"/>
                  </w:pPr>
                  <w:r>
                    <w:t xml:space="preserve">-2.3</w:t>
                  </w:r>
                </w:p>
              </w:tc>
              <w:tc>
                <w:tcPr/>
                <w:p>
                  <w:pPr>
                    <w:pStyle w:val="Compact"/>
                    <w:jc w:val="right"/>
                    <w:jc w:val="center"/>
                  </w:pPr>
                  <w:r>
                    <w:t xml:space="preserve">-1.1</w:t>
                  </w:r>
                </w:p>
              </w:tc>
              <w:tc>
                <w:tcPr/>
                <w:p>
                  <w:pPr>
                    <w:pStyle w:val="Compact"/>
                    <w:jc w:val="right"/>
                    <w:jc w:val="center"/>
                  </w:pPr>
                  <w:r>
                    <w:t xml:space="preserve">-2.5</w:t>
                  </w:r>
                </w:p>
              </w:tc>
              <w:tc>
                <w:tcPr/>
                <w:p>
                  <w:pPr>
                    <w:pStyle w:val="Compact"/>
                    <w:jc w:val="right"/>
                    <w:jc w:val="center"/>
                  </w:pPr>
                  <w:r>
                    <w:t xml:space="preserve">-1.5</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-2.7</w:t>
                  </w:r>
                </w:p>
              </w:tc>
              <w:tc>
                <w:tcPr/>
                <w:p>
                  <w:pPr>
                    <w:pStyle w:val="Compact"/>
                    <w:jc w:val="right"/>
                    <w:jc w:val="center"/>
                  </w:pPr>
                  <w:r>
                    <w:t xml:space="preserve">-2.8</w:t>
                  </w:r>
                </w:p>
              </w:tc>
              <w:tc>
                <w:tcPr/>
                <w:p>
                  <w:pPr>
                    <w:pStyle w:val="Compact"/>
                    <w:jc w:val="right"/>
                    <w:jc w:val="center"/>
                  </w:pPr>
                  <w:r>
                    <w:t xml:space="preserve">-4.4</w:t>
                  </w:r>
                </w:p>
              </w:tc>
              <w:tc>
                <w:tcPr/>
                <w:p>
                  <w:pPr>
                    <w:pStyle w:val="Compact"/>
                    <w:jc w:val="right"/>
                    <w:jc w:val="center"/>
                  </w:pPr>
                  <w:r>
                    <w:t xml:space="preserve">-2.9</w:t>
                  </w:r>
                </w:p>
              </w:tc>
              <w:tc>
                <w:tcPr/>
                <w:p>
                  <w:pPr>
                    <w:pStyle w:val="Compact"/>
                    <w:jc w:val="right"/>
                    <w:jc w:val="center"/>
                  </w:pPr>
                  <w:r>
                    <w:t xml:space="preserve">-3.2</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+3.1</w:t>
                  </w:r>
                </w:p>
              </w:tc>
              <w:tc>
                <w:tcPr/>
                <w:p>
                  <w:pPr>
                    <w:pStyle w:val="Compact"/>
                    <w:jc w:val="right"/>
                    <w:jc w:val="center"/>
                  </w:pPr>
                  <w:r>
                    <w:t xml:space="preserve">-1.3</w:t>
                  </w:r>
                </w:p>
              </w:tc>
              <w:tc>
                <w:tcPr/>
                <w:p>
                  <w:pPr>
                    <w:pStyle w:val="Compact"/>
                    <w:jc w:val="right"/>
                    <w:jc w:val="center"/>
                  </w:pPr>
                  <w:r>
                    <w:t xml:space="preserve">+4.6</w:t>
                  </w:r>
                </w:p>
              </w:tc>
              <w:tc>
                <w:tcPr/>
                <w:p>
                  <w:pPr>
                    <w:pStyle w:val="Compact"/>
                    <w:jc w:val="right"/>
                    <w:jc w:val="center"/>
                  </w:pPr>
                  <w:r>
                    <w:t xml:space="preserve">+5.7</w:t>
                  </w:r>
                </w:p>
              </w:tc>
              <w:tc>
                <w:tcPr/>
                <w:p>
                  <w:pPr>
                    <w:pStyle w:val="Compact"/>
                    <w:jc w:val="right"/>
                    <w:jc w:val="center"/>
                  </w:pPr>
                  <w:r>
                    <w:t xml:space="preserve">+3.1</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+2.2</w:t>
                  </w:r>
                </w:p>
              </w:tc>
              <w:tc>
                <w:tcPr/>
                <w:p>
                  <w:pPr>
                    <w:pStyle w:val="Compact"/>
                    <w:jc w:val="right"/>
                    <w:jc w:val="center"/>
                  </w:pPr>
                  <w:r>
                    <w:t xml:space="preserve">+3.2</w:t>
                  </w:r>
                </w:p>
              </w:tc>
              <w:tc>
                <w:tcPr/>
                <w:p>
                  <w:pPr>
                    <w:pStyle w:val="Compact"/>
                    <w:jc w:val="right"/>
                    <w:jc w:val="center"/>
                  </w:pPr>
                  <w:r>
                    <w:t xml:space="preserve">+3.9</w:t>
                  </w:r>
                </w:p>
              </w:tc>
              <w:tc>
                <w:tcPr/>
                <w:p>
                  <w:pPr>
                    <w:pStyle w:val="Compact"/>
                    <w:jc w:val="right"/>
                    <w:jc w:val="center"/>
                  </w:pPr>
                  <w:r>
                    <w:t xml:space="preserve">-2.4</w:t>
                  </w:r>
                </w:p>
              </w:tc>
              <w:tc>
                <w:tcPr/>
                <w:p>
                  <w:pPr>
                    <w:pStyle w:val="Compact"/>
                    <w:jc w:val="right"/>
                    <w:jc w:val="center"/>
                  </w:pPr>
                  <w:r>
                    <w:t xml:space="preserve">+1.7</w:t>
                  </w:r>
                </w:p>
              </w:tc>
            </w:tr>
            <w:tr>
              <w:tc>
                <w:tcPr/>
                <w:p>
                  <w:pPr>
                    <w:pStyle w:val="Compact"/>
                    <w:jc w:val="right"/>
                    <w:jc w:val="center"/>
                  </w:pPr>
                  <w:r>
                    <w:t xml:space="preserve">3</w:t>
                  </w:r>
                </w:p>
              </w:tc>
              <w:tc>
                <w:tcPr/>
                <w:p>
                  <w:pPr>
                    <w:pStyle w:val="Compact"/>
                    <w:jc w:val="left"/>
                    <w:jc w:val="center"/>
                  </w:pPr>
                  <w:r>
                    <w:t xml:space="preserve">Cardinal Newman Catholic School</w:t>
                  </w:r>
                </w:p>
              </w:tc>
              <w:tc>
                <w:tcPr/>
                <w:p>
                  <w:pPr>
                    <w:pStyle w:val="Compact"/>
                    <w:jc w:val="right"/>
                    <w:jc w:val="center"/>
                  </w:pPr>
                  <w:r>
                    <w:t xml:space="preserve">+2.9</w:t>
                  </w:r>
                </w:p>
              </w:tc>
              <w:tc>
                <w:tcPr/>
                <w:p>
                  <w:pPr>
                    <w:pStyle w:val="Compact"/>
                    <w:jc w:val="right"/>
                    <w:jc w:val="center"/>
                  </w:pPr>
                  <w:r>
                    <w:t xml:space="preserve">-5.4</w:t>
                  </w:r>
                </w:p>
              </w:tc>
              <w:tc>
                <w:tcPr/>
                <w:p>
                  <w:pPr>
                    <w:pStyle w:val="Compact"/>
                    <w:jc w:val="right"/>
                    <w:jc w:val="center"/>
                  </w:pPr>
                  <w:r>
                    <w:t xml:space="preserve">+6.5</w:t>
                  </w:r>
                </w:p>
              </w:tc>
              <w:tc>
                <w:tcPr/>
                <w:p>
                  <w:pPr>
                    <w:pStyle w:val="Compact"/>
                    <w:jc w:val="right"/>
                    <w:jc w:val="center"/>
                  </w:pPr>
                  <w:r>
                    <w:t xml:space="preserve">+2.3</w:t>
                  </w:r>
                </w:p>
              </w:tc>
              <w:tc>
                <w:tcPr/>
                <w:p>
                  <w:pPr>
                    <w:pStyle w:val="Compact"/>
                    <w:jc w:val="right"/>
                    <w:jc w:val="center"/>
                  </w:pPr>
                  <w:r>
                    <w:t xml:space="preserve">+1.6</w:t>
                  </w:r>
                </w:p>
              </w:tc>
            </w:tr>
            <w:tr>
              <w:tc>
                <w:tcPr/>
                <w:p>
                  <w:pPr>
                    <w:pStyle w:val="Compact"/>
                    <w:jc w:val="right"/>
                    <w:jc w:val="center"/>
                  </w:pPr>
                  <w:r>
                    <w:t xml:space="preserve">4</w:t>
                  </w:r>
                </w:p>
              </w:tc>
              <w:tc>
                <w:tcPr/>
                <w:p>
                  <w:pPr>
                    <w:pStyle w:val="Compact"/>
                    <w:jc w:val="left"/>
                    <w:jc w:val="center"/>
                  </w:pPr>
                  <w:r>
                    <w:t xml:space="preserve">Dorothy Stringer School</w:t>
                  </w:r>
                </w:p>
              </w:tc>
              <w:tc>
                <w:tcPr/>
                <w:p>
                  <w:pPr>
                    <w:pStyle w:val="Compact"/>
                    <w:jc w:val="right"/>
                    <w:jc w:val="center"/>
                  </w:pPr>
                  <w:r>
                    <w:t xml:space="preserve">+2.2</w:t>
                  </w:r>
                </w:p>
              </w:tc>
              <w:tc>
                <w:tcPr/>
                <w:p>
                  <w:pPr>
                    <w:pStyle w:val="Compact"/>
                    <w:jc w:val="right"/>
                    <w:jc w:val="center"/>
                  </w:pPr>
                  <w:r>
                    <w:t xml:space="preserve">+2.6</w:t>
                  </w:r>
                </w:p>
              </w:tc>
              <w:tc>
                <w:tcPr/>
                <w:p>
                  <w:pPr>
                    <w:pStyle w:val="Compact"/>
                    <w:jc w:val="right"/>
                    <w:jc w:val="center"/>
                  </w:pPr>
                  <w:r>
                    <w:t xml:space="preserve">-0.2</w:t>
                  </w:r>
                </w:p>
              </w:tc>
              <w:tc>
                <w:tcPr/>
                <w:p>
                  <w:pPr>
                    <w:pStyle w:val="Compact"/>
                    <w:jc w:val="right"/>
                    <w:jc w:val="center"/>
                  </w:pPr>
                  <w:r>
                    <w:t xml:space="preserve">+1.4</w:t>
                  </w:r>
                </w:p>
              </w:tc>
              <w:tc>
                <w:tcPr/>
                <w:p>
                  <w:pPr>
                    <w:pStyle w:val="Compact"/>
                    <w:jc w:val="right"/>
                    <w:jc w:val="center"/>
                  </w:pPr>
                  <w:r>
                    <w:t xml:space="preserve">+1.5</w:t>
                  </w:r>
                </w:p>
              </w:tc>
            </w:tr>
            <w:tr>
              <w:tc>
                <w:tcPr/>
                <w:p>
                  <w:pPr>
                    <w:pStyle w:val="Compact"/>
                    <w:jc w:val="right"/>
                    <w:jc w:val="center"/>
                  </w:pPr>
                  <w:r>
                    <w:t xml:space="preserve">5</w:t>
                  </w:r>
                </w:p>
              </w:tc>
              <w:tc>
                <w:tcPr/>
                <w:p>
                  <w:pPr>
                    <w:pStyle w:val="Compact"/>
                    <w:jc w:val="left"/>
                    <w:jc w:val="center"/>
                  </w:pPr>
                  <w:r>
                    <w:t xml:space="preserve">Blatchington Mill School</w:t>
                  </w:r>
                </w:p>
              </w:tc>
              <w:tc>
                <w:tcPr/>
                <w:p>
                  <w:pPr>
                    <w:pStyle w:val="Compact"/>
                    <w:jc w:val="right"/>
                    <w:jc w:val="center"/>
                  </w:pPr>
                  <w:r>
                    <w:t xml:space="preserve">-5.0</w:t>
                  </w:r>
                </w:p>
              </w:tc>
              <w:tc>
                <w:tcPr/>
                <w:p>
                  <w:pPr>
                    <w:pStyle w:val="Compact"/>
                    <w:jc w:val="right"/>
                    <w:jc w:val="center"/>
                  </w:pPr>
                  <w:r>
                    <w:t xml:space="preserve">+1.1</w:t>
                  </w:r>
                </w:p>
              </w:tc>
              <w:tc>
                <w:tcPr/>
                <w:p>
                  <w:pPr>
                    <w:pStyle w:val="Compact"/>
                    <w:jc w:val="right"/>
                    <w:jc w:val="center"/>
                  </w:pPr>
                  <w:r>
                    <w:t xml:space="preserve">+4.7</w:t>
                  </w:r>
                </w:p>
              </w:tc>
              <w:tc>
                <w:tcPr/>
                <w:p>
                  <w:pPr>
                    <w:pStyle w:val="Compact"/>
                    <w:jc w:val="right"/>
                    <w:jc w:val="center"/>
                  </w:pPr>
                  <w:r>
                    <w:t xml:space="preserve">+2.9</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+1.4</w:t>
                  </w:r>
                </w:p>
              </w:tc>
              <w:tc>
                <w:tcPr/>
                <w:p>
                  <w:pPr>
                    <w:pStyle w:val="Compact"/>
                    <w:jc w:val="right"/>
                    <w:jc w:val="center"/>
                  </w:pPr>
                  <w:r>
                    <w:t xml:space="preserve">+3.8</w:t>
                  </w:r>
                </w:p>
              </w:tc>
              <w:tc>
                <w:tcPr/>
                <w:p>
                  <w:pPr>
                    <w:pStyle w:val="Compact"/>
                    <w:jc w:val="right"/>
                    <w:jc w:val="center"/>
                  </w:pPr>
                  <w:r>
                    <w:t xml:space="preserve">-6.2</w:t>
                  </w:r>
                </w:p>
              </w:tc>
              <w:tc>
                <w:tcPr/>
                <w:p>
                  <w:pPr>
                    <w:pStyle w:val="Compact"/>
                    <w:jc w:val="right"/>
                    <w:jc w:val="center"/>
                  </w:pPr>
                  <w:r>
                    <w:t xml:space="preserve">+0.9</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+3.0</w:t>
                  </w:r>
                </w:p>
              </w:tc>
              <w:tc>
                <w:tcPr/>
                <w:p>
                  <w:pPr>
                    <w:pStyle w:val="Compact"/>
                    <w:jc w:val="right"/>
                    <w:jc w:val="center"/>
                  </w:pPr>
                  <w:r>
                    <w:t xml:space="preserve">-2.5</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+3.2</w:t>
                  </w:r>
                </w:p>
              </w:tc>
              <w:tc>
                <w:tcPr/>
                <w:p>
                  <w:pPr>
                    <w:pStyle w:val="Compact"/>
                    <w:jc w:val="right"/>
                    <w:jc w:val="center"/>
                  </w:pPr>
                  <w:r>
                    <w:t xml:space="preserve">-3.4</w:t>
                  </w:r>
                </w:p>
              </w:tc>
              <w:tc>
                <w:tcPr/>
                <w:p>
                  <w:pPr>
                    <w:pStyle w:val="Compact"/>
                    <w:jc w:val="right"/>
                    <w:jc w:val="center"/>
                  </w:pPr>
                  <w:r>
                    <w:t xml:space="preserve">+4.1</w:t>
                  </w:r>
                </w:p>
              </w:tc>
              <w:tc>
                <w:tcPr/>
                <w:p>
                  <w:pPr>
                    <w:pStyle w:val="Compact"/>
                    <w:jc w:val="right"/>
                    <w:jc w:val="center"/>
                  </w:pPr>
                  <w:r>
                    <w:t xml:space="preserve">-1.9</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+4.1</w:t>
                  </w:r>
                </w:p>
              </w:tc>
              <w:tc>
                <w:tcPr/>
                <w:p>
                  <w:pPr>
                    <w:pStyle w:val="Compact"/>
                    <w:jc w:val="right"/>
                    <w:jc w:val="center"/>
                  </w:pPr>
                  <w:r>
                    <w:t xml:space="preserve">+1.5</w:t>
                  </w:r>
                </w:p>
              </w:tc>
              <w:tc>
                <w:tcPr/>
                <w:p>
                  <w:pPr>
                    <w:pStyle w:val="Compact"/>
                    <w:jc w:val="right"/>
                    <w:jc w:val="center"/>
                  </w:pPr>
                  <w:r>
                    <w:t xml:space="preserve">-11.6</w:t>
                  </w:r>
                </w:p>
              </w:tc>
              <w:tc>
                <w:tcPr/>
                <w:p>
                  <w:pPr>
                    <w:pStyle w:val="Compact"/>
                    <w:jc w:val="right"/>
                    <w:jc w:val="center"/>
                  </w:pPr>
                  <w:r>
                    <w:t xml:space="preserve">-3.5</w:t>
                  </w:r>
                </w:p>
              </w:tc>
              <w:tc>
                <w:tcPr/>
                <w:p>
                  <w:pPr>
                    <w:pStyle w:val="Compact"/>
                    <w:jc w:val="right"/>
                    <w:jc w:val="center"/>
                  </w:pPr>
                  <w:r>
                    <w:t xml:space="preserve">-2.4</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-5.1</w:t>
                  </w:r>
                </w:p>
              </w:tc>
              <w:tc>
                <w:tcPr/>
                <w:p>
                  <w:pPr>
                    <w:pStyle w:val="Compact"/>
                    <w:jc w:val="right"/>
                    <w:jc w:val="center"/>
                  </w:pPr>
                  <w:r>
                    <w:t xml:space="preserve">-6.4</w:t>
                  </w:r>
                </w:p>
              </w:tc>
              <w:tc>
                <w:tcPr/>
                <w:p>
                  <w:pPr>
                    <w:pStyle w:val="Compact"/>
                    <w:jc w:val="right"/>
                    <w:jc w:val="center"/>
                  </w:pPr>
                  <w:r>
                    <w:t xml:space="preserve">+1.4</w:t>
                  </w:r>
                </w:p>
              </w:tc>
              <w:tc>
                <w:tcPr/>
                <w:p>
                  <w:pPr>
                    <w:pStyle w:val="Compact"/>
                    <w:jc w:val="right"/>
                    <w:jc w:val="center"/>
                  </w:pPr>
                  <w:r>
                    <w:t xml:space="preserve">-0.9</w:t>
                  </w:r>
                </w:p>
              </w:tc>
              <w:tc>
                <w:tcPr/>
                <w:p>
                  <w:pPr>
                    <w:pStyle w:val="Compact"/>
                    <w:jc w:val="right"/>
                    <w:jc w:val="center"/>
                  </w:pPr>
                  <w:r>
                    <w:t xml:space="preserve">-2.7</w:t>
                  </w:r>
                </w:p>
              </w:tc>
            </w:tr>
          </w:tbl>
          <w:bookmarkEnd w:id="210"/>
          <w:p/>
        </w:tc>
      </w:tr>
    </w:tbl>
    <w:bookmarkEnd w:id="211"/>
    <w:sectPr w:rsidR="007C468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https://osf.io/x82j3/overview</w:t>
        </w:r>
      </w:hyperlink>
      <w:r>
        <w:t xml:space="preserve"> </w:t>
      </w:r>
      <w:r>
        <w:t xml:space="preserve">(see `about.html` in `supplementary.zip`)</w:t>
      </w:r>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21">
        <w:r>
          <w:rPr>
            <w:rStyle w:val="Hyperlink"/>
          </w:rPr>
          <w:t xml:space="preserve">https://osf.io/x82j3/overview (see `index.html` in `supplementary.zip`)</w:t>
        </w:r>
      </w:hyperlink>
      <w:r>
        <w:t xml:space="preserve"> </w:t>
      </w:r>
      <w:r>
        <w:t xml:space="preserve">- with links through to the source code on Github.</w:t>
      </w:r>
    </w:p>
  </w:footnote>
  <w:footnote w:id="30">
    <w:p>
      <w:pPr>
        <w:pStyle w:val="FootnoteText"/>
      </w:pPr>
      <w:r>
        <w:rPr>
          <w:rStyle w:val="FootnoteReference"/>
        </w:rPr>
        <w:footnoteRef/>
      </w:r>
      <w:r>
        <w:t xml:space="preserve"> </w:t>
      </w:r>
      <w:r>
        <w:t xml:space="preserve">missing data and imputation:</w:t>
      </w:r>
      <w:r>
        <w:t xml:space="preserve"> </w:t>
      </w:r>
      <w:hyperlink r:id="rId21">
        <w:r>
          <w:rPr>
            <w:rStyle w:val="Hyperlink"/>
          </w:rPr>
          <w:t xml:space="preserve">https://osf.io/x82j3/overview (see `data_overview.html#missing-data` in `supplementary.zip`)</w:t>
        </w:r>
      </w:hyperlink>
    </w:p>
  </w:footnote>
  <w:footnote w:id="32">
    <w:p>
      <w:pPr>
        <w:pStyle w:val="FootnoteText"/>
      </w:pPr>
      <w:r>
        <w:rPr>
          <w:rStyle w:val="FootnoteReference"/>
        </w:rPr>
        <w:footnoteRef/>
      </w:r>
      <w:r>
        <w:t xml:space="preserve"> </w:t>
      </w:r>
      <w:r>
        <w:t xml:space="preserve">See data overview for details</w:t>
      </w:r>
      <w:r>
        <w:t xml:space="preserve"> </w:t>
      </w:r>
      <w:hyperlink r:id="rId21">
        <w:r>
          <w:rPr>
            <w:rStyle w:val="Hyperlink"/>
          </w:rPr>
          <w:t xml:space="preserve">https://osf.io/x82j3/overview (see `data_overview.html` in `supplementary.zip`)</w:t>
        </w:r>
      </w:hyperlink>
    </w:p>
  </w:footnote>
  <w:footnote w:id="33">
    <w:p>
      <w:pPr>
        <w:pStyle w:val="FootnoteText"/>
      </w:pPr>
      <w:r>
        <w:rPr>
          <w:rStyle w:val="FootnoteReference"/>
        </w:rPr>
        <w:footnoteRef/>
      </w:r>
      <w:r>
        <w:t xml:space="preserve"> </w:t>
      </w:r>
      <w:r>
        <w:t xml:space="preserve">Department for Education,</w:t>
      </w:r>
      <w:r>
        <w:t xml:space="preserve"> </w:t>
      </w:r>
      <w:r>
        <w:rPr>
          <w:i/>
          <w:iCs/>
        </w:rPr>
        <w:t xml:space="preserve">Key stage 4 performance</w:t>
      </w:r>
      <w:r>
        <w:t xml:space="preserve">:</w:t>
      </w:r>
      <w:r>
        <w:t xml:space="preserve"> </w:t>
      </w:r>
      <w:r>
        <w:t xml:space="preserve">“It is not possible to calculate Progress 8 for academic years 2024/25 and 2025/26. This is because there is no KS2 prior attainment data available to use to calculate Progress 8 when the relevant cohorts reach the end of KS4 as primary tests and assessments were cancelled in academic years 2019/20 and 2020/21 due to COVID-19 disruption.”</w:t>
      </w:r>
      <w:r>
        <w:t xml:space="preserve"> </w:t>
      </w:r>
      <w:hyperlink r:id="rId34">
        <w:r>
          <w:rPr>
            <w:rStyle w:val="Hyperlink"/>
          </w:rPr>
          <w:t xml:space="preserve">https://explore-education-statistics.service.gov.uk/find-statistics/key-stage-4-performance</w:t>
        </w:r>
      </w:hyperlink>
    </w:p>
  </w:footnote>
  <w:footnote w:id="39">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0">
    <w:p>
      <w:pPr>
        <w:pStyle w:val="FootnoteText"/>
      </w:pPr>
      <w:r>
        <w:rPr>
          <w:rStyle w:val="FootnoteReference"/>
        </w:rPr>
        <w:footnoteRef/>
      </w:r>
      <w:r>
        <w:t xml:space="preserve"> </w:t>
      </w:r>
      <w:r>
        <w:t xml:space="preserve">Stepwise Models for all pupil groups</w:t>
      </w:r>
      <w:r>
        <w:t xml:space="preserve"> </w:t>
      </w:r>
      <w:hyperlink r:id="rId21">
        <w:r>
          <w:rPr>
            <w:rStyle w:val="Hyperlink"/>
          </w:rPr>
          <w:t xml:space="preserve">https://osf.io/x82j3/overview (see `model_results.html#stepwise-model-building` in `supplementary.zip`)</w:t>
        </w:r>
      </w:hyperlink>
    </w:p>
  </w:footnote>
  <w:footnote w:id="41">
    <w:p>
      <w:pPr>
        <w:pStyle w:val="FootnoteText"/>
      </w:pPr>
      <w:r>
        <w:rPr>
          <w:rStyle w:val="FootnoteReference"/>
        </w:rPr>
        <w:footnoteRef/>
      </w:r>
      <w:r>
        <w:t xml:space="preserve"> </w:t>
      </w:r>
      <w:r>
        <w:t xml:space="preserve">See supplementary material for robustness checks:</w:t>
      </w:r>
      <w:r>
        <w:t xml:space="preserve"> </w:t>
      </w:r>
      <w:hyperlink r:id="rId21">
        <w:r>
          <w:rPr>
            <w:rStyle w:val="Hyperlink"/>
          </w:rPr>
          <w:t xml:space="preserve">https://osf.io/x82j3/overview (see `model_experiments.html` in `supplementary.zip`)</w:t>
        </w:r>
      </w:hyperlink>
    </w:p>
  </w:footnote>
  <w:footnote w:id="44">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5">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6">
        <w:r>
          <w:rPr>
            <w:rStyle w:val="Hyperlink"/>
          </w:rPr>
          <w:t xml:space="preserve">https://democracy.brighton-hove.gov.uk/documents/s205834/School%20Admission%20Arrangements%202026-27.pdf</w:t>
        </w:r>
      </w:hyperlink>
      <w:r>
        <w:t xml:space="preserve">.</w:t>
      </w:r>
    </w:p>
  </w:footnote>
  <w:footnote w:id="47">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48">
        <w:r>
          <w:rPr>
            <w:rStyle w:val="Hyperlink"/>
          </w:rPr>
          <w:t xml:space="preserve">https://yourvoice.brighton-hove.gov.uk/en-GB/projects/school-admission-arrangements-public-consultation/1</w:t>
        </w:r>
      </w:hyperlink>
      <w:r>
        <w:t xml:space="preserve">.</w:t>
      </w:r>
    </w:p>
  </w:footnote>
  <w:footnote w:id="49">
    <w:p>
      <w:pPr>
        <w:pStyle w:val="FootnoteText"/>
      </w:pPr>
      <w:r>
        <w:rPr>
          <w:rStyle w:val="FootnoteReference"/>
        </w:rPr>
        <w:footnoteRef/>
      </w:r>
      <w:r>
        <w:t xml:space="preserve"> </w:t>
      </w:r>
      <w:hyperlink r:id="rId50">
        <w:r>
          <w:rPr>
            <w:rStyle w:val="Hyperlink"/>
          </w:rPr>
          <w:t xml:space="preserve">https://www.brighton-hove.gov.uk/schools-and-learning/school-policies-reports-strategies-and-other-documents/better-outcomes-better-lives-brighton-hoves-strategy-tackling-educational-disadvantage</w:t>
        </w:r>
      </w:hyperlink>
    </w:p>
  </w:footnote>
  <w:footnote w:id="55">
    <w:p>
      <w:pPr>
        <w:pStyle w:val="FootnoteText"/>
      </w:pPr>
      <w:r>
        <w:rPr>
          <w:rStyle w:val="FootnoteReference"/>
        </w:rPr>
        <w:footnoteRef/>
      </w:r>
      <w:r>
        <w:t xml:space="preserve"> </w:t>
      </w:r>
      <w:r>
        <w:t xml:space="preserve">Full technical details, model fits, sensitivity checks and a 50-replicate clustered bootstrap of school rank uncertainty are in the supplementary material:</w:t>
      </w:r>
      <w:r>
        <w:t xml:space="preserve"> </w:t>
      </w:r>
      <w:hyperlink r:id="rId21">
        <w:r>
          <w:rPr>
            <w:rStyle w:val="Hyperlink"/>
          </w:rPr>
          <w:t xml:space="preserve">https://osf.io/x82j3/overview (see `model_experiments.html#sec-two-stage-absence` in `supplementary.zip`)</w:t>
        </w:r>
      </w:hyperlink>
    </w:p>
  </w:footnote>
  <w:footnote w:id="58">
    <w:p>
      <w:pPr>
        <w:pStyle w:val="FootnoteText"/>
      </w:pPr>
      <w:r>
        <w:rPr>
          <w:rStyle w:val="FootnoteReference"/>
        </w:rPr>
        <w:footnoteRef/>
      </w:r>
      <w:r>
        <w:t xml:space="preserve"> </w:t>
      </w:r>
      <w:r>
        <w:t xml:space="preserve">Brighton and Hove Council 2024 Consultation Papers:</w:t>
      </w:r>
      <w:r>
        <w:t xml:space="preserve"> </w:t>
      </w:r>
      <w:hyperlink r:id="rId48">
        <w:r>
          <w:rPr>
            <w:rStyle w:val="Hyperlink"/>
          </w:rPr>
          <w:t xml:space="preserve">https://yourvoice.brighton-hove.gov.uk/en-GB/projects/school-admission-arrangements-public-consultation/1</w:t>
        </w:r>
      </w:hyperlink>
    </w:p>
  </w:footnote>
  <w:footnote w:id="60">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5">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6">
        <w:r>
          <w:rPr>
            <w:rStyle w:val="Hyperlink"/>
          </w:rPr>
          <w:t xml:space="preserve">https://democracy.brighton-hove.gov.uk/documents/s205834/School%20Admission%20Arrangements%202026-27.pdf</w:t>
        </w:r>
      </w:hyperlink>
      <w:r>
        <w:t xml:space="preserve">.</w:t>
      </w:r>
    </w:p>
  </w:footnote>
  <w:footnote w:id="61">
    <w:p>
      <w:pPr>
        <w:pStyle w:val="FootnoteText"/>
      </w:pPr>
      <w:r>
        <w:rPr>
          <w:rStyle w:val="FootnoteReference"/>
        </w:rPr>
        <w:footnoteRef/>
      </w:r>
      <w:r>
        <w:t xml:space="preserve"> </w:t>
      </w:r>
      <w:r>
        <w:t xml:space="preserve">The comment was made in a blog post here:</w:t>
      </w:r>
      <w:r>
        <w:t xml:space="preserve"> </w:t>
      </w:r>
      <w:hyperlink r:id="rId62">
        <w:r>
          <w:rPr>
            <w:rStyle w:val="Hyperlink"/>
          </w:rPr>
          <w:t xml:space="preserve">https://www.classdivide.co.uk/news/uk5uk5bxax0rvjz9q4tu4kgx2lbyhw</w:t>
        </w:r>
      </w:hyperlink>
    </w:p>
  </w:footnote>
  <w:footnote w:id="63">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48">
        <w:r>
          <w:rPr>
            <w:rStyle w:val="Hyperlink"/>
          </w:rPr>
          <w:t xml:space="preserve">https://yourvoice.brighton-hove.gov.uk/en-GB/projects/school-admission-arrangements-public-consultation/1</w:t>
        </w:r>
      </w:hyperlink>
      <w:r>
        <w:t xml:space="preserve">.</w:t>
      </w:r>
    </w:p>
  </w:footnote>
  <w:footnote w:id="65">
    <w:p>
      <w:pPr>
        <w:pStyle w:val="FootnoteText"/>
      </w:pPr>
      <w:r>
        <w:rPr>
          <w:rStyle w:val="FootnoteReference"/>
        </w:rPr>
        <w:footnoteRef/>
      </w:r>
      <w:r>
        <w:t xml:space="preserve"> </w:t>
      </w:r>
      <w:hyperlink r:id="rId66">
        <w:r>
          <w:rPr>
            <w:rStyle w:val="Hyperlink"/>
          </w:rPr>
          <w:t xml:space="preserve">https://educationequity.kit.com/</w:t>
        </w:r>
      </w:hyperlink>
    </w:p>
  </w:footnote>
  <w:footnote w:id="67">
    <w:p>
      <w:pPr>
        <w:pStyle w:val="FootnoteText"/>
      </w:pPr>
      <w:r>
        <w:rPr>
          <w:rStyle w:val="FootnoteReference"/>
        </w:rPr>
        <w:footnoteRef/>
      </w:r>
      <w:r>
        <w:t xml:space="preserve"> </w:t>
      </w:r>
      <w:hyperlink r:id="rId68">
        <w:r>
          <w:rPr>
            <w:rStyle w:val="Hyperlink"/>
          </w:rPr>
          <w:t xml:space="preserve">https://reports.ofsted.gov.uk/provider/23/136164</w:t>
        </w:r>
      </w:hyperlink>
    </w:p>
  </w:footnote>
  <w:footnote w:id="70">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5">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6">
        <w:r>
          <w:rPr>
            <w:rStyle w:val="Hyperlink"/>
          </w:rPr>
          <w:t xml:space="preserve">https://democracy.brighton-hove.gov.uk/documents/s205834/School%20Admission%20Arrangements%202026-27.pdf</w:t>
        </w:r>
      </w:hyperlink>
      <w:r>
        <w:t xml:space="preserve">.</w:t>
      </w:r>
    </w:p>
  </w:footnote>
  <w:footnote w:id="73">
    <w:p>
      <w:pPr>
        <w:pStyle w:val="FootnoteText"/>
      </w:pPr>
      <w:r>
        <w:rPr>
          <w:rStyle w:val="FootnoteReference"/>
        </w:rPr>
        <w:footnoteRef/>
      </w:r>
      <w:r>
        <w:t xml:space="preserve"> </w:t>
      </w:r>
      <w:r>
        <w:t xml:space="preserve">School Attainment Policy Simulator: an interactive R Shiny web tool developed as part of this work. URL withheld for double-blind review; tool details, a walkthrough and access can be made available on request from the corresponding author via the editorial office.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9AC26D7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2">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3">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4">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6">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7">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8">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9">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20">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1">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2">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4">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43349035" w:numId="1">
    <w:abstractNumId w:val="11"/>
  </w:num>
  <w:num w16cid:durableId="715008937" w:numId="2">
    <w:abstractNumId w:val="16"/>
  </w:num>
  <w:num w16cid:durableId="90863085" w:numId="3">
    <w:abstractNumId w:val="20"/>
  </w:num>
  <w:num w16cid:durableId="285892989" w:numId="4">
    <w:abstractNumId w:val="1"/>
  </w:num>
  <w:num w16cid:durableId="1889688008" w:numId="5">
    <w:abstractNumId w:val="2"/>
  </w:num>
  <w:num w16cid:durableId="1659188007" w:numId="6">
    <w:abstractNumId w:val="3"/>
  </w:num>
  <w:num w16cid:durableId="1748379258" w:numId="7">
    <w:abstractNumId w:val="4"/>
  </w:num>
  <w:num w16cid:durableId="1522279981" w:numId="8">
    <w:abstractNumId w:val="9"/>
  </w:num>
  <w:num w16cid:durableId="1846019313" w:numId="9">
    <w:abstractNumId w:val="5"/>
  </w:num>
  <w:num w16cid:durableId="1511069277" w:numId="10">
    <w:abstractNumId w:val="7"/>
  </w:num>
  <w:num w16cid:durableId="522597845" w:numId="11">
    <w:abstractNumId w:val="6"/>
  </w:num>
  <w:num w16cid:durableId="1183083884" w:numId="12">
    <w:abstractNumId w:val="10"/>
  </w:num>
  <w:num w16cid:durableId="1310789798" w:numId="13">
    <w:abstractNumId w:val="8"/>
  </w:num>
  <w:num w16cid:durableId="530187866" w:numId="14">
    <w:abstractNumId w:val="18"/>
  </w:num>
  <w:num w16cid:durableId="967275065" w:numId="15">
    <w:abstractNumId w:val="21"/>
  </w:num>
  <w:num w16cid:durableId="1562205318" w:numId="16">
    <w:abstractNumId w:val="15"/>
  </w:num>
  <w:num w16cid:durableId="18243480" w:numId="17">
    <w:abstractNumId w:val="17"/>
  </w:num>
  <w:num w16cid:durableId="148324002" w:numId="18">
    <w:abstractNumId w:val="12"/>
  </w:num>
  <w:num w16cid:durableId="1065106568" w:numId="19">
    <w:abstractNumId w:val="0"/>
  </w:num>
  <w:num w16cid:durableId="452943983" w:numId="20">
    <w:abstractNumId w:val="13"/>
  </w:num>
  <w:num w16cid:durableId="518197463" w:numId="21">
    <w:abstractNumId w:val="19"/>
  </w:num>
  <w:num w16cid:durableId="517695458" w:numId="22">
    <w:abstractNumId w:val="22"/>
  </w:num>
  <w:num w16cid:durableId="478576357" w:numId="23">
    <w:abstractNumId w:val="23"/>
  </w:num>
  <w:num w16cid:durableId="1353457913" w:numId="24">
    <w:abstractNumId w:val="14"/>
  </w:num>
  <w:num w16cid:durableId="1522280334" w:numId="25">
    <w:abstractNumId w:val="2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linkStyles/>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60CA6"/>
    <w:rsid w:val="000F697D"/>
    <w:rsid w:val="00162B3B"/>
    <w:rsid w:val="001A76D3"/>
    <w:rsid w:val="00302154"/>
    <w:rsid w:val="00303AF6"/>
    <w:rsid w:val="003E124A"/>
    <w:rsid w:val="00413CD7"/>
    <w:rsid w:val="00413EAF"/>
    <w:rsid w:val="00440721"/>
    <w:rsid w:val="00491C3B"/>
    <w:rsid w:val="006440C5"/>
    <w:rsid w:val="00660CA6"/>
    <w:rsid w:val="006B1605"/>
    <w:rsid w:val="006B1EF0"/>
    <w:rsid w:val="006E261F"/>
    <w:rsid w:val="00751895"/>
    <w:rsid w:val="0078047F"/>
    <w:rsid w:val="007C4687"/>
    <w:rsid w:val="00856D00"/>
    <w:rsid w:val="00861632"/>
    <w:rsid w:val="00A44957"/>
    <w:rsid w:val="00A50E66"/>
    <w:rsid w:val="00A96273"/>
    <w:rsid w:val="00B25936"/>
    <w:rsid w:val="00B6371F"/>
    <w:rsid w:val="00B8250B"/>
    <w:rsid w:val="00BE31E9"/>
    <w:rsid w:val="00C545A6"/>
    <w:rsid w:val="00C71E44"/>
    <w:rsid w:val="00D05A8B"/>
    <w:rsid w:val="00D5127C"/>
    <w:rsid w:val="00D62C5E"/>
    <w:rsid w:val="00EB2F3C"/>
    <w:rsid w:val="00EC7E12"/>
    <w:rsid w:val="00FF7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61F"/>
    <w:pPr>
      <w:spacing w:after="0" w:line="480" w:lineRule="auto"/>
    </w:pPr>
    <w:rPr>
      <w:rFonts w:ascii="Times New Roman" w:cs="Times New Roman" w:eastAsia="Times New Roman" w:hAnsi="Times New Roman"/>
      <w:lang w:eastAsia="en-GB" w:val="en-GB"/>
    </w:rPr>
  </w:style>
  <w:style w:styleId="Heading1" w:type="paragraph">
    <w:name w:val="heading 1"/>
    <w:basedOn w:val="Normal"/>
    <w:next w:val="Paragraph"/>
    <w:link w:val="Heading1Char"/>
    <w:qFormat/>
    <w:rsid w:val="006E261F"/>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6E261F"/>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6E261F"/>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6E261F"/>
    <w:pPr>
      <w:spacing w:before="360"/>
      <w:outlineLvl w:val="3"/>
    </w:pPr>
    <w:rPr>
      <w:bCs/>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unhideWhenUsed/>
    <w:rsid w:val="006E261F"/>
  </w:style>
  <w:style w:default="1" w:styleId="TableNormal" w:type="table">
    <w:name w:val="Normal Table"/>
    <w:uiPriority w:val="99"/>
    <w:semiHidden/>
    <w:unhideWhenUsed/>
    <w:tblPr>
      <w:tblInd w:type="dxa" w:w="0"/>
      <w:tblCellMar>
        <w:top w:type="dxa" w:w="0"/>
        <w:left w:type="dxa" w:w="43"/>
        <w:bottom w:type="dxa" w:w="0"/>
        <w:right w:type="dxa" w:w="43"/>
      </w:tblCellMar>
    </w:tblPr>
  </w:style>
  <w:style w:default="1" w:styleId="NoList" w:type="numbering">
    <w:name w:val="No List"/>
    <w:uiPriority w:val="99"/>
    <w:semiHidden/>
    <w:unhideWhenUsed/>
    <w:rsid w:val="006E261F"/>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Keywords"/>
    <w:qFormat/>
    <w:rsid w:val="006E261F"/>
    <w:pPr>
      <w:spacing w:after="300" w:before="360" w:line="360" w:lineRule="auto"/>
      <w:ind w:left="720" w:right="567"/>
    </w:pPr>
    <w:rPr>
      <w:sz w:val="22"/>
    </w:rPr>
  </w:style>
  <w:style w:styleId="Bibliography" w:type="paragraph">
    <w:name w:val="Bibliography"/>
    <w:basedOn w:val="Normal"/>
    <w:qFormat/>
    <w:pPr>
      <w:ind w:hanging="720" w:left="720"/>
    </w:pPr>
  </w:style>
  <w:style w:customStyle="1" w:styleId="Heading1Char" w:type="character">
    <w:name w:val="Heading 1 Char"/>
    <w:basedOn w:val="DefaultParagraphFont"/>
    <w:link w:val="Heading1"/>
    <w:rsid w:val="006E261F"/>
    <w:rPr>
      <w:rFonts w:ascii="Times New Roman" w:cs="Arial" w:eastAsia="Times New Roman" w:hAnsi="Times New Roman"/>
      <w:b/>
      <w:bCs/>
      <w:kern w:val="32"/>
      <w:szCs w:val="32"/>
      <w:lang w:eastAsia="en-GB" w:val="en-GB"/>
    </w:rPr>
  </w:style>
  <w:style w:customStyle="1" w:styleId="Heading2Char" w:type="character">
    <w:name w:val="Heading 2 Char"/>
    <w:basedOn w:val="DefaultParagraphFont"/>
    <w:link w:val="Heading2"/>
    <w:rsid w:val="006E261F"/>
    <w:rPr>
      <w:rFonts w:ascii="Times New Roman" w:cs="Arial" w:eastAsia="Times New Roman" w:hAnsi="Times New Roman"/>
      <w:b/>
      <w:bCs/>
      <w:i/>
      <w:iCs/>
      <w:szCs w:val="28"/>
      <w:lang w:eastAsia="en-GB" w:val="en-GB"/>
    </w:rPr>
  </w:style>
  <w:style w:customStyle="1" w:styleId="Heading3Char" w:type="character">
    <w:name w:val="Heading 3 Char"/>
    <w:basedOn w:val="DefaultParagraphFont"/>
    <w:link w:val="Heading3"/>
    <w:rsid w:val="006E261F"/>
    <w:rPr>
      <w:rFonts w:ascii="Times New Roman" w:cs="Arial" w:eastAsia="Times New Roman" w:hAnsi="Times New Roman"/>
      <w:bCs/>
      <w:i/>
      <w:szCs w:val="26"/>
      <w:lang w:eastAsia="en-GB" w:val="en-GB"/>
    </w:rPr>
  </w:style>
  <w:style w:customStyle="1" w:styleId="Heading4Char" w:type="character">
    <w:name w:val="Heading 4 Char"/>
    <w:basedOn w:val="DefaultParagraphFont"/>
    <w:link w:val="Heading4"/>
    <w:rsid w:val="006E261F"/>
    <w:rPr>
      <w:rFonts w:ascii="Times New Roman" w:cs="Times New Roman" w:eastAsia="Times New Roman" w:hAnsi="Times New Roman"/>
      <w:bCs/>
      <w:szCs w:val="28"/>
      <w:lang w:eastAsia="en-GB" w:val="en-GB"/>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autoRedefine/>
    <w:rsid w:val="006E261F"/>
    <w:pPr>
      <w:ind w:hanging="284" w:left="284"/>
    </w:pPr>
    <w:rPr>
      <w:sz w:val="22"/>
      <w:szCs w:val="20"/>
    </w:rPr>
  </w:style>
  <w:style w:customStyle="1" w:styleId="FootnoteBlockText" w:type="paragraph">
    <w:name w:val="Footnote Block Text"/>
    <w:basedOn w:val="FootnoteText"/>
    <w:next w:val="FootnoteText"/>
    <w:uiPriority w:val="9"/>
    <w:unhideWhenUsed/>
    <w:qFormat/>
    <w:pPr>
      <w:spacing w:after="100" w:before="100"/>
      <w:ind w:firstLine="0" w:left="480" w:right="480"/>
    </w:pPr>
  </w:style>
  <w:style w:customStyle="1" w:styleId="Table" w:type="table">
    <w:name w:val="Table"/>
    <w:semiHidden/>
    <w:unhideWhenUsed/>
    <w:qFormat/>
    <w:tblPr>
      <w:tblInd w:type="dxa" w:w="0"/>
      <w:tblCellMar>
        <w:top w:type="dxa" w:w="0"/>
        <w:left w:type="dxa" w:w="43"/>
        <w:bottom w:type="dxa" w:w="0"/>
        <w:right w:type="dxa" w:w="43"/>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DefaultParagraphFont"/>
    <w:rsid w:val="006E261F"/>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Articletitle" w:type="paragraph">
    <w:name w:val="Article title"/>
    <w:basedOn w:val="Normal"/>
    <w:next w:val="Normal"/>
    <w:qFormat/>
    <w:rsid w:val="006E261F"/>
    <w:pPr>
      <w:spacing w:after="120" w:line="360" w:lineRule="auto"/>
    </w:pPr>
    <w:rPr>
      <w:b/>
      <w:sz w:val="28"/>
    </w:rPr>
  </w:style>
  <w:style w:customStyle="1" w:styleId="Authornames" w:type="paragraph">
    <w:name w:val="Author names"/>
    <w:basedOn w:val="Normal"/>
    <w:next w:val="Normal"/>
    <w:qFormat/>
    <w:rsid w:val="006E261F"/>
    <w:pPr>
      <w:spacing w:before="240" w:line="360" w:lineRule="auto"/>
    </w:pPr>
    <w:rPr>
      <w:sz w:val="28"/>
    </w:rPr>
  </w:style>
  <w:style w:customStyle="1" w:styleId="Affiliation" w:type="paragraph">
    <w:name w:val="Affiliation"/>
    <w:basedOn w:val="Normal"/>
    <w:qFormat/>
    <w:rsid w:val="006E261F"/>
    <w:pPr>
      <w:spacing w:before="240" w:line="360" w:lineRule="auto"/>
    </w:pPr>
    <w:rPr>
      <w:i/>
    </w:rPr>
  </w:style>
  <w:style w:customStyle="1" w:styleId="Receiveddates" w:type="paragraph">
    <w:name w:val="Received dates"/>
    <w:basedOn w:val="Affiliation"/>
    <w:next w:val="Normal"/>
    <w:qFormat/>
    <w:rsid w:val="006E261F"/>
  </w:style>
  <w:style w:customStyle="1" w:styleId="Keywords" w:type="paragraph">
    <w:name w:val="Keywords"/>
    <w:basedOn w:val="Normal"/>
    <w:next w:val="Paragraph"/>
    <w:qFormat/>
    <w:rsid w:val="006E261F"/>
    <w:pPr>
      <w:spacing w:after="240" w:before="240" w:line="360" w:lineRule="auto"/>
      <w:ind w:left="720" w:right="567"/>
    </w:pPr>
    <w:rPr>
      <w:sz w:val="22"/>
    </w:rPr>
  </w:style>
  <w:style w:customStyle="1" w:styleId="Correspondencedetails" w:type="paragraph">
    <w:name w:val="Correspondence details"/>
    <w:basedOn w:val="Normal"/>
    <w:qFormat/>
    <w:rsid w:val="006E261F"/>
    <w:pPr>
      <w:spacing w:before="240" w:line="360" w:lineRule="auto"/>
    </w:pPr>
  </w:style>
  <w:style w:customStyle="1" w:styleId="Displayedquotation" w:type="paragraph">
    <w:name w:val="Displayed quotation"/>
    <w:basedOn w:val="Normal"/>
    <w:qFormat/>
    <w:rsid w:val="006E261F"/>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6E261F"/>
    <w:pPr>
      <w:widowControl/>
      <w:numPr>
        <w:numId w:val="14"/>
      </w:numPr>
      <w:spacing w:after="240"/>
      <w:contextualSpacing/>
    </w:pPr>
  </w:style>
  <w:style w:customStyle="1" w:styleId="Displayedequation" w:type="paragraph">
    <w:name w:val="Displayed equation"/>
    <w:basedOn w:val="Normal"/>
    <w:next w:val="Paragraph"/>
    <w:qFormat/>
    <w:rsid w:val="006E261F"/>
    <w:pPr>
      <w:tabs>
        <w:tab w:pos="4253" w:val="center"/>
        <w:tab w:pos="8222" w:val="right"/>
      </w:tabs>
      <w:spacing w:after="240" w:before="240"/>
      <w:jc w:val="center"/>
    </w:pPr>
  </w:style>
  <w:style w:customStyle="1" w:styleId="Acknowledgements" w:type="paragraph">
    <w:name w:val="Acknowledgements"/>
    <w:basedOn w:val="Normal"/>
    <w:next w:val="Normal"/>
    <w:qFormat/>
    <w:rsid w:val="006E261F"/>
    <w:pPr>
      <w:spacing w:before="120" w:line="360" w:lineRule="auto"/>
    </w:pPr>
    <w:rPr>
      <w:sz w:val="22"/>
    </w:rPr>
  </w:style>
  <w:style w:customStyle="1" w:styleId="Tabletitle" w:type="paragraph">
    <w:name w:val="Table title"/>
    <w:basedOn w:val="Normal"/>
    <w:next w:val="Normal"/>
    <w:qFormat/>
    <w:rsid w:val="006E261F"/>
    <w:pPr>
      <w:spacing w:before="240" w:line="360" w:lineRule="auto"/>
    </w:pPr>
  </w:style>
  <w:style w:customStyle="1" w:styleId="Figurecaption" w:type="paragraph">
    <w:name w:val="Figure caption"/>
    <w:basedOn w:val="Normal"/>
    <w:next w:val="Normal"/>
    <w:qFormat/>
    <w:rsid w:val="006E261F"/>
    <w:pPr>
      <w:spacing w:before="240" w:line="360" w:lineRule="auto"/>
    </w:pPr>
  </w:style>
  <w:style w:customStyle="1" w:styleId="Footnotes" w:type="paragraph">
    <w:name w:val="Footnotes"/>
    <w:basedOn w:val="Normal"/>
    <w:qFormat/>
    <w:rsid w:val="006E261F"/>
    <w:pPr>
      <w:spacing w:before="120" w:line="360" w:lineRule="auto"/>
      <w:ind w:hanging="482" w:left="482"/>
      <w:contextualSpacing/>
    </w:pPr>
    <w:rPr>
      <w:sz w:val="22"/>
    </w:rPr>
  </w:style>
  <w:style w:customStyle="1" w:styleId="Notesoncontributors" w:type="paragraph">
    <w:name w:val="Notes on contributors"/>
    <w:basedOn w:val="Normal"/>
    <w:qFormat/>
    <w:rsid w:val="006E261F"/>
    <w:pPr>
      <w:spacing w:before="240" w:line="360" w:lineRule="auto"/>
    </w:pPr>
    <w:rPr>
      <w:sz w:val="22"/>
    </w:rPr>
  </w:style>
  <w:style w:customStyle="1" w:styleId="Normalparagraphstyle" w:type="paragraph">
    <w:name w:val="Normal paragraph style"/>
    <w:basedOn w:val="Normal"/>
    <w:next w:val="Normal"/>
    <w:rsid w:val="006E261F"/>
  </w:style>
  <w:style w:customStyle="1" w:styleId="Paragraph" w:type="paragraph">
    <w:name w:val="Paragraph"/>
    <w:basedOn w:val="Normal"/>
    <w:next w:val="Newparagraph"/>
    <w:qFormat/>
    <w:rsid w:val="006E261F"/>
    <w:pPr>
      <w:widowControl w:val="0"/>
      <w:spacing w:before="240"/>
    </w:pPr>
  </w:style>
  <w:style w:customStyle="1" w:styleId="Newparagraph" w:type="paragraph">
    <w:name w:val="New paragraph"/>
    <w:basedOn w:val="Normal"/>
    <w:qFormat/>
    <w:rsid w:val="006E261F"/>
    <w:pPr>
      <w:ind w:firstLine="720"/>
    </w:pPr>
  </w:style>
  <w:style w:styleId="NormalIndent" w:type="paragraph">
    <w:name w:val="Normal Indent"/>
    <w:basedOn w:val="Normal"/>
    <w:rsid w:val="006E261F"/>
    <w:pPr>
      <w:ind w:left="720"/>
    </w:pPr>
  </w:style>
  <w:style w:customStyle="1" w:styleId="References" w:type="paragraph">
    <w:name w:val="References"/>
    <w:basedOn w:val="Normal"/>
    <w:qFormat/>
    <w:rsid w:val="006E261F"/>
    <w:pPr>
      <w:spacing w:before="120" w:line="360" w:lineRule="auto"/>
      <w:ind w:hanging="720" w:left="720"/>
      <w:contextualSpacing/>
    </w:pPr>
  </w:style>
  <w:style w:customStyle="1" w:styleId="Subjectcodes" w:type="paragraph">
    <w:name w:val="Subject codes"/>
    <w:basedOn w:val="Keywords"/>
    <w:next w:val="Paragraph"/>
    <w:qFormat/>
    <w:rsid w:val="006E261F"/>
  </w:style>
  <w:style w:customStyle="1" w:styleId="Bulletedlist" w:type="paragraph">
    <w:name w:val="Bulleted list"/>
    <w:basedOn w:val="Paragraph"/>
    <w:next w:val="Paragraph"/>
    <w:qFormat/>
    <w:rsid w:val="006E261F"/>
    <w:pPr>
      <w:widowControl/>
      <w:numPr>
        <w:numId w:val="15"/>
      </w:numPr>
      <w:spacing w:after="240"/>
      <w:contextualSpacing/>
    </w:pPr>
  </w:style>
  <w:style w:customStyle="1" w:styleId="FootnoteTextChar" w:type="character">
    <w:name w:val="Footnote Text Char"/>
    <w:basedOn w:val="DefaultParagraphFont"/>
    <w:link w:val="FootnoteText"/>
    <w:rsid w:val="006E261F"/>
    <w:rPr>
      <w:rFonts w:ascii="Times New Roman" w:cs="Times New Roman" w:eastAsia="Times New Roman" w:hAnsi="Times New Roman"/>
      <w:sz w:val="22"/>
      <w:szCs w:val="20"/>
      <w:lang w:eastAsia="en-GB" w:val="en-GB"/>
    </w:rPr>
  </w:style>
  <w:style w:styleId="EndnoteText" w:type="paragraph">
    <w:name w:val="endnote text"/>
    <w:basedOn w:val="Normal"/>
    <w:link w:val="EndnoteTextChar"/>
    <w:autoRedefine/>
    <w:rsid w:val="006E261F"/>
    <w:pPr>
      <w:ind w:hanging="284" w:left="284"/>
    </w:pPr>
    <w:rPr>
      <w:sz w:val="22"/>
      <w:szCs w:val="20"/>
    </w:rPr>
  </w:style>
  <w:style w:customStyle="1" w:styleId="EndnoteTextChar" w:type="character">
    <w:name w:val="Endnote Text Char"/>
    <w:basedOn w:val="DefaultParagraphFont"/>
    <w:link w:val="EndnoteText"/>
    <w:rsid w:val="006E261F"/>
    <w:rPr>
      <w:rFonts w:ascii="Times New Roman" w:cs="Times New Roman" w:eastAsia="Times New Roman" w:hAnsi="Times New Roman"/>
      <w:sz w:val="22"/>
      <w:szCs w:val="20"/>
      <w:lang w:eastAsia="en-GB" w:val="en-GB"/>
    </w:rPr>
  </w:style>
  <w:style w:styleId="EndnoteReference" w:type="character">
    <w:name w:val="endnote reference"/>
    <w:basedOn w:val="DefaultParagraphFont"/>
    <w:rsid w:val="006E261F"/>
    <w:rPr>
      <w:vertAlign w:val="superscript"/>
    </w:rPr>
  </w:style>
  <w:style w:styleId="Header" w:type="paragraph">
    <w:name w:val="header"/>
    <w:basedOn w:val="Normal"/>
    <w:link w:val="HeaderChar"/>
    <w:rsid w:val="006E261F"/>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6E261F"/>
    <w:rPr>
      <w:rFonts w:ascii="Times New Roman" w:cs="Times New Roman" w:eastAsia="Times New Roman" w:hAnsi="Times New Roman"/>
      <w:lang w:eastAsia="en-GB" w:val="en-GB"/>
    </w:rPr>
  </w:style>
  <w:style w:styleId="Footer" w:type="paragraph">
    <w:name w:val="footer"/>
    <w:basedOn w:val="Normal"/>
    <w:link w:val="FooterChar"/>
    <w:rsid w:val="006E261F"/>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6E261F"/>
    <w:rPr>
      <w:rFonts w:ascii="Times New Roman" w:cs="Times New Roman" w:eastAsia="Times New Roman" w:hAnsi="Times New Roman"/>
      <w:lang w:eastAsia="en-GB" w:val="en-GB"/>
    </w:rPr>
  </w:style>
  <w:style w:customStyle="1" w:styleId="Heading4Paragraph" w:type="paragraph">
    <w:name w:val="Heading 4 + Paragraph"/>
    <w:basedOn w:val="Paragraph"/>
    <w:next w:val="Newparagraph"/>
    <w:qFormat/>
    <w:rsid w:val="006E261F"/>
    <w:pPr>
      <w:widowControl/>
      <w:spacing w:before="360"/>
    </w:pPr>
  </w:style>
  <w:style w:styleId="TableGridLight" w:type="table">
    <w:name w:val="Grid Table Light"/>
    <w:basedOn w:val="TableNormal"/>
    <w:rsid w:val="003E124A"/>
    <w:pPr>
      <w:spacing w:after="0"/>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8" Target="media/rId198.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202" Target="media/rId202.png" /><Relationship Type="http://schemas.openxmlformats.org/officeDocument/2006/relationships/image" Id="rId206" Target="media/rId206.png" /><Relationship Type="http://schemas.openxmlformats.org/officeDocument/2006/relationships/image" Id="rId185" Target="media/rId185.png" /><Relationship Type="http://schemas.openxmlformats.org/officeDocument/2006/relationships/hyperlink" Id="rId117" Target="https://cep.lse.ac.uk/_new/publications/abstract.asp?index=5752" TargetMode="External" /><Relationship Type="http://schemas.openxmlformats.org/officeDocument/2006/relationships/hyperlink" Id="rId95" Target="https://committees.parliament.uk/committee/203/education-committee/news/156024/forgotten-white-workingclass-pupils-let-down-by-decades-of-neglect-mps-say/" TargetMode="External" /><Relationship Type="http://schemas.openxmlformats.org/officeDocument/2006/relationships/hyperlink" Id="rId45" Target="https://democracy.brighton-hove.gov.uk/documents/s204040/School%20Admission%20Arrangements%202026-27.pdf" TargetMode="External" /><Relationship Type="http://schemas.openxmlformats.org/officeDocument/2006/relationships/hyperlink" Id="rId46" Target="https://democracy.brighton-hove.gov.uk/documents/s205834/School%20Admission%20Arrangements%202026-27.pdf" TargetMode="External" /><Relationship Type="http://schemas.openxmlformats.org/officeDocument/2006/relationships/hyperlink" Id="rId119" Target="https://doi.org/10.1002/berj.3297" TargetMode="External" /><Relationship Type="http://schemas.openxmlformats.org/officeDocument/2006/relationships/hyperlink" Id="rId109" Target="https://doi.org/10.1002/berj.3992" TargetMode="External" /><Relationship Type="http://schemas.openxmlformats.org/officeDocument/2006/relationships/hyperlink" Id="rId167" Target="https://doi.org/10.1007/978-3-031-98300-9_17" TargetMode="External" /><Relationship Type="http://schemas.openxmlformats.org/officeDocument/2006/relationships/hyperlink" Id="rId149" Target="https://doi.org/10.1007/s41105-017-0091-0" TargetMode="External" /><Relationship Type="http://schemas.openxmlformats.org/officeDocument/2006/relationships/hyperlink" Id="rId90" Target="https://doi.org/10.1016/j.econedurev.2023.102405" TargetMode="External" /><Relationship Type="http://schemas.openxmlformats.org/officeDocument/2006/relationships/hyperlink" Id="rId107" Target="https://doi.org/10.1016/j.jth.2023.101605" TargetMode="External" /><Relationship Type="http://schemas.openxmlformats.org/officeDocument/2006/relationships/hyperlink" Id="rId131" Target="https://doi.org/10.1016/j.psyneuen.2021.105371" TargetMode="External" /><Relationship Type="http://schemas.openxmlformats.org/officeDocument/2006/relationships/hyperlink" Id="rId178" Target="https://doi.org/10.1016/j.sleep.2018.10.041" TargetMode="External" /><Relationship Type="http://schemas.openxmlformats.org/officeDocument/2006/relationships/hyperlink" Id="rId176" Target="https://doi.org/10.1080/00031305.2016.1154108" TargetMode="External" /><Relationship Type="http://schemas.openxmlformats.org/officeDocument/2006/relationships/hyperlink" Id="rId163" Target="https://doi.org/10.1080/01425692.2025.2474040" TargetMode="External" /><Relationship Type="http://schemas.openxmlformats.org/officeDocument/2006/relationships/hyperlink" Id="rId84" Target="https://doi.org/10.1080/0305764X.2024.2420611" TargetMode="External" /><Relationship Type="http://schemas.openxmlformats.org/officeDocument/2006/relationships/hyperlink" Id="rId80" Target="https://doi.org/10.1080/09645292.2017.1366425" TargetMode="External" /><Relationship Type="http://schemas.openxmlformats.org/officeDocument/2006/relationships/hyperlink" Id="rId111" Target="https://doi.org/10.1093/ooec/odad029" TargetMode="External" /><Relationship Type="http://schemas.openxmlformats.org/officeDocument/2006/relationships/hyperlink" Id="rId139" Target="https://doi.org/10.1098/rsif.2017.0213" TargetMode="External" /><Relationship Type="http://schemas.openxmlformats.org/officeDocument/2006/relationships/hyperlink" Id="rId115" Target="https://doi.org/10.1111/j.1467-8624.2004.00655.x" TargetMode="External" /><Relationship Type="http://schemas.openxmlformats.org/officeDocument/2006/relationships/hyperlink" Id="rId82" Target="https://doi.org/10.1111/j.1475-5661.2012.00511.x" TargetMode="External" /><Relationship Type="http://schemas.openxmlformats.org/officeDocument/2006/relationships/hyperlink" Id="rId141" Target="https://doi.org/10.1111/j.2041-210x.2012.00261.x" TargetMode="External" /><Relationship Type="http://schemas.openxmlformats.org/officeDocument/2006/relationships/hyperlink" Id="rId151" Target="https://doi.org/10.1111/jcpp.14082" TargetMode="External" /><Relationship Type="http://schemas.openxmlformats.org/officeDocument/2006/relationships/hyperlink" Id="rId143" Target="https://doi.org/10.1111/pcn.13714" TargetMode="External" /><Relationship Type="http://schemas.openxmlformats.org/officeDocument/2006/relationships/hyperlink" Id="rId88" Target="https://doi.org/10.1177/0308518X18787820" TargetMode="External" /><Relationship Type="http://schemas.openxmlformats.org/officeDocument/2006/relationships/hyperlink" Id="rId174" Target="https://doi.org/10.1177/0739456X17725148" TargetMode="External" /><Relationship Type="http://schemas.openxmlformats.org/officeDocument/2006/relationships/hyperlink" Id="rId121" Target="https://doi.org/10.1177/2158244018825171" TargetMode="External" /><Relationship Type="http://schemas.openxmlformats.org/officeDocument/2006/relationships/hyperlink" Id="rId113" Target="https://doi.org/10.1186/1471-2458-13-1166" TargetMode="External" /><Relationship Type="http://schemas.openxmlformats.org/officeDocument/2006/relationships/hyperlink" Id="rId127" Target="https://doi.org/10.1186/s12889-025-22861-7" TargetMode="External" /><Relationship Type="http://schemas.openxmlformats.org/officeDocument/2006/relationships/hyperlink" Id="rId145" Target="https://doi.org/10.1265/ehpm.25-00290" TargetMode="External" /><Relationship Type="http://schemas.openxmlformats.org/officeDocument/2006/relationships/hyperlink" Id="rId129" Target="https://doi.org/10.1371/journal.pmed.1003031" TargetMode="External" /><Relationship Type="http://schemas.openxmlformats.org/officeDocument/2006/relationships/hyperlink" Id="rId92" Target="https://doi.org/10.1371/journal.pone.0314687" TargetMode="External" /><Relationship Type="http://schemas.openxmlformats.org/officeDocument/2006/relationships/hyperlink" Id="rId135" Target="https://doi.org/10.14324/LRE.21.1.20" TargetMode="External" /><Relationship Type="http://schemas.openxmlformats.org/officeDocument/2006/relationships/hyperlink" Id="rId161" Target="https://doi.org/10.3102/0013189X20949504" TargetMode="External" /><Relationship Type="http://schemas.openxmlformats.org/officeDocument/2006/relationships/hyperlink" Id="rId97" Target="https://doi.org/10.3102/01623737221092450" TargetMode="External" /><Relationship Type="http://schemas.openxmlformats.org/officeDocument/2006/relationships/hyperlink" Id="rId147" Target="https://doi.org/10.3109/07420528.2013.826238" TargetMode="External" /><Relationship Type="http://schemas.openxmlformats.org/officeDocument/2006/relationships/hyperlink" Id="rId123" Target="https://doi.org/10.3390/educsci15010006" TargetMode="External" /><Relationship Type="http://schemas.openxmlformats.org/officeDocument/2006/relationships/hyperlink" Id="rId66" Target="https://educationequity.kit.com/" TargetMode="External" /><Relationship Type="http://schemas.openxmlformats.org/officeDocument/2006/relationships/hyperlink" Id="rId172" Target="https://epi.org.uk/annual-report-2023/" TargetMode="External" /><Relationship Type="http://schemas.openxmlformats.org/officeDocument/2006/relationships/hyperlink" Id="rId180" Target="https://epi.org.uk/publications-and-research/the-influence-of-headteachers-on-their-schools/" TargetMode="External" /><Relationship Type="http://schemas.openxmlformats.org/officeDocument/2006/relationships/hyperlink" Id="rId34" Target="https://explore-education-statistics.service.gov.uk/find-statistics/key-stage-4-performance" TargetMode="External" /><Relationship Type="http://schemas.openxmlformats.org/officeDocument/2006/relationships/hyperlink" Id="rId103" Target="https://explore-education-statistics.service.gov.uk/find-statistics/pupil-absence-in-schools-in-england/2024-25-autumn-and-spring-term" TargetMode="External" /><Relationship Type="http://schemas.openxmlformats.org/officeDocument/2006/relationships/hyperlink" Id="rId99" Target="https://explore-education-statistics.service.gov.uk/find-statistics/the-link-between-absence-and-attainment-at-ks2-and-ks4/2018-19" TargetMode="External" /><Relationship Type="http://schemas.openxmlformats.org/officeDocument/2006/relationships/hyperlink" Id="rId170" Target="https://ffteducationdatalab.org.uk/2023/11/are-pupils-who-live-further-away-from-their-school-absent-more-often/" TargetMode="External" /><Relationship Type="http://schemas.openxmlformats.org/officeDocument/2006/relationships/hyperlink" Id="rId157" Target="https://knowledge.uchicago.edu/record/7216" TargetMode="External" /><Relationship Type="http://schemas.openxmlformats.org/officeDocument/2006/relationships/hyperlink" Id="rId125"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68" Target="https://reports.ofsted.gov.uk/provider/23/136164" TargetMode="External" /><Relationship Type="http://schemas.openxmlformats.org/officeDocument/2006/relationships/hyperlink" Id="rId50"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62" Target="https://www.classdivide.co.uk/news/uk5uk5bxax0rvjz9q4tu4kgx2lbyhw" TargetMode="External" /><Relationship Type="http://schemas.openxmlformats.org/officeDocument/2006/relationships/hyperlink" Id="rId153" Target="https://www.gov.uk/government/publications/against-the-odds" TargetMode="External" /><Relationship Type="http://schemas.openxmlformats.org/officeDocument/2006/relationships/hyperlink" Id="rId105" Target="https://www.gov.uk/government/publications/every-child-achieving-and-thriving/every-child-achieving-and-thriving-html-version" TargetMode="External" /><Relationship Type="http://schemas.openxmlformats.org/officeDocument/2006/relationships/hyperlink" Id="rId155" Target="https://www.gov.uk/government/publications/examining-the-london-advantage-in-attainment-evidence-from-lsype" TargetMode="External" /><Relationship Type="http://schemas.openxmlformats.org/officeDocument/2006/relationships/hyperlink" Id="rId101" Target="https://www.gov.uk/government/publications/link-between-attendance-and-attainment" TargetMode="External" /><Relationship Type="http://schemas.openxmlformats.org/officeDocument/2006/relationships/hyperlink" Id="rId165"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33" Target="https://www.nfer.ac.uk/publications/supporting-the-attainment-of-disadvantaged-pupils-articulating-success-and-good-practice/" TargetMode="External" /><Relationship Type="http://schemas.openxmlformats.org/officeDocument/2006/relationships/hyperlink" Id="rId137" Target="https://www.nfer.ac.uk/publications/understanding-the-relationship-between-attendance-wellbeing-and-sense-of-belonging/" TargetMode="External" /><Relationship Type="http://schemas.openxmlformats.org/officeDocument/2006/relationships/hyperlink" Id="rId86" Target="https://www.urban.org/sites/default/files/publication/99027/time_to_school_and_student_outcomes_in_dc_1.pdf" TargetMode="External" /><Relationship Type="http://schemas.openxmlformats.org/officeDocument/2006/relationships/hyperlink" Id="rId48" Target="https://yourvoice.brighton-hove.gov.uk/en-GB/projects/school-admission-arrangements-public-consultation/1" TargetMode="External" /></Relationships>
</file>

<file path=word/_rels/footnotes.xml.rels><?xml version="1.0" encoding="UTF-8"?><Relationships xmlns="http://schemas.openxmlformats.org/package/2006/relationships"><Relationship Type="http://schemas.openxmlformats.org/officeDocument/2006/relationships/hyperlink" Id="rId117" Target="https://cep.lse.ac.uk/_new/publications/abstract.asp?index=5752" TargetMode="External" /><Relationship Type="http://schemas.openxmlformats.org/officeDocument/2006/relationships/hyperlink" Id="rId95" Target="https://committees.parliament.uk/committee/203/education-committee/news/156024/forgotten-white-workingclass-pupils-let-down-by-decades-of-neglect-mps-say/" TargetMode="External" /><Relationship Type="http://schemas.openxmlformats.org/officeDocument/2006/relationships/hyperlink" Id="rId45" Target="https://democracy.brighton-hove.gov.uk/documents/s204040/School%20Admission%20Arrangements%202026-27.pdf" TargetMode="External" /><Relationship Type="http://schemas.openxmlformats.org/officeDocument/2006/relationships/hyperlink" Id="rId46" Target="https://democracy.brighton-hove.gov.uk/documents/s205834/School%20Admission%20Arrangements%202026-27.pdf" TargetMode="External" /><Relationship Type="http://schemas.openxmlformats.org/officeDocument/2006/relationships/hyperlink" Id="rId119" Target="https://doi.org/10.1002/berj.3297" TargetMode="External" /><Relationship Type="http://schemas.openxmlformats.org/officeDocument/2006/relationships/hyperlink" Id="rId109" Target="https://doi.org/10.1002/berj.3992" TargetMode="External" /><Relationship Type="http://schemas.openxmlformats.org/officeDocument/2006/relationships/hyperlink" Id="rId167" Target="https://doi.org/10.1007/978-3-031-98300-9_17" TargetMode="External" /><Relationship Type="http://schemas.openxmlformats.org/officeDocument/2006/relationships/hyperlink" Id="rId149" Target="https://doi.org/10.1007/s41105-017-0091-0" TargetMode="External" /><Relationship Type="http://schemas.openxmlformats.org/officeDocument/2006/relationships/hyperlink" Id="rId90" Target="https://doi.org/10.1016/j.econedurev.2023.102405" TargetMode="External" /><Relationship Type="http://schemas.openxmlformats.org/officeDocument/2006/relationships/hyperlink" Id="rId107" Target="https://doi.org/10.1016/j.jth.2023.101605" TargetMode="External" /><Relationship Type="http://schemas.openxmlformats.org/officeDocument/2006/relationships/hyperlink" Id="rId131" Target="https://doi.org/10.1016/j.psyneuen.2021.105371" TargetMode="External" /><Relationship Type="http://schemas.openxmlformats.org/officeDocument/2006/relationships/hyperlink" Id="rId178" Target="https://doi.org/10.1016/j.sleep.2018.10.041" TargetMode="External" /><Relationship Type="http://schemas.openxmlformats.org/officeDocument/2006/relationships/hyperlink" Id="rId176" Target="https://doi.org/10.1080/00031305.2016.1154108" TargetMode="External" /><Relationship Type="http://schemas.openxmlformats.org/officeDocument/2006/relationships/hyperlink" Id="rId163" Target="https://doi.org/10.1080/01425692.2025.2474040" TargetMode="External" /><Relationship Type="http://schemas.openxmlformats.org/officeDocument/2006/relationships/hyperlink" Id="rId84" Target="https://doi.org/10.1080/0305764X.2024.2420611" TargetMode="External" /><Relationship Type="http://schemas.openxmlformats.org/officeDocument/2006/relationships/hyperlink" Id="rId80" Target="https://doi.org/10.1080/09645292.2017.1366425" TargetMode="External" /><Relationship Type="http://schemas.openxmlformats.org/officeDocument/2006/relationships/hyperlink" Id="rId111" Target="https://doi.org/10.1093/ooec/odad029" TargetMode="External" /><Relationship Type="http://schemas.openxmlformats.org/officeDocument/2006/relationships/hyperlink" Id="rId139" Target="https://doi.org/10.1098/rsif.2017.0213" TargetMode="External" /><Relationship Type="http://schemas.openxmlformats.org/officeDocument/2006/relationships/hyperlink" Id="rId115" Target="https://doi.org/10.1111/j.1467-8624.2004.00655.x" TargetMode="External" /><Relationship Type="http://schemas.openxmlformats.org/officeDocument/2006/relationships/hyperlink" Id="rId82" Target="https://doi.org/10.1111/j.1475-5661.2012.00511.x" TargetMode="External" /><Relationship Type="http://schemas.openxmlformats.org/officeDocument/2006/relationships/hyperlink" Id="rId141" Target="https://doi.org/10.1111/j.2041-210x.2012.00261.x" TargetMode="External" /><Relationship Type="http://schemas.openxmlformats.org/officeDocument/2006/relationships/hyperlink" Id="rId151" Target="https://doi.org/10.1111/jcpp.14082" TargetMode="External" /><Relationship Type="http://schemas.openxmlformats.org/officeDocument/2006/relationships/hyperlink" Id="rId143" Target="https://doi.org/10.1111/pcn.13714" TargetMode="External" /><Relationship Type="http://schemas.openxmlformats.org/officeDocument/2006/relationships/hyperlink" Id="rId88" Target="https://doi.org/10.1177/0308518X18787820" TargetMode="External" /><Relationship Type="http://schemas.openxmlformats.org/officeDocument/2006/relationships/hyperlink" Id="rId174" Target="https://doi.org/10.1177/0739456X17725148" TargetMode="External" /><Relationship Type="http://schemas.openxmlformats.org/officeDocument/2006/relationships/hyperlink" Id="rId121" Target="https://doi.org/10.1177/2158244018825171" TargetMode="External" /><Relationship Type="http://schemas.openxmlformats.org/officeDocument/2006/relationships/hyperlink" Id="rId113" Target="https://doi.org/10.1186/1471-2458-13-1166" TargetMode="External" /><Relationship Type="http://schemas.openxmlformats.org/officeDocument/2006/relationships/hyperlink" Id="rId127" Target="https://doi.org/10.1186/s12889-025-22861-7" TargetMode="External" /><Relationship Type="http://schemas.openxmlformats.org/officeDocument/2006/relationships/hyperlink" Id="rId145" Target="https://doi.org/10.1265/ehpm.25-00290" TargetMode="External" /><Relationship Type="http://schemas.openxmlformats.org/officeDocument/2006/relationships/hyperlink" Id="rId129" Target="https://doi.org/10.1371/journal.pmed.1003031" TargetMode="External" /><Relationship Type="http://schemas.openxmlformats.org/officeDocument/2006/relationships/hyperlink" Id="rId92" Target="https://doi.org/10.1371/journal.pone.0314687" TargetMode="External" /><Relationship Type="http://schemas.openxmlformats.org/officeDocument/2006/relationships/hyperlink" Id="rId135" Target="https://doi.org/10.14324/LRE.21.1.20" TargetMode="External" /><Relationship Type="http://schemas.openxmlformats.org/officeDocument/2006/relationships/hyperlink" Id="rId161" Target="https://doi.org/10.3102/0013189X20949504" TargetMode="External" /><Relationship Type="http://schemas.openxmlformats.org/officeDocument/2006/relationships/hyperlink" Id="rId97" Target="https://doi.org/10.3102/01623737221092450" TargetMode="External" /><Relationship Type="http://schemas.openxmlformats.org/officeDocument/2006/relationships/hyperlink" Id="rId147" Target="https://doi.org/10.3109/07420528.2013.826238" TargetMode="External" /><Relationship Type="http://schemas.openxmlformats.org/officeDocument/2006/relationships/hyperlink" Id="rId123" Target="https://doi.org/10.3390/educsci15010006" TargetMode="External" /><Relationship Type="http://schemas.openxmlformats.org/officeDocument/2006/relationships/hyperlink" Id="rId66" Target="https://educationequity.kit.com/" TargetMode="External" /><Relationship Type="http://schemas.openxmlformats.org/officeDocument/2006/relationships/hyperlink" Id="rId172" Target="https://epi.org.uk/annual-report-2023/" TargetMode="External" /><Relationship Type="http://schemas.openxmlformats.org/officeDocument/2006/relationships/hyperlink" Id="rId180" Target="https://epi.org.uk/publications-and-research/the-influence-of-headteachers-on-their-schools/" TargetMode="External" /><Relationship Type="http://schemas.openxmlformats.org/officeDocument/2006/relationships/hyperlink" Id="rId34" Target="https://explore-education-statistics.service.gov.uk/find-statistics/key-stage-4-performance" TargetMode="External" /><Relationship Type="http://schemas.openxmlformats.org/officeDocument/2006/relationships/hyperlink" Id="rId103" Target="https://explore-education-statistics.service.gov.uk/find-statistics/pupil-absence-in-schools-in-england/2024-25-autumn-and-spring-term" TargetMode="External" /><Relationship Type="http://schemas.openxmlformats.org/officeDocument/2006/relationships/hyperlink" Id="rId99" Target="https://explore-education-statistics.service.gov.uk/find-statistics/the-link-between-absence-and-attainment-at-ks2-and-ks4/2018-19" TargetMode="External" /><Relationship Type="http://schemas.openxmlformats.org/officeDocument/2006/relationships/hyperlink" Id="rId170" Target="https://ffteducationdatalab.org.uk/2023/11/are-pupils-who-live-further-away-from-their-school-absent-more-often/" TargetMode="External" /><Relationship Type="http://schemas.openxmlformats.org/officeDocument/2006/relationships/hyperlink" Id="rId157" Target="https://knowledge.uchicago.edu/record/7216" TargetMode="External" /><Relationship Type="http://schemas.openxmlformats.org/officeDocument/2006/relationships/hyperlink" Id="rId125"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68" Target="https://reports.ofsted.gov.uk/provider/23/136164" TargetMode="External" /><Relationship Type="http://schemas.openxmlformats.org/officeDocument/2006/relationships/hyperlink" Id="rId50"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62" Target="https://www.classdivide.co.uk/news/uk5uk5bxax0rvjz9q4tu4kgx2lbyhw" TargetMode="External" /><Relationship Type="http://schemas.openxmlformats.org/officeDocument/2006/relationships/hyperlink" Id="rId153" Target="https://www.gov.uk/government/publications/against-the-odds" TargetMode="External" /><Relationship Type="http://schemas.openxmlformats.org/officeDocument/2006/relationships/hyperlink" Id="rId105" Target="https://www.gov.uk/government/publications/every-child-achieving-and-thriving/every-child-achieving-and-thriving-html-version" TargetMode="External" /><Relationship Type="http://schemas.openxmlformats.org/officeDocument/2006/relationships/hyperlink" Id="rId155" Target="https://www.gov.uk/government/publications/examining-the-london-advantage-in-attainment-evidence-from-lsype" TargetMode="External" /><Relationship Type="http://schemas.openxmlformats.org/officeDocument/2006/relationships/hyperlink" Id="rId101" Target="https://www.gov.uk/government/publications/link-between-attendance-and-attainment" TargetMode="External" /><Relationship Type="http://schemas.openxmlformats.org/officeDocument/2006/relationships/hyperlink" Id="rId165"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33" Target="https://www.nfer.ac.uk/publications/supporting-the-attainment-of-disadvantaged-pupils-articulating-success-and-good-practice/" TargetMode="External" /><Relationship Type="http://schemas.openxmlformats.org/officeDocument/2006/relationships/hyperlink" Id="rId137" Target="https://www.nfer.ac.uk/publications/understanding-the-relationship-between-attendance-wellbeing-and-sense-of-belonging/" TargetMode="External" /><Relationship Type="http://schemas.openxmlformats.org/officeDocument/2006/relationships/hyperlink" Id="rId86" Target="https://www.urban.org/sites/default/files/publication/99027/time_to_school_and_student_outcomes_in_dc_1.pdf" TargetMode="External" /><Relationship Type="http://schemas.openxmlformats.org/officeDocument/2006/relationships/hyperlink" Id="rId48" Target="https://yourvoice.brighton-hove.gov.uk/en-GB/projects/school-admission-arrangements-public-consultation/1"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_\Dropbox\ResearchVarious\AI4CI\articles\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TF_Template_Word_Windows_2016.dotx</Template>
  <TotalTime>2</TotalTime>
  <Pages>49</Pages>
  <Words>11160</Words>
  <Characters>63615</Characters>
  <Application>Microsoft Office Word</Application>
  <DocSecurity>0</DocSecurity>
  <Lines>530</Lines>
  <Paragraphs>149</Paragraphs>
  <ScaleCrop>false</ScaleCrop>
  <Company/>
  <LinksUpToDate>false</LinksUpToDate>
  <CharactersWithSpaces>74626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Pulling the Right Lever: School Attainment, Open Data Analytics and Local Education Policy in England</dc:title>
  <dc:creator>Adam Dennett; Beatrice Taylor; Dan Campbell-Meiklejohn</dc:creator>
  <cp:keywords>school attainment, education policy, school absence, disadvantage gap, multilevel modelling, open data</cp:keywords>
  <dcterms:created xsi:type="dcterms:W3CDTF">2026-08-26T12:23:00Z</dcterms:created>
  <dcterms:modified xsi:type="dcterms:W3CDTF">2026-08-26T12:23:00Z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2026-08-26</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