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7BC6E" w14:textId="77777777" w:rsidR="00FD20CC" w:rsidRDefault="00FD20CC" w:rsidP="00FD20CC">
      <w:pPr>
        <w:pStyle w:val="Articletitle"/>
      </w:pPr>
      <w:r>
        <w:t>School Attainment, Open Data Analytics and Policy in England - Lessons from Brighton and Hove</w:t>
      </w:r>
    </w:p>
    <w:p w14:paraId="0B54AC71" w14:textId="77777777" w:rsidR="00FD20CC" w:rsidRDefault="00FD20CC" w:rsidP="00FD20CC"/>
    <w:p w14:paraId="4A6834DB" w14:textId="77777777" w:rsidR="00FD20CC" w:rsidRDefault="00FD20CC" w:rsidP="00FD20CC"/>
    <w:p w14:paraId="1AC08C2E" w14:textId="77777777" w:rsidR="00FD20CC" w:rsidRDefault="00FD20CC" w:rsidP="00FD20CC">
      <w:r>
        <w:t>Keywords:</w:t>
      </w:r>
    </w:p>
    <w:p w14:paraId="67CE7349" w14:textId="77777777" w:rsidR="00FD20CC" w:rsidRPr="00B6371F" w:rsidRDefault="00FD20CC" w:rsidP="00FD20CC">
      <w:r>
        <w:t>GCSE Attainment, Open Data, Local Education Policy, Brighton and Hove, Linear Mixed Effects Models</w:t>
      </w:r>
    </w:p>
    <w:p w14:paraId="17E353EA" w14:textId="202740E0" w:rsidR="00FD20CC" w:rsidRPr="00FD20CC" w:rsidRDefault="00FD20CC">
      <w:pPr>
        <w:spacing w:after="200" w:line="240" w:lineRule="auto"/>
        <w:rPr>
          <w:i/>
        </w:rPr>
      </w:pPr>
      <w:r>
        <w:rPr>
          <w:b/>
          <w:bCs/>
        </w:rPr>
        <w:br w:type="page"/>
      </w:r>
    </w:p>
    <w:p w14:paraId="789812D5" w14:textId="363E878F" w:rsidR="001A6FB3" w:rsidRPr="00FD20CC" w:rsidRDefault="00000000" w:rsidP="00FD20CC">
      <w:pPr>
        <w:pStyle w:val="FirstParagraph"/>
        <w:jc w:val="center"/>
        <w:rPr>
          <w:b/>
          <w:bCs/>
        </w:rPr>
      </w:pPr>
      <w:r w:rsidRPr="00FD20CC">
        <w:rPr>
          <w:b/>
          <w:bCs/>
        </w:rPr>
        <w:lastRenderedPageBreak/>
        <w:t>Abstract</w:t>
      </w:r>
    </w:p>
    <w:p w14:paraId="7D176ED6" w14:textId="1BC801D4" w:rsidR="00FD20CC" w:rsidRDefault="00000000">
      <w:pPr>
        <w:pStyle w:val="BodyTex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w:t>
      </w:r>
      <w:del w:id="0" w:author="Revision" w:date="2026-08-25T00:00:00Z">
        <w:r>
          <w:delText>England,</w:delText>
        </w:r>
      </w:del>
      <w:r>
        <w:t xml:space="preserve"> </w:t>
      </w:r>
      <w:ins w:id="1" w:author="Revision" w:date="2026-08-25T00:00:00Z">
        <w:r>
          <w:t>England in 2024-25 (and among the worst throughout the period),</w:t>
        </w:r>
      </w:ins>
      <w:r>
        <w:t xml:space="preserve">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p w14:paraId="62FADFAE" w14:textId="77777777" w:rsidR="00FD20CC" w:rsidRDefault="00FD20CC">
      <w:pPr>
        <w:spacing w:after="200" w:line="240" w:lineRule="auto"/>
      </w:pPr>
      <w:r>
        <w:br w:type="page"/>
      </w:r>
    </w:p>
    <w:p w14:paraId="0703F285" w14:textId="77777777" w:rsidR="001A6FB3" w:rsidRDefault="00000000">
      <w:pPr>
        <w:pStyle w:val="Heading1"/>
      </w:pPr>
      <w:bookmarkStart w:id="2" w:name="introduction"/>
      <w:r>
        <w:lastRenderedPageBreak/>
        <w:t>1. Introduction</w:t>
      </w:r>
    </w:p>
    <w:p w14:paraId="3D7B85A6" w14:textId="77777777" w:rsidR="001A6FB3" w:rsidRDefault="00000000">
      <w:pPr>
        <w:pStyle w:val="FirstParagraph"/>
      </w:pPr>
      <w:r>
        <w:t>Pupil outcomes, including attainment, are a recurrent policy theme given the established links to individual life outcomes (Farquharson et al. 2024) and our collective national success through measures such as economic productivity (Grant 2017). The UK Government’s 2026 schools white paper (DfE 2026) 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14:paraId="46C30706" w14:textId="77777777" w:rsidR="001A6FB3" w:rsidRDefault="00000000">
      <w:pPr>
        <w:pStyle w:val="BodyText"/>
      </w:pPr>
      <w:r>
        <w:t>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14:paraId="42F1433A" w14:textId="77777777" w:rsidR="001A6FB3" w:rsidRDefault="00000000">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 ‘driven by economic advantage’ and that redistributing pupils would narrow the attainment gap. The public response was overwhelmingly </w:t>
      </w:r>
      <w:r>
        <w:lastRenderedPageBreak/>
        <w:t>negative, yet parents and schools lacked the tools to challenge the proposals effectively and the core policy direction persisted, albeit slightly watered down.</w:t>
      </w:r>
    </w:p>
    <w:p w14:paraId="3CACDDF0" w14:textId="77777777" w:rsidR="001A6FB3" w:rsidRDefault="00000000">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w:t>
      </w:r>
      <w:del w:id="3" w:author="Revision" w:date="2026-08-25T00:00:00Z">
        <w:r>
          <w:delText>that</w:delText>
        </w:r>
      </w:del>
      <w:r>
        <w:t xml:space="preserve"> </w:t>
      </w:r>
      <w:ins w:id="4" w:author="Revision" w:date="2026-08-25T00:00:00Z">
        <w:r>
          <w:t xml:space="preserve">that, </w:t>
        </w:r>
        <w:r>
          <w:rPr>
            <w:i/>
            <w:iCs/>
          </w:rPr>
          <w:t>after controlling for absence in particular</w:t>
        </w:r>
        <w:r>
          <w:t>,</w:t>
        </w:r>
      </w:ins>
      <w:r>
        <w:t xml:space="preserve"> Brighton and Hove was already among the highest-performing LEAs nationally for taking students beyond those factors - ranking </w:t>
      </w:r>
      <w:del w:id="5" w:author="Revision" w:date="2026-08-25T00:00:00Z">
        <w:r>
          <w:delText>7th out</w:delText>
        </w:r>
      </w:del>
      <w:r>
        <w:t xml:space="preserve"> </w:t>
      </w:r>
      <w:ins w:id="6" w:author="Revision" w:date="2026-08-25T00:00:00Z">
        <w:r>
          <w:t>15th</w:t>
        </w:r>
      </w:ins>
      <w:r>
        <w:t xml:space="preserve"> of </w:t>
      </w:r>
      <w:del w:id="7" w:author="Revision" w:date="2026-08-25T00:00:00Z">
        <w:r>
          <w:delText>152</w:delText>
        </w:r>
      </w:del>
      <w:r>
        <w:t xml:space="preserve"> </w:t>
      </w:r>
      <w:ins w:id="8" w:author="Revision" w:date="2026-08-25T00:00:00Z">
        <w:r>
          <w:t>151</w:t>
        </w:r>
      </w:ins>
      <w:r>
        <w:t xml:space="preserve"> for disadvantaged pupils and </w:t>
      </w:r>
      <w:del w:id="9" w:author="Revision" w:date="2026-08-25T00:00:00Z">
        <w:r>
          <w:delText>5th</w:delText>
        </w:r>
      </w:del>
      <w:r>
        <w:t xml:space="preserve"> </w:t>
      </w:r>
      <w:ins w:id="10" w:author="Revision" w:date="2026-08-25T00:00:00Z">
        <w:r>
          <w:t>4th</w:t>
        </w:r>
      </w:ins>
      <w:r>
        <w:t xml:space="preserve"> for non-disadvantaged pupils. </w:t>
      </w:r>
      <w:ins w:id="11" w:author="Revision" w:date="2026-08-25T00:00:00Z">
        <w:r>
          <w:t>As we show later, that conditional ranking is itself a measure of how much the city’s severe absence problem is costing its disadvantaged pupils: set absence aside and the schools look exceptional; leave it in the ledger and the city is ordinary.</w:t>
        </w:r>
      </w:ins>
      <w:r>
        <w:t xml:space="preserve">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 “what can we learn from what the city is doing right?” and “would asking pupils to travel out of their communities to schools jeopardise this success?” Some rapidly-produced analysis was put into the public domain by some of the authors of this paper[^1], but as a response to, not a contribution to, policy formation.</w:t>
      </w:r>
    </w:p>
    <w:p w14:paraId="4ECB202C" w14:textId="77777777" w:rsidR="001A6FB3" w:rsidRDefault="00000000">
      <w:pPr>
        <w:pStyle w:val="BodyText"/>
      </w:pPr>
      <w:r>
        <w:t xml:space="preserve">The discussions that led to this paper took place over an 18-month period spanning the 2024 and 2025 admissions consultations and involved a diverse group of parents, academics, policy </w:t>
      </w:r>
      <w:r>
        <w:lastRenderedPageBreak/>
        <w:t xml:space="preserve">practitioners and school governors. We do not claim our model is optimal or novel - the variables and effects are very similar to those reported by Macleod et al. (2015) over a decade ago. Our intention is to show that with freely available open data and a small set of well-chosen variables, it is possible to build a model explaining </w:t>
      </w:r>
      <w:del w:id="12" w:author="Revision" w:date="2026-08-25T00:00:00Z">
        <w:r>
          <w:delText>over</w:delText>
        </w:r>
      </w:del>
      <w:r>
        <w:t xml:space="preserve"> </w:t>
      </w:r>
      <w:ins w:id="13" w:author="Revision" w:date="2026-08-25T00:00:00Z">
        <w:r>
          <w:t>close to</w:t>
        </w:r>
      </w:ins>
      <w:r>
        <w:t xml:space="preserve"> 80% of the variation in school-level Attainment 8, and then to use it to answer locally targeted questions such as: ‘is changing the social mix in schools likely to improve disadvantaged pupil attainment?’, ‘what is the most important factor affecting attainment in a particular LEA?’, and ‘which schools are doing better or worse than expected?’. We report effects in GCSE-point units rather than standard deviations so that they have more direct meaning for policy makers.</w:t>
      </w:r>
    </w:p>
    <w:p w14:paraId="619E059C" w14:textId="77777777" w:rsidR="001A6FB3" w:rsidRDefault="00000000">
      <w:pPr>
        <w:pStyle w:val="BodyText"/>
      </w:pPr>
      <w:r>
        <w:t>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14:paraId="064A1268" w14:textId="77777777" w:rsidR="001A6FB3" w:rsidRDefault="00000000">
      <w:pPr>
        <w:pStyle w:val="BodyText"/>
      </w:pPr>
      <w:r>
        <w:t>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p w14:paraId="62B0E65D" w14:textId="77777777" w:rsidR="001A6FB3" w:rsidRDefault="00000000">
      <w:pPr>
        <w:pStyle w:val="Heading1"/>
      </w:pPr>
      <w:bookmarkStart w:id="14" w:name="X6c5e88f05ffb4b99244fe6316fbbde4006e9a28"/>
      <w:bookmarkEnd w:id="2"/>
      <w:r>
        <w:lastRenderedPageBreak/>
        <w:t>2. Literature review: factors affecting pupil attainment</w:t>
      </w:r>
    </w:p>
    <w:p w14:paraId="37825BAC" w14:textId="77777777" w:rsidR="001A6FB3" w:rsidRDefault="00000000">
      <w:pPr>
        <w:pStyle w:val="Heading2"/>
      </w:pPr>
      <w:bookmarkStart w:id="15" w:name="X27e2b6e819b781033a4a4801b80f2ee81de4995"/>
      <w:r>
        <w:t>2.1 Socio-economic background and disadvantage</w:t>
      </w:r>
    </w:p>
    <w:p w14:paraId="1F039FD1" w14:textId="77777777" w:rsidR="001A6FB3" w:rsidRDefault="00000000">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 (Tuckett et al. 2023). It is this ‘attainment-gap’ 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w:t>
      </w:r>
      <w:del w:id="16" w:author="Revision" w:date="2026-08-25T00:00:00Z">
        <w:r>
          <w:delText>attainment.</w:delText>
        </w:r>
      </w:del>
      <w:r>
        <w:t xml:space="preserve"> </w:t>
      </w:r>
      <w:ins w:id="17" w:author="Revision" w:date="2026-08-25T00:00:00Z">
        <w:r>
          <w:t>attainment (for wider reviews and evidence syntheses, see e.g. Stopforth and Gayle (2025); Macleod et al. (2015); Tuckett et al. (2023)).</w:t>
        </w:r>
      </w:ins>
    </w:p>
    <w:p w14:paraId="6916CF98" w14:textId="77777777" w:rsidR="001A6FB3" w:rsidRDefault="00000000">
      <w:pPr>
        <w:pStyle w:val="BodyText"/>
      </w:pPr>
      <w:r>
        <w:t>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14:paraId="2B26DCAD" w14:textId="77777777" w:rsidR="001A6FB3" w:rsidRDefault="00000000">
      <w:pPr>
        <w:pStyle w:val="BodyText"/>
      </w:pPr>
      <w:r>
        <w:t>Inequalities in GCSE outcomes are substantially mediated by prior attainment at National Curriculum Key Stage 2 (KS2 - the latter stages of primary school from ages 7 to 11</w:t>
      </w:r>
      <w:r>
        <w:rPr>
          <w:rStyle w:val="FootnoteReference"/>
        </w:rPr>
        <w:footnoteReference w:id="1"/>
      </w:r>
      <w:r>
        <w:t xml:space="preserve">), reflecting </w:t>
      </w:r>
      <w:r>
        <w:lastRenderedPageBreak/>
        <w:t>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 ‘almost no cost’ - a conjecture that overlooks real-world consequences for communities, particularly where local social geographies mean de-concentration requires children travelling long distances.</w:t>
      </w:r>
    </w:p>
    <w:p w14:paraId="0CECA641" w14:textId="77777777" w:rsidR="001A6FB3" w:rsidRDefault="00000000">
      <w:pPr>
        <w:pStyle w:val="Heading2"/>
      </w:pPr>
      <w:bookmarkStart w:id="18" w:name="attendance"/>
      <w:bookmarkEnd w:id="15"/>
      <w:r>
        <w:t>2.2 Attendance</w:t>
      </w:r>
    </w:p>
    <w:p w14:paraId="6DB2B113" w14:textId="77777777" w:rsidR="001A6FB3" w:rsidRDefault="00000000">
      <w:pPr>
        <w:pStyle w:val="FirstParagraph"/>
      </w:pPr>
      <w:r>
        <w:t>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(Riordan et al. 2021) conclude that the correlation between attendance and progress is ‘most likely to be causal’.</w:t>
      </w:r>
    </w:p>
    <w:p w14:paraId="7B401F35" w14:textId="77777777" w:rsidR="001A6FB3" w:rsidRDefault="00000000">
      <w:pPr>
        <w:pStyle w:val="BodyText"/>
      </w:pPr>
      <w:r>
        <w:t xml:space="preserve">Post-pandemic persistent absence has risen sharply, from around 10.5% pre-pandemic to approximately 21.9% in secondary schools by 2023/24, with rates for FSM-eligible pupils </w:t>
      </w:r>
      <w:r>
        <w:lastRenderedPageBreak/>
        <w:t>around 32% (DfE 2025b). This compounds the challenge of disentangling school-level from pupil-level effects.</w:t>
      </w:r>
    </w:p>
    <w:p w14:paraId="65FA3774" w14:textId="77777777" w:rsidR="001A6FB3" w:rsidRDefault="00000000">
      <w:pPr>
        <w:pStyle w:val="BodyText"/>
      </w:pPr>
      <w:ins w:id="19" w:author="Revision" w:date="2026-08-25T00:00:00Z">
        <w:r>
          <w:t xml:space="preserve">How far attendance is amenable to </w:t>
        </w:r>
        <w:r>
          <w:rPr>
            <w:i/>
            <w:iCs/>
          </w:rPr>
          <w:t>school-level</w:t>
        </w:r>
        <w:r>
          <w:t xml:space="preserve"> 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ins>
    </w:p>
    <w:p w14:paraId="4B2E3914" w14:textId="77777777" w:rsidR="001A6FB3" w:rsidRDefault="00000000">
      <w:pPr>
        <w:pStyle w:val="Heading2"/>
      </w:pPr>
      <w:bookmarkStart w:id="20" w:name="other-factors"/>
      <w:bookmarkEnd w:id="18"/>
      <w:r>
        <w:t>2.3 Other factors</w:t>
      </w:r>
    </w:p>
    <w:p w14:paraId="4750893C" w14:textId="77777777" w:rsidR="001A6FB3" w:rsidRDefault="00000000">
      <w:pPr>
        <w:pStyle w:val="FirstParagraph"/>
      </w:pPr>
      <w:r>
        <w:t>Ethnic inequalities are persistent (Gillborn et al. 2017), though Gorard et al. (2025) show these are substantially reduced when controlling for pupil-level characteristics. The under-performance of disadvantaged White British pupils, particularly boys, has attracted policy attention, with causes contested between place-based deprivation and cultural factors (Strand 2021; Commons Education Committee 2021).</w:t>
      </w:r>
    </w:p>
    <w:p w14:paraId="77AD9BE2" w14:textId="77777777" w:rsidR="001A6FB3" w:rsidRDefault="00000000">
      <w:pPr>
        <w:pStyle w:val="BodyText"/>
      </w:pPr>
      <w:r>
        <w:t xml:space="preserve">School-level selectivity inflates raw performance metrics. Anders et al. (2024) find that the private school premium effectively disappears once socio-economic background is controlled </w:t>
      </w:r>
      <w:r>
        <w:lastRenderedPageBreak/>
        <w:t>for. Burgess et al. (2018) show grammar schools reinforce socio-economic stratification without overall attainment benefits.</w:t>
      </w:r>
    </w:p>
    <w:p w14:paraId="5A422C2E" w14:textId="77777777" w:rsidR="001A6FB3" w:rsidRDefault="00000000">
      <w:pPr>
        <w:pStyle w:val="BodyText"/>
      </w:pPr>
      <w:r>
        <w:t>Workforce factors including effective leadership (Zuccollo et al. 2023), teaching quality (Burgess et al. </w:t>
      </w:r>
      <w:del w:id="21" w:author="Revision" w:date="2026-08-25T00:00:00Z">
        <w:r>
          <w:delText>2023, 2022),</w:delText>
        </w:r>
      </w:del>
      <w:r>
        <w:t xml:space="preserve"> </w:t>
      </w:r>
      <w:ins w:id="22" w:author="Revision" w:date="2026-08-25T00:00:00Z">
        <w:r>
          <w:t>2023),</w:t>
        </w:r>
      </w:ins>
      <w:r>
        <w:t xml:space="preserve"> and teacher retention (Gibbons et al. 2018; Menzies 2023) contribute to variation in attainment, with effects felt most acutely by disadvantaged students (Allen et al. 2018). The ‘London Effect’ (the apparent boost to attainment for disadvantaged pupils who live in the Capital) (Ross et al. 2020) reflects a localised concentration of agency factors - parental expectations, homework hours, lower unauthorised absence - rather than a purely geographic phenomenon.</w:t>
      </w:r>
    </w:p>
    <w:p w14:paraId="37A5BCF3" w14:textId="77777777" w:rsidR="001A6FB3" w:rsidRDefault="00000000">
      <w:pPr>
        <w:pStyle w:val="BodyText"/>
      </w:pPr>
      <w:r>
        <w:t>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p w14:paraId="6C4E80C1" w14:textId="77777777" w:rsidR="001A6FB3" w:rsidRDefault="00000000">
      <w:pPr>
        <w:pStyle w:val="Heading1"/>
      </w:pPr>
      <w:bookmarkStart w:id="23" w:name="data-and-methods"/>
      <w:bookmarkEnd w:id="14"/>
      <w:bookmarkEnd w:id="20"/>
      <w:r>
        <w:t>3. Data and methods</w:t>
      </w:r>
    </w:p>
    <w:p w14:paraId="1AAE5B16" w14:textId="77777777" w:rsidR="001A6FB3" w:rsidRDefault="00000000">
      <w:pPr>
        <w:pStyle w:val="Heading2"/>
      </w:pPr>
      <w:bookmarkStart w:id="24" w:name="data"/>
      <w:r>
        <w:t>3.1 Data</w:t>
      </w:r>
    </w:p>
    <w:p w14:paraId="2DE90EEB" w14:textId="77777777" w:rsidR="001A6FB3" w:rsidRDefault="00000000">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w:t>
      </w:r>
      <w:r>
        <w:lastRenderedPageBreak/>
        <w:t>details are available in the supplementary material.</w:t>
      </w:r>
      <w:r>
        <w:rPr>
          <w:rStyle w:val="FootnoteReference"/>
        </w:rPr>
        <w:footnoteReference w:id="2"/>
      </w:r>
      <w:r>
        <w:t xml:space="preserve"> The full panel comprises 13,419 school-year observations from 3,523 academies and maintained schools across 152 LEAs. Independent schools, colleges and ‘special schools’ (those catering more for pupils with special educational needs and disabilities) are excluded. After the exclusion of cases with missing predictor values or imputation of those values required for the log-linear specification (principally missing workforce or Ofsted data in </w:t>
      </w:r>
      <w:del w:id="25" w:author="Revision" w:date="2026-08-25T00:00:00Z">
        <w:r>
          <w:delText>2024-25</w:delText>
        </w:r>
        <w:r>
          <w:rPr>
            <w:rStyle w:val="FootnoteReference"/>
          </w:rPr>
          <w:footnoteReference w:id="3"/>
        </w:r>
        <w:r>
          <w:delText>),</w:delText>
        </w:r>
      </w:del>
      <w:r>
        <w:t xml:space="preserve"> </w:t>
      </w:r>
      <w:ins w:id="28" w:author="Revision" w:date="2026-08-25T00:00:00Z">
        <w:r>
          <w:t>2024-25, together with KS2 prior attainment, which is not published for that year because</w:t>
        </w:r>
      </w:ins>
      <w:r>
        <w:t xml:space="preserve"> the </w:t>
      </w:r>
      <w:ins w:id="29" w:author="Revision" w:date="2026-08-25T00:00:00Z">
        <w:r>
          <w:t>relevant cohort’s primary assessments were cancelled during the pandemic - see section 3.2</w:t>
        </w:r>
        <w:r>
          <w:rPr>
            <w:rStyle w:val="FootnoteReference"/>
          </w:rPr>
          <w:footnoteReference w:id="4"/>
        </w:r>
        <w:r>
          <w:t>), the</w:t>
        </w:r>
      </w:ins>
      <w:r>
        <w:t xml:space="preserve"> analysis sample used in the models is approximately 12,200 observations. All data are school-level aggregates; interpretations relate to this level of aggregation.</w:t>
      </w:r>
    </w:p>
    <w:p w14:paraId="60EE227D" w14:textId="77777777" w:rsidR="001A6FB3" w:rsidRDefault="00000000">
      <w:pPr>
        <w:pStyle w:val="Heading2"/>
      </w:pPr>
      <w:bookmarkStart w:id="30" w:name="model-specification"/>
      <w:bookmarkEnd w:id="24"/>
      <w:r>
        <w:t>3.2 Model specification</w:t>
      </w:r>
    </w:p>
    <w:p w14:paraId="2AADFC70" w14:textId="77777777" w:rsidR="001A6FB3" w:rsidRDefault="00000000">
      <w:pPr>
        <w:pStyle w:val="FirstParagraph"/>
      </w:pPr>
      <w:r>
        <w:t xml:space="preserve">We fit multilevel linear mixed effects models (LMEs) with schools nested within LEAs within regions (Snijders 2012). The outcome is log-transformed Attainment 8 (for all, disadvantaged 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t>
      </w:r>
      <w:ins w:id="31" w:author="Revision" w:date="2026-08-25T00:00:00Z">
        <w:r>
          <w:lastRenderedPageBreak/>
          <w:t xml:space="preserve">We should be clear that the log transformation is </w:t>
        </w:r>
        <w:r>
          <w:rPr>
            <w:i/>
            <w:iCs/>
          </w:rPr>
          <w:t>not</w:t>
        </w:r>
        <w:r>
          <w:t xml:space="preserve"> applied uniformly to every predictor: only the four skewed, strictly-positive count-and-rate variables - the disadvantage, absence and EAL percentages and teacher sickness days - enter in logged form, chosen on the basis of fit and the interpretability of elasticities. This variable-by-variable choice, together with supporting diagnostics (component-plus-residual plots and a comparison of logged, linear and spline treatments), is documented in the supplementary material; the log form is retained where it both improves fit and yields a policy-legible elasticity, and a linear form is used otherwise. The remaining predictors, including mean KS2 prior attainment, the segregation index and the workforce proportions, enter linearly.</w:t>
        </w:r>
      </w:ins>
    </w:p>
    <w:p w14:paraId="6FBA2528" w14:textId="77777777" w:rsidR="001A6FB3" w:rsidRDefault="00000000">
      <w:pPr>
        <w:pStyle w:val="BodyText"/>
      </w:pPr>
      <w:r>
        <w:t>The model specification is:</w:t>
      </w:r>
    </w:p>
    <w:p w14:paraId="533072E1" w14:textId="77777777" w:rsidR="001A6FB3" w:rsidRDefault="00000000">
      <w:pPr>
        <w:pStyle w:val="BodyText"/>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m:rPr>
                      <m:nor/>
                    </m:rPr>
                    <m:t>ATT8</m:t>
                  </m:r>
                </m:e>
                <m:sub>
                  <m:r>
                    <w:rPr>
                      <w:rFonts w:ascii="Cambria Math" w:hAnsi="Cambria Math"/>
                    </w:rPr>
                    <m:t>ij</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kij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year</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Ofsted</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region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LA|region</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oMath>
      </m:oMathPara>
    </w:p>
    <w:p w14:paraId="04B40B9E" w14:textId="77777777" w:rsidR="001A6FB3" w:rsidRDefault="00000000">
      <w:pPr>
        <w:pStyle w:val="FirstParagraph"/>
      </w:pPr>
      <w:r>
        <w:t xml:space="preserve">where </w:t>
      </w:r>
      <m:oMath>
        <m:r>
          <w:rPr>
            <w:rFonts w:ascii="Cambria Math" w:hAnsi="Cambria Math"/>
          </w:rPr>
          <m:t>i</m:t>
        </m:r>
      </m:oMath>
      <w:r>
        <w:t xml:space="preserve"> indexes schools, </w:t>
      </w:r>
      <m:oMath>
        <m:r>
          <w:rPr>
            <w:rFonts w:ascii="Cambria Math" w:hAnsi="Cambria Math"/>
          </w:rPr>
          <m:t>j</m:t>
        </m:r>
      </m:oMath>
      <w:r>
        <w:t xml:space="preserve"> indexes year-observations, the </w:t>
      </w:r>
      <m:oMath>
        <m:sSub>
          <m:sSubPr>
            <m:ctrlPr>
              <w:rPr>
                <w:rFonts w:ascii="Cambria Math" w:hAnsi="Cambria Math"/>
              </w:rPr>
            </m:ctrlPr>
          </m:sSubPr>
          <m:e>
            <m:r>
              <w:rPr>
                <w:rFonts w:ascii="Cambria Math" w:hAnsi="Cambria Math"/>
              </w:rPr>
              <m:t>β</m:t>
            </m:r>
          </m:e>
          <m:sub>
            <m:r>
              <w:rPr>
                <w:rFonts w:ascii="Cambria Math" w:hAnsi="Cambria Math"/>
              </w:rPr>
              <m:t>k</m:t>
            </m:r>
          </m:sub>
        </m:sSub>
      </m:oMath>
      <w:r>
        <w:t xml:space="preserve"> are fixed-effect coefficients, and the </w:t>
      </w:r>
      <m:oMath>
        <m:r>
          <w:rPr>
            <w:rFonts w:ascii="Cambria Math" w:hAnsi="Cambria Math"/>
          </w:rPr>
          <m:t>u</m:t>
        </m:r>
      </m:oMath>
      <w:r>
        <w:t xml:space="preserve"> terms are random-effect intercepts for year, Ofsted rating, region, and LEA nested within region.</w:t>
      </w:r>
    </w:p>
    <w:p w14:paraId="0A2E52C4" w14:textId="77777777" w:rsidR="001A6FB3" w:rsidRDefault="00000000">
      <w:pPr>
        <w:pStyle w:val="BodyText"/>
      </w:pPr>
      <w:r>
        <w:t xml:space="preserve">Fixed-effect predictors comprise: log(% KS4 pupils who are disadvantaged - % FSM), log(% overall absence - % Absence), log(% pupils with English as an additional language - % EAL), </w:t>
      </w:r>
      <w:del w:id="32" w:author="Revision" w:date="2026-08-25T00:00:00Z">
        <w:r>
          <w:delText>% low</w:delText>
        </w:r>
      </w:del>
      <w:r>
        <w:t xml:space="preserve"> </w:t>
      </w:r>
      <w:ins w:id="33" w:author="Revision" w:date="2026-08-25T00:00:00Z">
        <w:r>
          <w:t>mean KS2</w:t>
        </w:r>
      </w:ins>
      <w:r>
        <w:t xml:space="preserve"> prior attainment </w:t>
      </w:r>
      <w:ins w:id="34" w:author="Revision" w:date="2026-08-25T00:00:00Z">
        <w:r>
          <w:t>(the cohort’s average KS2 scaled score, centred</w:t>
        </w:r>
      </w:ins>
      <w:r>
        <w:t xml:space="preserve"> at </w:t>
      </w:r>
      <w:del w:id="35" w:author="Revision" w:date="2026-08-25T00:00:00Z">
        <w:r>
          <w:delText>KS2,</w:delText>
        </w:r>
      </w:del>
      <w:r>
        <w:t xml:space="preserve"> </w:t>
      </w:r>
      <w:ins w:id="36" w:author="Revision" w:date="2026-08-25T00:00:00Z">
        <w:r>
          <w:t>the national standard of 100),</w:t>
        </w:r>
      </w:ins>
      <w:r>
        <w:t xml:space="preserve"> selective admissions (dummy), Gorard Segregation Index (LA-level), teacher retention rate, leadership pay proportion, and log(teacher sickness days). Variable selection was informed by the literature review and by the policy narrative in Brighton and Hove, </w:t>
      </w:r>
      <w:r>
        <w:lastRenderedPageBreak/>
        <w:t xml:space="preserve">where segregation featured prominently in the council justification. Full details of the variables and the full analysis panel can be found in the supplementary material </w:t>
      </w:r>
      <w:r>
        <w:rPr>
          <w:rStyle w:val="FootnoteReference"/>
        </w:rPr>
        <w:footnoteReference w:id="5"/>
      </w:r>
      <w:r>
        <w:t>.</w:t>
      </w:r>
    </w:p>
    <w:p w14:paraId="2E29DCAE" w14:textId="77777777" w:rsidR="001A6FB3" w:rsidRDefault="00000000">
      <w:pPr>
        <w:pStyle w:val="BodyText"/>
      </w:pPr>
      <w:ins w:id="37" w:author="Revision" w:date="2026-08-25T00:00:00Z">
        <w:r>
          <w:t xml:space="preserve">The selective-admissions variable is the DfE’s own performance-tables admissions classification, and within our state-funded sample it distinguishes three groups: wholly </w:t>
        </w:r>
        <w:r>
          <w:rPr>
            <w:i/>
            <w:iCs/>
          </w:rPr>
          <w:t>selective</w:t>
        </w:r>
        <w:r>
          <w:t xml:space="preserve"> state grammar schools that admit by an entrance test (166 schools, 4.8% of the sample); non-selective schools located in otherwise selective areas (234 schools, the reference category); and all other non-selective schools (the remaining ~88%). The estimate we report is therefore the effect of </w:t>
        </w:r>
        <w:r>
          <w:rPr>
            <w:i/>
            <w:iCs/>
          </w:rPr>
          <w:t>full</w:t>
        </w:r>
        <w:r>
          <w:t xml:space="preserve"> academic selection, benchmarked against non-selective schools whose intakes are shaped by the same local grammar systems. It does not capture partial selection, banding, aptitude-based selection or faith-based oversubscription criteria, all of which fall within the ‘other non-selective’ category and are consequently unmeasured here; faith schools in particular are not separately identified in the main model.</w:t>
        </w:r>
      </w:ins>
    </w:p>
    <w:p w14:paraId="1703D0E3" w14:textId="77777777" w:rsidR="001A6FB3" w:rsidRDefault="00000000">
      <w:pPr>
        <w:pStyle w:val="BodyText"/>
      </w:pPr>
      <w:ins w:id="38" w:author="Revision" w:date="2026-08-25T00:00:00Z">
        <w:r>
          <w:t xml:space="preserve">Two points on the prior-attainment control deserve emphasis. First, we control for prior attainment using the cohort’s </w:t>
        </w:r>
        <w:r>
          <w:rPr>
            <w:i/>
            <w:iCs/>
          </w:rPr>
          <w:t>mean KS2 scaled score</w:t>
        </w:r>
        <w:r>
          <w:t>,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6"/>
        </w:r>
        <w:r>
          <w:t xml:space="preserve"> For 2024-25 we therefore carry forward </w:t>
        </w:r>
        <w:r>
          <w:lastRenderedPageBreak/>
          <w:t>each school’s most recently observed value (or, where that is unavailable, its mean across observed years), and the affected rows are flagged in the panel. 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later in the paper.</w:t>
        </w:r>
      </w:ins>
    </w:p>
    <w:p w14:paraId="0871477F" w14:textId="77777777" w:rsidR="001A6FB3" w:rsidRDefault="00000000">
      <w:pPr>
        <w:pStyle w:val="BodyText"/>
      </w:pPr>
      <w:ins w:id="70" w:author="Revision" w:date="2026-08-25T00:00:00Z">
        <w:r>
          <w:t xml:space="preserve">An earlier version of this analysis controlled for prior attainment using only the </w:t>
        </w:r>
        <w:r>
          <w:rPr>
            <w:i/>
            <w:iCs/>
          </w:rPr>
          <w:t>percentage of pupils with low KS2 prior attainment</w:t>
        </w:r>
        <w:r>
          <w:t xml:space="preserve">. In this iteration we look at the mean KS2 score and discuss the difference here because it materially affects two of 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 model controlling only for the low-attainment share cannot distinguish them, and so systematically under-adjusts for schools whose advantage lies at the </w:t>
        </w:r>
        <w:r>
          <w:rPr>
            <w:i/>
            <w:iCs/>
          </w:rPr>
          <w:t>top</w:t>
        </w:r>
        <w:r>
          <w:t xml:space="preserve"> of the distribution. Mean KS2 score, in contrast, reflects the whole distribution - both tails - and produces a better model fit (a reduction in AIC of over 500 for the all-pupil model); once it is included, the low-attainment share adds nothing further (t = -0.45).</w:t>
        </w:r>
      </w:ins>
    </w:p>
    <w:p w14:paraId="7CD07AFF" w14:textId="77777777" w:rsidR="001A6FB3" w:rsidRDefault="00000000">
      <w:pPr>
        <w:pStyle w:val="BodyText"/>
      </w:pPr>
      <w:ins w:id="71" w:author="Revision" w:date="2026-08-25T00:00:00Z">
        <w:r>
          <w:lastRenderedPageBreak/>
          <w:t xml:space="preserve">This matters for the analysis we report. The coefficient on concentrations of disadvantage falls by roughly a </w:t>
        </w:r>
        <w:r>
          <w:rPr>
            <w:i/>
            <w:iCs/>
          </w:rPr>
          <w:t>quarter</w:t>
        </w:r>
        <w:r>
          <w:t xml:space="preserve"> for all pupils, because the low-attainment share had been leaving part of the intake difference between high- and low-FSM schools unmeasured, and the FSM variable had been absorbing it. Properly controlled, disadvantage concentration is an even </w:t>
        </w:r>
        <w:r>
          <w:rPr>
            <w:i/>
            <w:iCs/>
          </w:rPr>
          <w:t>weaker</w:t>
        </w:r>
        <w:r>
          <w:t xml:space="preserve"> predictor of attainment than our earlier specification implied. For disadvantaged pupils specifically, the positive coefficient on disadvantage concentration becomes both larger and far more clearly distinguishable from zero (</w:t>
        </w:r>
        <w:r>
          <w:rPr>
            <w:i/>
            <w:iCs/>
          </w:rPr>
          <w:t>t</w:t>
        </w:r>
        <w:r>
          <w:t xml:space="preserve"> rising from 2.1 to 5.6) - disadvantaged pupils in high disadvantage schools are even more positively affected by this than our earlier specification led us to believe. The absence coefficient, by contrast, barely moves - under 3% in either pupil group - so the paper’s central finding is unaffected by the choice. The practical lesson is that in modelling KS4 outcomes it is not sufficient to ask how many pupils arrived behind; how many arrived ahead matters just as much, and a control that sees only one tail will quietly over-credit schools for intake advantages they did not create.</w:t>
        </w:r>
      </w:ins>
    </w:p>
    <w:p w14:paraId="650B7AC0" w14:textId="77777777" w:rsidR="001A6FB3" w:rsidRDefault="00000000">
      <w:pPr>
        <w:pStyle w:val="BodyText"/>
      </w:pPr>
      <w:ins w:id="72" w:author="Revision" w:date="2026-08-25T00:00:00Z">
        <w:r>
          <w:t xml:space="preserve">It is worth saying something about how we should be cautious in our interpretation following this improvement. Prior attainment at Key Stage 2 is not independent of disadvantage: it is in quiet a large way its accumulated product, reflecting the inequalities a child has already experienced before secondary school ever begins (Stopforth and Gayle 2025; Gorard and Siddiqui 2019). A control that captures the whole intake distribution therefore absorbs correspondingly more of the poverty signal than one that captures a single tail - which is precisely why the disadvantage coefficient attenuates as it does when we make the switch. The coefficient that survives this control should not, then, be read as an estimate of how much poverty matters to attainment. It is a </w:t>
        </w:r>
        <w:r>
          <w:rPr>
            <w:i/>
            <w:iCs/>
          </w:rPr>
          <w:t>within-intake</w:t>
        </w:r>
        <w:r>
          <w:t xml:space="preserve"> comparison: what remains once schools receiving similar cohorts are set alongside one another. The total contribution of disadvantage to </w:t>
        </w:r>
        <w:r>
          <w:lastRenderedPageBreak/>
          <w:t xml:space="preserve">attainment is substantially larger than that residual coefficient implies, and nothing in our analysis should be taken to suggest otherwise. What our models do identify is the marginal association with the </w:t>
        </w:r>
        <w:r>
          <w:rPr>
            <w:i/>
            <w:iCs/>
          </w:rPr>
          <w:t>concentration</w:t>
        </w:r>
        <w:r>
          <w:t xml:space="preserve"> of disadvantage at school level, holding intake constant - a much narrower quantity, and the one the 2023 (FSM priority) and 2024 (increased mixing) Brighton and Hove policy propositions actually turned on.</w:t>
        </w:r>
      </w:ins>
    </w:p>
    <w:p w14:paraId="04710A2B" w14:textId="77777777" w:rsidR="001A6FB3" w:rsidRDefault="00000000">
      <w:pPr>
        <w:pStyle w:val="BodyText"/>
      </w:pPr>
      <w:r>
        <w:t xml:space="preserve">We fit separate models for overall Attainment 8, disadvantaged-pupil Attainment 8, and non-disadvantaged-pupil Attainment 8, as both panel models (all four years) and individual year models. Models were estimated using the </w:t>
      </w:r>
      <w:r>
        <w:rPr>
          <w:rStyle w:val="VerbatimChar"/>
        </w:rPr>
        <w:t>lme4</w:t>
      </w:r>
      <w:r>
        <w:t xml:space="preserve"> package in R with Restricted Maximum Likelihood estimation.</w:t>
      </w:r>
    </w:p>
    <w:p w14:paraId="7F9FD51B" w14:textId="77777777" w:rsidR="001A6FB3" w:rsidRDefault="00000000">
      <w:pPr>
        <w:pStyle w:val="Heading1"/>
      </w:pPr>
      <w:bookmarkStart w:id="73" w:name="results"/>
      <w:bookmarkEnd w:id="23"/>
      <w:bookmarkEnd w:id="30"/>
      <w:r>
        <w:t>4. Results</w:t>
      </w:r>
    </w:p>
    <w:p w14:paraId="31BF6392" w14:textId="77777777" w:rsidR="001A6FB3" w:rsidRDefault="00000000">
      <w:pPr>
        <w:pStyle w:val="Heading2"/>
      </w:pPr>
      <w:bookmarkStart w:id="74" w:name="model-fit"/>
      <w:r>
        <w:t>4.1 Model fit</w:t>
      </w:r>
    </w:p>
    <w:p w14:paraId="165BAE22" w14:textId="77777777" w:rsidR="001A6FB3" w:rsidRDefault="00000000">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 </w:t>
      </w:r>
      <w:del w:id="75" w:author="Revision" w:date="2026-08-25T00:00:00Z">
        <w:r>
          <w:delText>general to</w:delText>
        </w:r>
      </w:del>
      <w:r>
        <w:t xml:space="preserve"> calculate indicative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For all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plus random effects) is </w:t>
      </w:r>
      <w:del w:id="76" w:author="Revision" w:date="2026-08-25T00:00:00Z">
        <w:r>
          <w:delText>0.77,</w:delText>
        </w:r>
      </w:del>
      <w:r>
        <w:t xml:space="preserve"> </w:t>
      </w:r>
      <w:ins w:id="77" w:author="Revision" w:date="2026-08-25T00:00:00Z">
        <w:r>
          <w:t>0.78,</w:t>
        </w:r>
      </w:ins>
      <w:r>
        <w:t xml:space="preserve"> with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effects alone) of </w:t>
      </w:r>
      <w:del w:id="78" w:author="Revision" w:date="2026-08-25T00:00:00Z">
        <w:r>
          <w:delText>0.63.</w:delText>
        </w:r>
      </w:del>
      <w:r>
        <w:t xml:space="preserve"> </w:t>
      </w:r>
      <w:ins w:id="79" w:author="Revision" w:date="2026-08-25T00:00:00Z">
        <w:r>
          <w:t>0.65.</w:t>
        </w:r>
      </w:ins>
      <w:r>
        <w:t xml:space="preserve"> For disadvantaged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is 0.73; for non-disadvantaged pupils, </w:t>
      </w:r>
      <w:del w:id="80" w:author="Revision" w:date="2026-08-25T00:00:00Z">
        <w:r>
          <w:delText>0.79.</w:delText>
        </w:r>
      </w:del>
      <w:r>
        <w:t xml:space="preserve"> </w:t>
      </w:r>
      <w:ins w:id="81" w:author="Revision" w:date="2026-08-25T00:00:00Z">
        <w:r>
          <w:t>0.8.</w:t>
        </w:r>
      </w:ins>
      <w:r>
        <w:t xml:space="preserve"> School-level attainment is remarkably predictable from these structural factors, which makes them very useful for exploring the effectiveness of local policy levers.</w:t>
      </w:r>
    </w:p>
    <w:p w14:paraId="56341CE0" w14:textId="77777777" w:rsidR="001A6FB3" w:rsidRDefault="00000000">
      <w:pPr>
        <w:pStyle w:val="Heading2"/>
      </w:pPr>
      <w:bookmarkStart w:id="82" w:name="stepwise-decomposition"/>
      <w:bookmarkEnd w:id="74"/>
      <w:r>
        <w:lastRenderedPageBreak/>
        <w:t>4.2 Stepwise decomposition</w:t>
      </w:r>
    </w:p>
    <w:p w14:paraId="2844A501" w14:textId="77777777" w:rsidR="001A6FB3" w:rsidRDefault="00000000">
      <w:pPr>
        <w:pStyle w:val="FirstParagraph"/>
      </w:pPr>
      <w:del w:id="83" w:author="Revision" w:date="2026-08-25T00:00:00Z">
        <w:r>
          <w:delText>+:———————————————————————————————————————————————————————:+</w:delText>
        </w:r>
      </w:del>
      <w:r>
        <w:t xml:space="preserve"> </w:t>
      </w:r>
      <w:ins w:id="84" w:author="Revision" w:date="2026-08-25T00:00:00Z">
        <w:r>
          <w:rPr>
            <w:i/>
            <w:iCs/>
          </w:rPr>
          <w:t>[Table 1: Stepwise progression to the full multilevel model for overall Attainment 8. — about here]</w:t>
        </w:r>
      </w:ins>
    </w:p>
    <w:p w14:paraId="6C7AD2DB" w14:textId="77777777" w:rsidR="001A6FB3" w:rsidRDefault="00000000">
      <w:pPr>
        <w:pStyle w:val="BodyText"/>
      </w:pPr>
      <w:r>
        <w:t xml:space="preserve">The stepwise progression in </w:t>
      </w:r>
      <w:hyperlink w:anchor="tbl-stepwise">
        <w:r>
          <w:rPr>
            <w:rStyle w:val="Hyperlink"/>
          </w:rPr>
          <w:t>Table 1</w:t>
        </w:r>
      </w:hyperlink>
      <w:r>
        <w:t xml:space="preserve"> 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close to 70% of attainment variation is explained, with the t-values (in some respects a standardised version of the coefficients allowing for a degree of relative comparison) showing that % absence (t = -60.5) is the most important variable, mean KS2 prior attainment (t = 58.2) the next most important and % FSM the least influential (t = -21.0).</w:t>
      </w:r>
    </w:p>
    <w:p w14:paraId="3EF7FDF1" w14:textId="77777777" w:rsidR="001A6FB3" w:rsidRDefault="00000000">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from 0.65 (marginal) to 0.78 (conditional), indicating that 13% of attainment variance is tied to these grouping factors - </w:t>
      </w:r>
      <w:r>
        <w:lastRenderedPageBreak/>
        <w:t>capturing unmeasured factors such as school culture, leadership quality, local authority support services, and community characteristics.</w:t>
      </w:r>
    </w:p>
    <w:p w14:paraId="4AD5CD0F" w14:textId="77777777" w:rsidR="001A6FB3" w:rsidRDefault="00000000">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 The fixed-effect form is also informative in its own right: relative to an ‘Outstanding’ school, and holding intake constant, a ‘Good’ rating is associated with roughly 1.9 fewer Attainment 8 points, ‘Requires Improvement’ with 4.0 fewer, and ‘Inadequate’ 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 </w:t>
      </w:r>
      <w:r>
        <w:rPr>
          <w:i/>
          <w:iCs/>
        </w:rPr>
        <w:t>increases</w:t>
      </w:r>
      <w:r>
        <w:t xml:space="preserve"> the estimated absence effect by 12–15%, so its inclusion makes our headline absence figure, if anything, conservative.</w:t>
      </w:r>
    </w:p>
    <w:p w14:paraId="07288F5F" w14:textId="77777777" w:rsidR="001A6FB3" w:rsidRDefault="00000000">
      <w:pPr>
        <w:pStyle w:val="BodyText"/>
      </w:pPr>
      <w:del w:id="85" w:author="Revision" w:date="2026-08-25T00:00:00Z">
        <w:r>
          <w:delText xml:space="preserve">The stepwise progression in </w:delText>
        </w:r>
      </w:del>
      <w:r>
        <w:fldChar w:fldCharType="begin"/>
      </w:r>
      <w:r>
        <w:instrText>HYPERLINK \l "tbl-stepwise" \h</w:instrText>
      </w:r>
      <w:r>
        <w:fldChar w:fldCharType="separate"/>
      </w:r>
      <w:del w:id="86" w:author="Revision" w:date="2026-08-25T00:00:00Z">
        <w:r>
          <w:rPr>
            <w:rStyle w:val="Hyperlink"/>
          </w:rPr>
          <w:delText>Table 1</w:delText>
        </w:r>
      </w:del>
      <w:r>
        <w:fldChar w:fldCharType="end"/>
      </w:r>
      <w:del w:id="87" w:author="Revision" w:date="2026-08-25T00:00:00Z">
        <w:r>
          <w:delText xml:space="preserve"> 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w:delText>
        </w:r>
        <w:r>
          <w:lastRenderedPageBreak/>
          <w:delText>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delText>
        </w:r>
      </w:del>
    </w:p>
    <w:p w14:paraId="3A10D799" w14:textId="77777777" w:rsidR="001A6FB3" w:rsidRDefault="00000000">
      <w:pPr>
        <w:pStyle w:val="BodyText"/>
      </w:pPr>
      <w:del w:id="88" w:author="Revision" w:date="2026-08-25T00:00:00Z">
        <w:r>
          <w:delText xml:space="preserve">Model 4 adds additional fixed effects including EAL proportions, selective admissions, workforce variables and the Gorard Segregation Index. Model 5 adds random effects for year, Ofsted rating, region and LEA nested within region, lifting the conditional </w:delText>
        </w:r>
      </w:del>
      <m:oMath>
        <m:sSup>
          <m:sSupPr>
            <m:ctrlPr>
              <w:rPr>
                <w:rFonts w:ascii="Cambria Math" w:hAnsi="Cambria Math"/>
              </w:rPr>
            </m:ctrlPr>
          </m:sSupPr>
          <m:e>
            <m:r>
              <w:del w:id="89" w:author="Revision" w:date="2026-08-25T00:00:00Z">
                <w:rPr>
                  <w:rFonts w:ascii="Cambria Math" w:hAnsi="Cambria Math"/>
                </w:rPr>
                <m:t>R</m:t>
              </w:del>
            </m:r>
          </m:e>
          <m:sup>
            <m:r>
              <w:del w:id="90" w:author="Revision" w:date="2026-08-25T00:00:00Z">
                <w:rPr>
                  <w:rFonts w:ascii="Cambria Math" w:hAnsi="Cambria Math"/>
                </w:rPr>
                <m:t>2</m:t>
              </w:del>
            </m:r>
          </m:sup>
        </m:sSup>
      </m:oMath>
      <w:del w:id="91" w:author="Revision" w:date="2026-08-25T00:00:00Z">
        <w:r>
          <w:delText xml:space="preserve"> from 0.63 (marginal) to approximately 0.77, indicating that 14% of attainment variance is tied to these grouping factors — capturing unmeasured factors such as school culture, leadership quality, local authority support services, and community characteristics.</w:delText>
        </w:r>
      </w:del>
    </w:p>
    <w:p w14:paraId="332BE93E" w14:textId="77777777" w:rsidR="001A6FB3" w:rsidRDefault="00000000">
      <w:pPr>
        <w:pStyle w:val="BodyText"/>
      </w:pPr>
      <w:r>
        <w:t>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14:paraId="369FAF23" w14:textId="77777777" w:rsidR="001A6FB3" w:rsidRDefault="00000000">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w:t>
      </w:r>
      <w:r>
        <w:lastRenderedPageBreak/>
        <w:t xml:space="preserve">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t>
      </w:r>
      <w:ins w:id="92" w:author="Revision" w:date="2026-08-25T00:00:00Z">
        <w:r>
          <w:t>We make the practical magnitude concrete in section 5.3 (</w:t>
        </w:r>
      </w:ins>
      <w:r>
        <w:fldChar w:fldCharType="begin"/>
      </w:r>
      <w:r>
        <w:instrText>HYPERLINK \l "fig-accelerating-returns" \h</w:instrText>
      </w:r>
      <w:r>
        <w:fldChar w:fldCharType="separate"/>
      </w:r>
      <w:ins w:id="93" w:author="Revision" w:date="2026-08-25T00:00:00Z">
        <w:r>
          <w:rPr>
            <w:rStyle w:val="Hyperlink"/>
          </w:rPr>
          <w:t>Figure 4</w:t>
        </w:r>
      </w:ins>
      <w:r>
        <w:fldChar w:fldCharType="end"/>
      </w:r>
      <w:ins w:id="94" w:author="Revision" w:date="2026-08-25T00:00:00Z">
        <w:r>
          <w:t>), which translates the coefficients into the expected Attainment 8 gain from a one-percentage-point change at each point along the absence and disadvantage distributions.</w:t>
        </w:r>
      </w:ins>
    </w:p>
    <w:p w14:paraId="270EB3B9" w14:textId="77777777" w:rsidR="001A6FB3" w:rsidRDefault="00000000">
      <w:pPr>
        <w:pStyle w:val="Heading2"/>
      </w:pPr>
      <w:bookmarkStart w:id="95" w:name="relative-variable-importance"/>
      <w:bookmarkEnd w:id="82"/>
      <w:r>
        <w:t>4.3 Relative variable importance</w:t>
      </w:r>
    </w:p>
    <w:p w14:paraId="7A118A28" w14:textId="77777777" w:rsidR="001A6FB3" w:rsidRDefault="00000000">
      <w:pPr>
        <w:pStyle w:val="FirstParagraph"/>
      </w:pPr>
      <w:del w:id="96" w:author="Revision" w:date="2026-08-25T00:00:00Z">
        <w:r>
          <w:delText>+:———————————————————————————————————————————————————————————:+</w:delText>
        </w:r>
      </w:del>
      <w:r>
        <w:t xml:space="preserve"> </w:t>
      </w:r>
      <w:ins w:id="97" w:author="Revision" w:date="2026-08-25T00:00:00Z">
        <w:r>
          <w:rPr>
            <w:i/>
            <w:iCs/>
          </w:rPr>
          <w:t>[Figure 1: Standardised coefficients showing relative variable importance across pupil groups. Bars show the change in log(ATT8) associated with a one-SD shift in each predictor. — about here]</w:t>
        </w:r>
      </w:ins>
    </w:p>
    <w:p w14:paraId="0DEE2B74" w14:textId="77777777" w:rsidR="001A6FB3" w:rsidRDefault="00000000">
      <w:pPr>
        <w:pStyle w:val="BodyText"/>
      </w:pPr>
      <w:hyperlink w:anchor="fig-standardised-coefficients">
        <w:r>
          <w:rPr>
            <w:rStyle w:val="Hyperlink"/>
          </w:rPr>
          <w:t>Figure 1</w:t>
        </w:r>
      </w:hyperlink>
      <w:r>
        <w:t xml:space="preserve"> compares the standardised coefficients</w:t>
      </w:r>
      <w:r>
        <w:rPr>
          <w:rStyle w:val="FootnoteReference"/>
        </w:rPr>
        <w:footnoteReference w:id="7"/>
      </w:r>
      <w:r>
        <w:t xml:space="preserve"> across all three pupil groups (all pupils, disadvantaged pupils and non-disadvantaged pupils - full model outputs available in the supplementary materials</w:t>
      </w:r>
      <w:r>
        <w:rPr>
          <w:rStyle w:val="FootnoteReference"/>
        </w:rPr>
        <w:footnoteReference w:id="8"/>
      </w:r>
      <w:r>
        <w:t xml:space="preserve">). Two predictors stand well clear of the rest, and which of them leads depends on the pupil group. Mean KS2 prior attainment has the largest standardised coefficient </w:t>
      </w:r>
      <w:r>
        <w:lastRenderedPageBreak/>
        <w:t xml:space="preserve">for all pupils and for non-disadvantaged pupils; for disadvantaged pupils, absence is larger. Prior attainment enters with a </w:t>
      </w:r>
      <w:r>
        <w:rPr>
          <w:i/>
          <w:iCs/>
        </w:rPr>
        <w:t>positive</w:t>
      </w:r>
      <w:r>
        <w:t xml:space="preserve"> sign - cohorts arriving from primary school with higher average KS2 scores go on to higher Attainment 8 - and its prominence is unsurprising, since it is the closest thing in the model to a direct measure of the intake a school receives.</w:t>
      </w:r>
    </w:p>
    <w:p w14:paraId="0505ABA1" w14:textId="77777777" w:rsidR="001A6FB3" w:rsidRDefault="00000000">
      <w:pPr>
        <w:pStyle w:val="BodyText"/>
      </w:pPr>
      <w:r>
        <w:t>The distinction that matters for policy is that these two variables are not equally available to act on. Prior attainment is inherited: for a cohort already in secondary school it is fixed, and no admissions or improvement decision taken by a local authority can alter it. It belongs in the model as a control for intake, not as a lever. Absence, by contrast, is at least partly open to intervention, and it is the largest such factor for every pupil group. It is also markedly more important for disadvantaged pupils, accounting for 33% of the combined standardised effect of all nine predictors for that group, against 26% for non-disadvantaged pupils.</w:t>
      </w:r>
    </w:p>
    <w:p w14:paraId="4595F297" w14:textId="77777777" w:rsidR="001A6FB3" w:rsidRDefault="00000000">
      <w:pPr>
        <w:pStyle w:val="BodyText"/>
      </w:pPr>
      <w:hyperlink w:anchor="fig-standardised-coefficients">
        <w:r>
          <w:rPr>
            <w:rStyle w:val="Hyperlink"/>
          </w:rPr>
          <w:t>Figure 1</w:t>
        </w:r>
      </w:hyperlink>
      <w:r>
        <w:t xml:space="preserve"> 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p>
    <w:p w14:paraId="2488600D" w14:textId="77777777" w:rsidR="001A6FB3" w:rsidRDefault="00000000">
      <w:pPr>
        <w:pStyle w:val="BodyText"/>
      </w:pPr>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 </w:t>
      </w:r>
      <w:r>
        <w:rPr>
          <w:i/>
          <w:iCs/>
        </w:rPr>
        <w:t>positive</w:t>
      </w:r>
      <w:r>
        <w:t xml:space="preserve"> - after controlling </w:t>
      </w:r>
      <w:r>
        <w:lastRenderedPageBreak/>
        <w:t>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9"/>
      </w:r>
      <w:r>
        <w:t xml:space="preserve"> In the full multilevel model, this positive coefficient shrinks substantially, suggesting the effect operates through LEA-level and Ofsted-level factors rather than concentration </w:t>
      </w:r>
      <w:r>
        <w:rPr>
          <w:i/>
          <w:iCs/>
        </w:rPr>
        <w:t>per se</w:t>
      </w:r>
      <w:r>
        <w:t xml:space="preserve"> - schools with higher FSM proportions in certain LEAs appear to have developed effective support systems, possibly through targeted use of Pupil Premium funding and other specialisations.</w:t>
      </w:r>
    </w:p>
    <w:p w14:paraId="1ED99A5B" w14:textId="77777777" w:rsidR="001A6FB3" w:rsidRDefault="00000000">
      <w:pPr>
        <w:pStyle w:val="BodyText"/>
      </w:pPr>
      <w:r>
        <w:fldChar w:fldCharType="begin"/>
      </w:r>
      <w:r>
        <w:instrText>HYPERLINK \l "fig-standardised-coefficients" \h</w:instrText>
      </w:r>
      <w:r>
        <w:fldChar w:fldCharType="separate"/>
      </w:r>
      <w:del w:id="105" w:author="Revision" w:date="2026-08-25T00:00:00Z">
        <w:r>
          <w:rPr>
            <w:rStyle w:val="Hyperlink"/>
          </w:rPr>
          <w:delText>Figure 1</w:delText>
        </w:r>
      </w:del>
      <w:r>
        <w:fldChar w:fldCharType="end"/>
      </w:r>
      <w:del w:id="106" w:author="Revision" w:date="2026-08-25T00:00:00Z">
        <w:r>
          <w:delText xml:space="preserve"> compares</w:delText>
        </w:r>
      </w:del>
      <w:r>
        <w:t xml:space="preserve"> </w:t>
      </w:r>
      <w:ins w:id="107" w:author="Revision" w:date="2026-08-25T00:00:00Z">
        <w:r>
          <w:t>We should be careful about</w:t>
        </w:r>
      </w:ins>
      <w:r>
        <w:t xml:space="preserve"> the </w:t>
      </w:r>
      <w:del w:id="108" w:author="Revision" w:date="2026-08-25T00:00:00Z">
        <w:r>
          <w:delText>standardised coefficients</w:delText>
        </w:r>
        <w:r>
          <w:rPr>
            <w:rStyle w:val="FootnoteReference"/>
          </w:rPr>
          <w:footnoteReference w:id="10"/>
        </w:r>
        <w:r>
          <w:delText xml:space="preserve"> across all three pupil groups (all pupils,</w:delText>
        </w:r>
      </w:del>
      <w:r>
        <w:t xml:space="preserve"> </w:t>
      </w:r>
      <w:ins w:id="159" w:author="Revision" w:date="2026-08-25T00:00:00Z">
        <w:r>
          <w:t>interpretation of this positive coefficient. One reading is that equivalent</w:t>
        </w:r>
      </w:ins>
      <w:r>
        <w:t xml:space="preserve"> </w:t>
      </w:r>
      <w:r>
        <w:lastRenderedPageBreak/>
        <w:t xml:space="preserve">disadvantaged pupils </w:t>
      </w:r>
      <w:del w:id="160" w:author="Revision" w:date="2026-08-25T00:00:00Z">
        <w:r>
          <w:delText>and non-disadvantaged</w:delText>
        </w:r>
      </w:del>
      <w:r>
        <w:t xml:space="preserve"> </w:t>
      </w:r>
      <w:ins w:id="161" w:author="Revision" w:date="2026-08-25T00:00:00Z">
        <w:r>
          <w:t>do genuinely better in higher-concentration schools (‘differing effects’). But an alternative is that the FSM binary cannot distinguish the depth or duration of disadvantage, so the disadvantaged</w:t>
        </w:r>
      </w:ins>
      <w:r>
        <w:t xml:space="preserve"> pupils </w:t>
      </w:r>
      <w:del w:id="162" w:author="Revision" w:date="2026-08-25T00:00:00Z">
        <w:r>
          <w:delText>- full model outputs available</w:delText>
        </w:r>
      </w:del>
      <w:r>
        <w:t xml:space="preserve"> in </w:t>
      </w:r>
      <w:ins w:id="163" w:author="Revision" w:date="2026-08-25T00:00:00Z">
        <w:r>
          <w:t>a 50%-FSM school may differ systematically from those in a 20%-FSM school in ways our aggregate measures do not capture (‘differing pupils’). We cannot unpick which with school-level data, and we do not try to. The consistency of</w:t>
        </w:r>
      </w:ins>
      <w:r>
        <w:t xml:space="preserve"> the </w:t>
      </w:r>
      <w:del w:id="164" w:author="Revision" w:date="2026-08-25T00:00:00Z">
        <w:r>
          <w:delText>supplementary materials</w:delText>
        </w:r>
        <w:r>
          <w:rPr>
            <w:rStyle w:val="FootnoteReference"/>
          </w:rPr>
          <w:footnoteReference w:id="11"/>
        </w:r>
        <w:r>
          <w:delText>). Absence</w:delText>
        </w:r>
      </w:del>
      <w:r>
        <w:t xml:space="preserve"> </w:t>
      </w:r>
      <w:ins w:id="168" w:author="Revision" w:date="2026-08-25T00:00:00Z">
        <w:r>
          <w:t>result across multiple operationalisations of both disadvantage and disadvantaged attainment makes a pure measurement artefact less likely, and the stronger positive association we observe on the vocational/technical component of Attainment 8 (supplementary material)</w:t>
        </w:r>
      </w:ins>
      <w:r>
        <w:t xml:space="preserve"> is </w:t>
      </w:r>
      <w:ins w:id="169" w:author="Revision" w:date="2026-08-25T00:00:00Z">
        <w:r>
          <w:t>at least suggestive of a genuine specialisation mechanism rather than pure composition. But</w:t>
        </w:r>
      </w:ins>
      <w:r>
        <w:t xml:space="preserve"> the </w:t>
      </w:r>
      <w:del w:id="170" w:author="Revision" w:date="2026-08-25T00:00:00Z">
        <w:r>
          <w:delText>dominant predictor across all groups, but it</w:delText>
        </w:r>
      </w:del>
      <w:r>
        <w:t xml:space="preserve"> </w:t>
      </w:r>
      <w:ins w:id="171" w:author="Revision" w:date="2026-08-25T00:00:00Z">
        <w:r>
          <w:t>composition interpretation cannot be excluded, and distinguishing the two would require pupil-level data with disadvantage histories. Importantly, our policy argument does not depend on which interpretation holds: under either, there</w:t>
        </w:r>
      </w:ins>
      <w:r>
        <w:t xml:space="preserve"> is </w:t>
      </w:r>
      <w:del w:id="172" w:author="Revision" w:date="2026-08-25T00:00:00Z">
        <w:r>
          <w:rPr>
            <w:i/>
            <w:iCs/>
          </w:rPr>
          <w:delText>even more</w:delText>
        </w:r>
        <w:r>
          <w:delText xml:space="preserve"> important for</w:delText>
        </w:r>
      </w:del>
      <w:r>
        <w:t xml:space="preserve"> </w:t>
      </w:r>
      <w:ins w:id="173" w:author="Revision" w:date="2026-08-25T00:00:00Z">
        <w:r>
          <w:t>no evidence that concentrating</w:t>
        </w:r>
      </w:ins>
      <w:r>
        <w:t xml:space="preserve"> disadvantaged pupils </w:t>
      </w:r>
      <w:del w:id="174" w:author="Revision" w:date="2026-08-25T00:00:00Z">
        <w:r>
          <w:delText>— nearly half of the variation in school-level performance</w:delText>
        </w:r>
      </w:del>
      <w:r>
        <w:t xml:space="preserve"> </w:t>
      </w:r>
      <w:ins w:id="175" w:author="Revision" w:date="2026-08-25T00:00:00Z">
        <w:r>
          <w:rPr>
            <w:i/>
            <w:iCs/>
          </w:rPr>
          <w:t>harms</w:t>
        </w:r>
        <w:r>
          <w:t xml:space="preserve"> their attainment, and therefore no support</w:t>
        </w:r>
      </w:ins>
      <w:r>
        <w:t xml:space="preserve"> for </w:t>
      </w:r>
      <w:del w:id="176" w:author="Revision" w:date="2026-08-25T00:00:00Z">
        <w:r>
          <w:delText>this group is explained by attendance alone.</w:delText>
        </w:r>
      </w:del>
      <w:r>
        <w:t xml:space="preserve"> </w:t>
      </w:r>
      <w:ins w:id="177" w:author="Revision" w:date="2026-08-25T00:00:00Z">
        <w:r>
          <w:t xml:space="preserve">the premise that de-concentration would </w:t>
        </w:r>
        <w:r>
          <w:rPr>
            <w:i/>
            <w:iCs/>
          </w:rPr>
          <w:t>improve</w:t>
        </w:r>
        <w:r>
          <w:t xml:space="preserve"> it.</w:t>
        </w:r>
      </w:ins>
    </w:p>
    <w:p w14:paraId="1D03616A" w14:textId="77777777" w:rsidR="001A6FB3" w:rsidRDefault="00000000">
      <w:pPr>
        <w:pStyle w:val="BodyText"/>
      </w:pPr>
      <w:del w:id="178" w:author="Revision" w:date="2026-08-25T00:00:00Z">
        <w:r>
          <w:lastRenderedPageBreak/>
          <w:delTex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 </w:delText>
        </w:r>
        <w:r>
          <w:rPr>
            <w:i/>
            <w:iCs/>
          </w:rPr>
          <w:delText>positive</w:delText>
        </w:r>
        <w:r>
          <w:delText xml:space="preserve"> —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delText>
        </w:r>
        <w:r>
          <w:rPr>
            <w:rStyle w:val="FootnoteReference"/>
          </w:rPr>
          <w:footnoteReference w:id="12"/>
        </w:r>
        <w:r>
          <w:delText xml:space="preserve"> In the full multilevel model, this positive coefficient shrinks substantially, suggesting the effect operates through LEA-level and Ofsted-level factors rather than concentration </w:delText>
        </w:r>
        <w:r>
          <w:rPr>
            <w:i/>
            <w:iCs/>
          </w:rPr>
          <w:delText>per se</w:delText>
        </w:r>
        <w:r>
          <w:delText xml:space="preserve"> — schools with higher FSM proportions in certain LEAs appear to have developed effective support systems, possibly through targeted use of Pupil Premium funding and other specialisations.</w:delText>
        </w:r>
      </w:del>
    </w:p>
    <w:p w14:paraId="25BCD682" w14:textId="77777777" w:rsidR="001A6FB3" w:rsidRDefault="00000000">
      <w:pPr>
        <w:pStyle w:val="BodyText"/>
      </w:pPr>
      <w:r>
        <w:t>For non-disadvantaged pupils, the effect of higher disadvantage concentrations is more clearly negative - being in a higher-disadvantage school depresses Attainment 8 for this group, possibly through peer effects or curriculum-resourcing dynamics. Both findings challenge the ‘no cost’ conjecture and, in the Brighton and Hove context, suggest that further mixing of an already comparatively well-integrated set of schools could be counter-productive for disadvantaged attainment.</w:t>
      </w:r>
    </w:p>
    <w:p w14:paraId="587DF924" w14:textId="77777777" w:rsidR="001A6FB3" w:rsidRDefault="00000000">
      <w:pPr>
        <w:pStyle w:val="BodyText"/>
      </w:pPr>
      <w:r>
        <w:t xml:space="preserve">Absence is the biggest </w:t>
      </w:r>
      <w:ins w:id="181" w:author="Revision" w:date="2026-08-25T00:00:00Z">
        <w:r>
          <w:t>modifiable</w:t>
        </w:r>
      </w:ins>
      <w:r>
        <w:t xml:space="preserve"> predictor across all groups and is </w:t>
      </w:r>
      <w:del w:id="182" w:author="Revision" w:date="2026-08-25T00:00:00Z">
        <w:r>
          <w:delText>even</w:delText>
        </w:r>
      </w:del>
      <w:r>
        <w:t xml:space="preserve"> more important </w:t>
      </w:r>
      <w:ins w:id="183" w:author="Revision" w:date="2026-08-25T00:00:00Z">
        <w:r>
          <w:t>still</w:t>
        </w:r>
      </w:ins>
      <w:r>
        <w:t xml:space="preserve"> for disadvantaged pupils, for whom </w:t>
      </w:r>
      <w:del w:id="184" w:author="Revision" w:date="2026-08-25T00:00:00Z">
        <w:r>
          <w:delText>nearly half</w:delText>
        </w:r>
      </w:del>
      <w:r>
        <w:t xml:space="preserve"> </w:t>
      </w:r>
      <w:ins w:id="185" w:author="Revision" w:date="2026-08-25T00:00:00Z">
        <w:r>
          <w:t>it accounts for roughly a third</w:t>
        </w:r>
      </w:ins>
      <w:r>
        <w:t xml:space="preserve"> of the </w:t>
      </w:r>
      <w:del w:id="186" w:author="Revision" w:date="2026-08-25T00:00:00Z">
        <w:r>
          <w:delText xml:space="preserve">school-level </w:delText>
        </w:r>
        <w:r>
          <w:lastRenderedPageBreak/>
          <w:delText>variation</w:delText>
        </w:r>
      </w:del>
      <w:r>
        <w:t xml:space="preserve"> </w:t>
      </w:r>
      <w:ins w:id="187" w:author="Revision" w:date="2026-08-25T00:00:00Z">
        <w:r>
          <w:t>combined standardised effect of every predictor</w:t>
        </w:r>
      </w:ins>
      <w:r>
        <w:t xml:space="preserve"> in </w:t>
      </w:r>
      <w:del w:id="188" w:author="Revision" w:date="2026-08-25T00:00:00Z">
        <w:r>
          <w:delText>performance is explained by attendance alone.</w:delText>
        </w:r>
      </w:del>
      <w:r>
        <w:t xml:space="preserve"> </w:t>
      </w:r>
      <w:ins w:id="189" w:author="Revision" w:date="2026-08-25T00:00:00Z">
        <w:r>
          <w:t>the model.</w:t>
        </w:r>
      </w:ins>
      <w:r>
        <w:t xml:space="preserv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p w14:paraId="73CBB197" w14:textId="77777777" w:rsidR="001A6FB3" w:rsidRDefault="00000000">
      <w:pPr>
        <w:pStyle w:val="Heading1"/>
      </w:pPr>
      <w:bookmarkStart w:id="190" w:name="brighton-and-hove-case-study"/>
      <w:bookmarkEnd w:id="73"/>
      <w:bookmarkEnd w:id="95"/>
      <w:r>
        <w:t>5. Brighton and Hove case study</w:t>
      </w:r>
    </w:p>
    <w:p w14:paraId="6868F40D" w14:textId="77777777" w:rsidR="001A6FB3" w:rsidRDefault="00000000">
      <w:pPr>
        <w:pStyle w:val="Heading2"/>
      </w:pPr>
      <w:bookmarkStart w:id="191" w:name="local-context"/>
      <w:r>
        <w:t>5.1 Local context</w:t>
      </w:r>
    </w:p>
    <w:p w14:paraId="1D677CDA" w14:textId="77777777" w:rsidR="001A6FB3" w:rsidRDefault="00000000">
      <w:pPr>
        <w:pStyle w:val="FirstParagraph"/>
      </w:pPr>
      <w:r>
        <w:t>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Figure 2</w:t>
        </w:r>
      </w:hyperlink>
      <w:r>
        <w:t>) with a lottery tie-break for oversubscribed schools - making admissions very different to most other places in England where distance typically determines priority (Allen et al. 2013).</w:t>
      </w:r>
    </w:p>
    <w:p w14:paraId="262D80C7" w14:textId="77777777" w:rsidR="001A6FB3" w:rsidRDefault="00000000">
      <w:pPr>
        <w:pStyle w:val="BodyText"/>
      </w:pPr>
      <w:r>
        <w:t xml:space="preserve">In October 2024, the council launched proposals to amend the secondary school admissions process. The cabinet </w:t>
      </w:r>
      <w:del w:id="192" w:author="Revision" w:date="2026-08-25T00:00:00Z">
        <w:r>
          <w:delText>papers</w:delText>
        </w:r>
        <w:r>
          <w:rPr>
            <w:rStyle w:val="FootnoteReference"/>
          </w:rPr>
          <w:footnoteReference w:id="13"/>
        </w:r>
      </w:del>
      <w:r>
        <w:t xml:space="preserve"> </w:t>
      </w:r>
      <w:ins w:id="204" w:author="Revision" w:date="2026-08-25T00:00:00Z">
        <w:r>
          <w:t>papers</w:t>
        </w:r>
        <w:r>
          <w:rPr>
            <w:rStyle w:val="FootnoteReference"/>
          </w:rPr>
          <w:footnoteReference w:id="14"/>
        </w:r>
      </w:ins>
      <w:r>
        <w:t xml:space="preserve"> set out three stated objectives: </w:t>
      </w:r>
      <w:r>
        <w:rPr>
          <w:i/>
          <w:iCs/>
        </w:rPr>
        <w:t xml:space="preserve">‘a school system where all </w:t>
      </w:r>
      <w:r>
        <w:rPr>
          <w:i/>
          <w:iCs/>
        </w:rPr>
        <w:lastRenderedPageBreak/>
        <w:t>pupils get access to a great education’</w:t>
      </w:r>
      <w:r>
        <w:t xml:space="preserve">, improving </w:t>
      </w:r>
      <w:r>
        <w:rPr>
          <w:i/>
          <w:iCs/>
        </w:rPr>
        <w:t>‘the education offer for disadvantaged pupils by reducing some schools’ barriers to success’</w:t>
      </w:r>
      <w:r>
        <w:t xml:space="preserve">, and </w:t>
      </w:r>
      <w:r>
        <w:rPr>
          <w:i/>
          <w:iCs/>
        </w:rPr>
        <w:t>‘better equality of outcomes - results not driven by economic advantage’</w:t>
      </w:r>
      <w:r>
        <w:t xml:space="preserve">. Alongside ran a School Organisation Strategy commitment to </w:t>
      </w:r>
      <w:r>
        <w:rPr>
          <w:i/>
          <w:iCs/>
        </w:rPr>
        <w:t>‘schools which are sustainable and able to thrive’</w:t>
      </w:r>
      <w:r>
        <w:t xml:space="preserve"> 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 </w:t>
      </w:r>
      <w:r>
        <w:rPr>
          <w:i/>
          <w:iCs/>
        </w:rPr>
        <w:t>‘driven by economic advantage’</w:t>
      </w:r>
      <w:r>
        <w:t xml:space="preserve"> - a framing that implied that those who could </w:t>
      </w:r>
      <w:r>
        <w:lastRenderedPageBreak/>
        <w:t>afford to do so paid a housing premium to be near better schools in the city, but a characterisation empirically challenged in this context by Tan and Dennett (2025) 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14:paraId="3AB21401" w14:textId="77777777" w:rsidR="001A6FB3" w:rsidRDefault="00000000">
      <w:pPr>
        <w:pStyle w:val="BodyText"/>
      </w:pPr>
      <w:r>
        <w:t xml:space="preserve">The public response was overwhelmingly negative, with the council’s pre-consultation feedback summary noting </w:t>
      </w:r>
      <w:r>
        <w:rPr>
          <w:i/>
          <w:iCs/>
        </w:rPr>
        <w:t>‘a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w:t>
      </w:r>
      <w:del w:id="216" w:author="Revision" w:date="2026-08-25T00:00:00Z">
        <w:r>
          <w:delText>appendix</w:delText>
        </w:r>
        <w:r>
          <w:rPr>
            <w:rStyle w:val="FootnoteReference"/>
          </w:rPr>
          <w:footnoteReference w:id="15"/>
        </w:r>
      </w:del>
      <w:r>
        <w:t xml:space="preserve"> </w:t>
      </w:r>
      <w:ins w:id="239" w:author="Revision" w:date="2026-08-25T00:00:00Z">
        <w:r>
          <w:t>appendix</w:t>
        </w:r>
        <w:r>
          <w:rPr>
            <w:rStyle w:val="FootnoteReference"/>
          </w:rPr>
          <w:footnoteReference w:id="16"/>
        </w:r>
      </w:ins>
      <w:r>
        <w:t xml:space="preserve"> reports </w:t>
      </w:r>
      <w:r>
        <w:lastRenderedPageBreak/>
        <w:t xml:space="preserve">approximately £606,000 already spent each year on supported bus routes and bus passes, with further travel-assistance spending likely to support new pupil flows generated by the admissions changes. Notably, the previous administration’s comprehensive strategy for tackling educational </w:t>
      </w:r>
      <w:del w:id="244" w:author="Revision" w:date="2026-08-25T00:00:00Z">
        <w:r>
          <w:delText>disadvantage</w:delText>
        </w:r>
        <w:r>
          <w:rPr>
            <w:rStyle w:val="FootnoteReference"/>
          </w:rPr>
          <w:footnoteReference w:id="17"/>
        </w:r>
      </w:del>
      <w:r>
        <w:t xml:space="preserve"> </w:t>
      </w:r>
      <w:ins w:id="254" w:author="Revision" w:date="2026-08-25T00:00:00Z">
        <w:r>
          <w:t>disadvantage</w:t>
        </w:r>
        <w:r>
          <w:rPr>
            <w:rStyle w:val="FootnoteReference"/>
          </w:rPr>
          <w:footnoteReference w:id="18"/>
        </w:r>
      </w:ins>
      <w:r>
        <w:t xml:space="preserve"> - which included sections on attendance, leadership, governance and targeted support - was not referenced in the 2024 consultation materials.</w:t>
      </w:r>
    </w:p>
    <w:p w14:paraId="5CB64FAA" w14:textId="77777777" w:rsidR="001A6FB3" w:rsidRDefault="00000000">
      <w:pPr>
        <w:pStyle w:val="BodyText"/>
      </w:pPr>
      <w:r>
        <w:t>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14:paraId="591B1CC6" w14:textId="77777777" w:rsidR="001A6FB3" w:rsidRDefault="00000000">
      <w:pPr>
        <w:pStyle w:val="BodyText"/>
      </w:pPr>
      <w:del w:id="255" w:author="Revision" w:date="2026-08-25T00:00:00Z">
        <w:r>
          <w:delText>+:——————————————————————————–:+</w:delText>
        </w:r>
      </w:del>
      <w:r>
        <w:t xml:space="preserve"> </w:t>
      </w:r>
      <w:ins w:id="256" w:author="Revision" w:date="2026-08-25T00:00:00Z">
        <w:r>
          <w:rPr>
            <w:i/>
            <w:iCs/>
          </w:rPr>
          <w:t>[Figure 2: Brighton and Hove secondary schools with 2025/26 catchment boundaries. — about here]</w:t>
        </w:r>
      </w:ins>
    </w:p>
    <w:p w14:paraId="002BC6FA" w14:textId="77777777" w:rsidR="001A6FB3" w:rsidRDefault="00000000">
      <w:pPr>
        <w:pStyle w:val="Heading2"/>
      </w:pPr>
      <w:bookmarkStart w:id="257" w:name="local-authority-effects"/>
      <w:bookmarkEnd w:id="191"/>
      <w:r>
        <w:lastRenderedPageBreak/>
        <w:t>5.2 Local authority effects</w:t>
      </w:r>
    </w:p>
    <w:p w14:paraId="2A7D1FA4" w14:textId="77777777" w:rsidR="001A6FB3" w:rsidRDefault="00000000">
      <w:pPr>
        <w:pStyle w:val="FirstParagraph"/>
      </w:pPr>
      <w:del w:id="258" w:author="Revision" w:date="2026-08-25T00:00:00Z">
        <w:r>
          <w:delText>+:————————————————————————————————————————————————————:+</w:delText>
        </w:r>
      </w:del>
      <w:r>
        <w:t xml:space="preserve"> </w:t>
      </w:r>
      <w:ins w:id="259" w:author="Revision" w:date="2026-08-25T00:00:00Z">
        <w:r>
          <w:rPr>
            <w:i/>
            <w:iCs/>
          </w:rPr>
          <w:t>[Figure 3: LA random intercepts for disadvantaged-pupil attainment (imputed full panel model). Top and bottom 10 LAs labelled; Brighton and Hove highlighted. — about here]</w:t>
        </w:r>
      </w:ins>
    </w:p>
    <w:p w14:paraId="1D33A09C" w14:textId="77777777" w:rsidR="001A6FB3" w:rsidRDefault="00000000">
      <w:pPr>
        <w:pStyle w:val="BodyText"/>
      </w:pPr>
      <w:hyperlink w:anchor="fig-caterpillar">
        <w:r>
          <w:rPr>
            <w:rStyle w:val="Hyperlink"/>
          </w:rPr>
          <w:t>Figure 3</w:t>
        </w:r>
      </w:hyperlink>
      <w:r>
        <w:t xml:space="preserve"> shows the local-authority random intercepts for disadvantaged-pupil attainment. Conditional on the structural factors in the model - including school absence - Brighton and Hove ranks 15th of 151 local authorities (top 10%), a positive random intercept equivalent to roughly +1.6 Attainment 8 points 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14:paraId="60A55437" w14:textId="77777777" w:rsidR="001A6FB3" w:rsidRDefault="00000000">
      <w:pPr>
        <w:pStyle w:val="BodyText"/>
      </w:pPr>
      <w:r>
        <w:t xml:space="preserve">That conditional ranking, however, depends on a modelling choice that turns out to carry most of the result. Controlling for absence estimates the city’s performance </w:t>
      </w:r>
      <w:r>
        <w:rPr>
          <w:i/>
          <w:iCs/>
        </w:rPr>
        <w:t>given</w:t>
      </w:r>
      <w:r>
        <w:t xml:space="preserve"> the attendance its pupils actually record - and Brighton and Hove has among the worst attendance of any authority in England. </w:t>
      </w:r>
      <w:hyperlink w:anchor="tbl-la-absence">
        <w:r>
          <w:rPr>
            <w:rStyle w:val="Hyperlink"/>
          </w:rPr>
          <w:t>Table 2</w:t>
        </w:r>
      </w:hyperlink>
      <w:r>
        <w:t xml:space="preserve"> 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p>
    <w:p w14:paraId="419CB020" w14:textId="77777777" w:rsidR="001A6FB3" w:rsidRDefault="00000000">
      <w:pPr>
        <w:pStyle w:val="BodyText"/>
      </w:pPr>
      <w:r>
        <w:rPr>
          <w:i/>
          <w:iCs/>
        </w:rPr>
        <w:t xml:space="preserve">[Table 2: Brighton and Hove’s local-authority effect for disadvantaged-pupil attainment, with and without a control for school absence. The intake-predicted specification controls only for the </w:t>
      </w:r>
      <w:r>
        <w:rPr>
          <w:i/>
          <w:iCs/>
        </w:rPr>
        <w:lastRenderedPageBreak/>
        <w:t>part of absence that intake predicts, leaving the city’s excess absence in the residual. — about here]</w:t>
      </w:r>
    </w:p>
    <w:p w14:paraId="331D95EA" w14:textId="77777777" w:rsidR="001A6FB3" w:rsidRDefault="00000000">
      <w:pPr>
        <w:pStyle w:val="BodyText"/>
      </w:pPr>
      <w:r>
        <w:t>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14:paraId="110D0721" w14:textId="77777777" w:rsidR="001A6FB3" w:rsidRDefault="00000000">
      <w:pPr>
        <w:pStyle w:val="BodyText"/>
      </w:pPr>
      <w:r>
        <w:fldChar w:fldCharType="begin"/>
      </w:r>
      <w:r>
        <w:instrText>HYPERLINK \l "fig-caterpillar" \h</w:instrText>
      </w:r>
      <w:r>
        <w:fldChar w:fldCharType="separate"/>
      </w:r>
      <w:del w:id="260" w:author="Revision" w:date="2026-08-25T00:00:00Z">
        <w:r>
          <w:rPr>
            <w:rStyle w:val="Hyperlink"/>
          </w:rPr>
          <w:delText>Figure 3</w:delText>
        </w:r>
      </w:del>
      <w:r>
        <w:fldChar w:fldCharType="end"/>
      </w:r>
      <w:del w:id="261" w:author="Revision" w:date="2026-08-25T00:00:00Z">
        <w:r>
          <w:delText xml:space="preserve"> shows that</w:delText>
        </w:r>
      </w:del>
      <w:r>
        <w:t xml:space="preserve"> </w:t>
      </w:r>
      <w:ins w:id="262" w:author="Revision" w:date="2026-08-25T00:00:00Z">
        <w:r>
          <w:t>The distance between these two numbers is the important finding, rather than either number alone. Conditional on the absence its pupils face,</w:t>
        </w:r>
      </w:ins>
      <w:r>
        <w:t xml:space="preserve"> Brighton and </w:t>
      </w:r>
      <w:del w:id="263" w:author="Revision" w:date="2026-08-25T00:00:00Z">
        <w:r>
          <w:delText>Hove ranks 7th out</w:delText>
        </w:r>
      </w:del>
      <w:r>
        <w:t xml:space="preserve"> </w:t>
      </w:r>
      <w:ins w:id="264" w:author="Revision" w:date="2026-08-25T00:00:00Z">
        <w:r>
          <w:t>Hove’s schools sit within the strongest 10%</w:t>
        </w:r>
      </w:ins>
      <w:r>
        <w:t xml:space="preserve"> of </w:t>
      </w:r>
      <w:del w:id="265" w:author="Revision" w:date="2026-08-25T00:00:00Z">
        <w:r>
          <w:delText>152 LEAs</w:delText>
        </w:r>
      </w:del>
      <w:r>
        <w:t xml:space="preserve"> </w:t>
      </w:r>
      <w:ins w:id="266" w:author="Revision" w:date="2026-08-25T00:00:00Z">
        <w:r>
          <w:t>local education authorities in England</w:t>
        </w:r>
      </w:ins>
      <w:r>
        <w:t xml:space="preserve"> for disadvantaged </w:t>
      </w:r>
      <w:del w:id="267" w:author="Revision" w:date="2026-08-25T00:00:00Z">
        <w:r>
          <w:delText>attainment once structural factors</w:delText>
        </w:r>
      </w:del>
      <w:r>
        <w:t xml:space="preserve"> </w:t>
      </w:r>
      <w:ins w:id="268" w:author="Revision" w:date="2026-08-25T00:00:00Z">
        <w:r>
          <w:t>attainment; unconditionally they</w:t>
        </w:r>
      </w:ins>
      <w:r>
        <w:t xml:space="preserve"> are </w:t>
      </w:r>
      <w:del w:id="269" w:author="Revision" w:date="2026-08-25T00:00:00Z">
        <w:r>
          <w:delText>accounted for in the multilevel model presented earlier. For non-disadvantaged pupils it ranks 5th; for all pupils, 4th.</w:delText>
        </w:r>
      </w:del>
      <w:r>
        <w:t xml:space="preserve"> </w:t>
      </w:r>
      <w:ins w:id="270" w:author="Revision" w:date="2026-08-25T00:00:00Z">
        <w:r>
          <w:t>unremarkable.</w:t>
        </w:r>
      </w:ins>
      <w:r>
        <w:t xml:space="preserve"> The </w:t>
      </w:r>
      <w:del w:id="271" w:author="Revision" w:date="2026-08-25T00:00:00Z">
        <w:r>
          <w:delText>positive random intercept of approximately +0.06 translates to around a 6% uplift in</w:delText>
        </w:r>
      </w:del>
      <w:r>
        <w:t xml:space="preserve"> </w:t>
      </w:r>
      <w:ins w:id="272" w:author="Revision" w:date="2026-08-25T00:00:00Z">
        <w:r>
          <w:t>gap between the two - about 1.4</w:t>
        </w:r>
      </w:ins>
      <w:r>
        <w:t xml:space="preserve"> Attainment 8 </w:t>
      </w:r>
      <w:del w:id="273" w:author="Revision" w:date="2026-08-25T00:00:00Z">
        <w:r>
          <w:delText>— roughly 2 GCSE</w:delText>
        </w:r>
      </w:del>
      <w:r>
        <w:t xml:space="preserve"> points </w:t>
      </w:r>
      <w:del w:id="274" w:author="Revision" w:date="2026-08-25T00:00:00Z">
        <w:r>
          <w:delText>above</w:delText>
        </w:r>
      </w:del>
      <w:r>
        <w:t xml:space="preserve"> </w:t>
      </w:r>
      <w:ins w:id="275" w:author="Revision" w:date="2026-08-25T00:00:00Z">
        <w:r>
          <w:t>per disadvantaged pupil - is a direct measure of</w:t>
        </w:r>
      </w:ins>
      <w:r>
        <w:t xml:space="preserve"> what </w:t>
      </w:r>
      <w:del w:id="276" w:author="Revision" w:date="2026-08-25T00:00:00Z">
        <w:r>
          <w:delText>structural factors would predict. This was unknown at</w:delText>
        </w:r>
      </w:del>
      <w:r>
        <w:t xml:space="preserve"> the </w:t>
      </w:r>
      <w:del w:id="277" w:author="Revision" w:date="2026-08-25T00:00:00Z">
        <w:r>
          <w:delText>time of</w:delText>
        </w:r>
      </w:del>
      <w:r>
        <w:t xml:space="preserve"> </w:t>
      </w:r>
      <w:ins w:id="278" w:author="Revision" w:date="2026-08-25T00:00:00Z">
        <w:r>
          <w:t>city’s attendance problem costs its most disadvantaged children. It is not a reason to discount</w:t>
        </w:r>
      </w:ins>
      <w:r>
        <w:t xml:space="preserve"> the </w:t>
      </w:r>
      <w:del w:id="279" w:author="Revision" w:date="2026-08-25T00:00:00Z">
        <w:r>
          <w:delText>2024 consultation and entirely absent from</w:delText>
        </w:r>
      </w:del>
      <w:r>
        <w:t xml:space="preserve"> </w:t>
      </w:r>
      <w:ins w:id="280" w:author="Revision" w:date="2026-08-25T00:00:00Z">
        <w:r>
          <w:t>schools’ underlying effectiveness; it is a reason to treat attendance as</w:t>
        </w:r>
      </w:ins>
      <w:r>
        <w:t xml:space="preserve"> the </w:t>
      </w:r>
      <w:del w:id="281" w:author="Revision" w:date="2026-08-25T00:00:00Z">
        <w:r>
          <w:delText>public narrative, which was framed around</w:delText>
        </w:r>
      </w:del>
      <w:r>
        <w:t xml:space="preserve"> </w:t>
      </w:r>
      <w:ins w:id="282" w:author="Revision" w:date="2026-08-25T00:00:00Z">
        <w:r>
          <w:t>single most valuable lever available to the city,</w:t>
        </w:r>
      </w:ins>
      <w:r>
        <w:t xml:space="preserve"> a </w:t>
      </w:r>
      <w:del w:id="283" w:author="Revision" w:date="2026-08-25T00:00:00Z">
        <w:r>
          <w:delText>premise of failure, based on</w:delText>
        </w:r>
      </w:del>
      <w:r>
        <w:t xml:space="preserve"> </w:t>
      </w:r>
      <w:ins w:id="284" w:author="Revision" w:date="2026-08-25T00:00:00Z">
        <w:r>
          <w:t>point we develop in section 5.5 and quantify through</w:t>
        </w:r>
      </w:ins>
      <w:r>
        <w:t xml:space="preserve"> the </w:t>
      </w:r>
      <w:del w:id="285" w:author="Revision" w:date="2026-08-25T00:00:00Z">
        <w:r>
          <w:delText>raw attainment gap only.</w:delText>
        </w:r>
      </w:del>
      <w:r>
        <w:t xml:space="preserve"> </w:t>
      </w:r>
      <w:ins w:id="286" w:author="Revision" w:date="2026-08-25T00:00:00Z">
        <w:r>
          <w:t xml:space="preserve">accelerating-returns analysis below. (For all pupils the city’s advantage is more robust to this </w:t>
        </w:r>
        <w:r>
          <w:lastRenderedPageBreak/>
          <w:t>choice, remaining significantly positive without an absence control at 69th; it is specifically the disadvantaged-pupil result that rests on it.)</w:t>
        </w:r>
      </w:ins>
    </w:p>
    <w:p w14:paraId="3BD73DA7" w14:textId="77777777" w:rsidR="001A6FB3" w:rsidRDefault="00000000">
      <w:pPr>
        <w:pStyle w:val="BodyText"/>
      </w:pPr>
      <w:ins w:id="287" w:author="Revision" w:date="2026-08-25T00:00:00Z">
        <w:r>
          <w:t xml:space="preserve">Two features of the city’s absence confirm that this is a local problem rather than an inevitability of its intake. First, Brighton and Hove’s disadvantage is unexceptional: its mean school-level free-school-meal rate (25.2%) is slightly </w:t>
        </w:r>
        <w:r>
          <w:rPr>
            <w:i/>
            <w:iCs/>
          </w:rPr>
          <w:t>below</w:t>
        </w:r>
        <w:r>
          <w:t xml:space="preserve"> 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ins>
    </w:p>
    <w:p w14:paraId="4B650024" w14:textId="77777777" w:rsidR="001A6FB3" w:rsidRDefault="00000000">
      <w:pPr>
        <w:pStyle w:val="Heading2"/>
      </w:pPr>
      <w:bookmarkStart w:id="288" w:name="X2c44da290b91186546cdc06847184f26ab3e331"/>
      <w:bookmarkEnd w:id="257"/>
      <w:r>
        <w:t>5.3 Comparing policy levers: absence versus disadvantage</w:t>
      </w:r>
    </w:p>
    <w:p w14:paraId="7CC34210" w14:textId="77777777" w:rsidR="001A6FB3" w:rsidRDefault="00000000">
      <w:pPr>
        <w:pStyle w:val="FirstParagraph"/>
      </w:pPr>
      <w:r>
        <w:t xml:space="preserve">Because the model uses log-transformed variables, the same percentage-point change produces different effects depending on where a school starts - returns </w:t>
      </w:r>
      <w:r>
        <w:rPr>
          <w:i/>
          <w:iCs/>
        </w:rPr>
        <w:t>accelerate</w:t>
      </w:r>
      <w:r>
        <w:t xml:space="preserve"> as values improve. </w:t>
      </w:r>
      <w:hyperlink w:anchor="fig-accelerating-returns">
        <w:r>
          <w:rPr>
            <w:rStyle w:val="Hyperlink"/>
          </w:rPr>
          <w:t>Figure 4</w:t>
        </w:r>
      </w:hyperlink>
      <w:r>
        <w:t xml:space="preserve"> places both the absence and FSM levers on a common y-axis.</w:t>
      </w:r>
    </w:p>
    <w:p w14:paraId="69CA499C" w14:textId="77777777" w:rsidR="001A6FB3" w:rsidRDefault="00000000">
      <w:pPr>
        <w:pStyle w:val="BodyText"/>
      </w:pPr>
      <w:del w:id="289" w:author="Revision" w:date="2026-08-25T00:00:00Z">
        <w:r>
          <w:delText>+:—————————————————————————————————————————————————————————————————————————————————:+</w:delText>
        </w:r>
      </w:del>
      <w:r>
        <w:t xml:space="preserve"> </w:t>
      </w:r>
      <w:ins w:id="290" w:author="Revision" w:date="2026-08-25T00:00:00Z">
        <w:r>
          <w:rPr>
            <w:i/>
            <w:iCs/>
          </w:rPr>
          <w:t>[Figure 4: Accelerating returns: each percentage-point reduction buys a progressively larger ATT8 gain (reading right to left). Absence delivers substantially larger gains than FSM at every level. Brighton and Hove schools marked on each curve. — about here]</w:t>
        </w:r>
      </w:ins>
    </w:p>
    <w:p w14:paraId="1076D1CC" w14:textId="77777777" w:rsidR="001A6FB3" w:rsidRDefault="00000000">
      <w:pPr>
        <w:pStyle w:val="BodyText"/>
      </w:pPr>
      <w:r>
        <w:lastRenderedPageBreak/>
        <w:t xml:space="preserve">Four features are immediately visible. First, the absence curve sits above the FSM curve at every starting level, indicating how much more effective changes in absence are than changes in disadvantage, for improving attainment. Second, the gap </w:t>
      </w:r>
      <w:r>
        <w:rPr>
          <w:i/>
          <w:iCs/>
        </w:rPr>
        <w:t>widens</w:t>
      </w:r>
      <w:r>
        <w:t xml:space="preserve"> 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14:paraId="395B36B5" w14:textId="77777777" w:rsidR="001A6FB3" w:rsidRDefault="00000000">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w:t>
      </w:r>
      <w:del w:id="291" w:author="Revision" w:date="2026-08-25T00:00:00Z">
        <w:r>
          <w:delText>2.6</w:delText>
        </w:r>
      </w:del>
      <w:r>
        <w:t xml:space="preserve"> </w:t>
      </w:r>
      <w:ins w:id="292" w:author="Revision" w:date="2026-08-25T00:00:00Z">
        <w:r>
          <w:t>3.4</w:t>
        </w:r>
      </w:ins>
      <w:r>
        <w:t xml:space="preserve"> times as important as FSM for predicting attainment.</w:t>
      </w:r>
    </w:p>
    <w:p w14:paraId="7B4E8F0C" w14:textId="77777777" w:rsidR="001A6FB3" w:rsidRDefault="00000000">
      <w:pPr>
        <w:pStyle w:val="BodyText"/>
      </w:pPr>
      <w:r>
        <w:t xml:space="preserve">Bringing schools above the national average for absence down to it would produce predicted gains averaging </w:t>
      </w:r>
      <w:del w:id="293" w:author="Revision" w:date="2026-08-25T00:00:00Z">
        <w:r>
          <w:delText>+2.9</w:delText>
        </w:r>
      </w:del>
      <w:r>
        <w:t xml:space="preserve"> </w:t>
      </w:r>
      <w:ins w:id="294" w:author="Revision" w:date="2026-08-25T00:00:00Z">
        <w:r>
          <w:t>+2.8</w:t>
        </w:r>
      </w:ins>
      <w:r>
        <w:t xml:space="preserve">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p w14:paraId="0FD2C2A3" w14:textId="77777777" w:rsidR="001A6FB3" w:rsidRDefault="00000000">
      <w:pPr>
        <w:pStyle w:val="Heading2"/>
      </w:pPr>
      <w:bookmarkStart w:id="295" w:name="contextualised-school-performance"/>
      <w:bookmarkEnd w:id="288"/>
      <w:r>
        <w:t>5.4 Contextualised school performance</w:t>
      </w:r>
    </w:p>
    <w:p w14:paraId="2381A3AF" w14:textId="77777777" w:rsidR="001A6FB3" w:rsidRDefault="00000000">
      <w:pPr>
        <w:pStyle w:val="FirstParagraph"/>
      </w:pPr>
      <w:del w:id="296" w:author="Revision" w:date="2026-08-25T00:00:00Z">
        <w:r>
          <w:delText>+:————————————————————————————————————————————-:+</w:delText>
        </w:r>
      </w:del>
      <w:r>
        <w:t xml:space="preserve"> </w:t>
      </w:r>
      <w:ins w:id="297" w:author="Revision" w:date="2026-08-25T00:00:00Z">
        <w:r>
          <w:rPr>
            <w:i/>
            <w:iCs/>
          </w:rPr>
          <w:t>[Figure 5: Observed versus predicted Attainment 8 for Brighton and Hove schools (highlighted) against all schools nationally, 2024–25. — about here]</w:t>
        </w:r>
      </w:ins>
    </w:p>
    <w:p w14:paraId="3F713A74" w14:textId="77777777" w:rsidR="001A6FB3" w:rsidRDefault="00000000">
      <w:pPr>
        <w:pStyle w:val="BodyText"/>
      </w:pPr>
      <w:hyperlink w:anchor="fig-obs-vs-pred">
        <w:r>
          <w:rPr>
            <w:rStyle w:val="Hyperlink"/>
          </w:rPr>
          <w:t>Figure 5</w:t>
        </w:r>
      </w:hyperlink>
      <w:r>
        <w:t xml:space="preserve"> shows observed versus predicted Attainment 8 for the latest year across all schools in England (grey) with Brighton and Hove schools highlighted (pink). The close clustering of the points around the diagonal line is a visual representation of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 ‘value-added’ measures - more nuanced than Progress 8 - as this model-based value added accounts for far more than just prior attainment in its representation.</w:t>
      </w:r>
    </w:p>
    <w:p w14:paraId="75DC51B9" w14:textId="77777777" w:rsidR="001A6FB3" w:rsidRDefault="00000000">
      <w:pPr>
        <w:pStyle w:val="Heading2"/>
      </w:pPr>
      <w:bookmarkStart w:id="298" w:name="X8ff19f05081feb947c9bfda17930b607e81aacb"/>
      <w:bookmarkEnd w:id="295"/>
      <w:r>
        <w:t>5.5 Decomposing absence: structural intake versus school management</w:t>
      </w:r>
    </w:p>
    <w:p w14:paraId="20382164" w14:textId="77777777" w:rsidR="001A6FB3" w:rsidRDefault="00000000">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 ‘value-added’ reflects what the school does </w:t>
      </w:r>
      <w:r>
        <w:rPr>
          <w:i/>
          <w:iCs/>
        </w:rPr>
        <w:t>given</w:t>
      </w:r>
      <w:r>
        <w:t xml:space="preserve"> its attendance, not what it does </w:t>
      </w:r>
      <w:r>
        <w:rPr>
          <w:i/>
          <w:iCs/>
        </w:rPr>
        <w:t>to</w:t>
      </w:r>
      <w:r>
        <w:t xml:space="preserve"> its attendance.</w:t>
      </w:r>
    </w:p>
    <w:p w14:paraId="2465C47C" w14:textId="77777777" w:rsidR="001A6FB3" w:rsidRDefault="00000000">
      <w:pPr>
        <w:pStyle w:val="BodyText"/>
      </w:pPr>
      <w:r>
        <w:t xml:space="preserve">A two-stage </w:t>
      </w:r>
      <w:del w:id="299" w:author="Revision" w:date="2026-08-25T00:00:00Z">
        <w:r>
          <w:delText>decomposition</w:delText>
        </w:r>
        <w:r>
          <w:rPr>
            <w:rStyle w:val="FootnoteReference"/>
          </w:rPr>
          <w:footnoteReference w:id="19"/>
        </w:r>
      </w:del>
      <w:r>
        <w:t xml:space="preserve"> </w:t>
      </w:r>
      <w:ins w:id="302" w:author="Revision" w:date="2026-08-25T00:00:00Z">
        <w:r>
          <w:t>decomposition</w:t>
        </w:r>
        <w:r>
          <w:rPr>
            <w:rStyle w:val="FootnoteReference"/>
          </w:rPr>
          <w:footnoteReference w:id="20"/>
        </w:r>
      </w:ins>
      <w:r>
        <w:t xml:space="preserve"> separates these elements. First, we model school-level absence on the variables we treat as exogenous (FSM, EAL, </w:t>
      </w:r>
      <w:del w:id="309" w:author="Revision" w:date="2026-08-25T00:00:00Z">
        <w:r>
          <w:delText>low</w:delText>
        </w:r>
      </w:del>
      <w:r>
        <w:t xml:space="preserve"> </w:t>
      </w:r>
      <w:ins w:id="310" w:author="Revision" w:date="2026-08-25T00:00:00Z">
        <w:r>
          <w:t>mean KS2</w:t>
        </w:r>
      </w:ins>
      <w:r>
        <w:t xml:space="preserve"> prior </w:t>
      </w:r>
      <w:r>
        <w:lastRenderedPageBreak/>
        <w:t xml:space="preserve">attainment, segregation, plus place and year random effects), producing for every school-year an </w:t>
      </w:r>
      <w:r>
        <w:rPr>
          <w:i/>
          <w:iCs/>
        </w:rPr>
        <w:t>expected absence</w:t>
      </w:r>
      <w:r>
        <w:t xml:space="preserve"> (intake-predicted) and a </w:t>
      </w:r>
      <w:r>
        <w:rPr>
          <w:i/>
          <w:iCs/>
        </w:rPr>
        <w:t>residual absence</w:t>
      </w:r>
      <w:r>
        <w:t xml:space="preserve"> (school-controllable).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14:paraId="6F2F83A3" w14:textId="77777777" w:rsidR="001A6FB3" w:rsidRDefault="00000000">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 </w:t>
      </w:r>
      <w:r>
        <w:rPr>
          <w:i/>
          <w:iCs/>
        </w:rPr>
        <w:t>and</w:t>
      </w:r>
      <w:r>
        <w:t xml:space="preserve"> cross-departmental work - public health, children’s services, area-level deprivation policy - because much of what schools deal with on attendance is inherited rather than generated.</w:t>
      </w:r>
    </w:p>
    <w:p w14:paraId="0CDA0612" w14:textId="77777777" w:rsidR="001A6FB3" w:rsidRDefault="00000000">
      <w:pPr>
        <w:pStyle w:val="BodyText"/>
      </w:pPr>
      <w:del w:id="311" w:author="Revision" w:date="2026-08-25T00:00:00Z">
        <w:r>
          <w:delText>+:—————————————————————————————————————————————————————————————————————————————————————————————————————————————————————————————————————————————————-:+</w:delText>
        </w:r>
      </w:del>
      <w:r>
        <w:t xml:space="preserve"> </w:t>
      </w:r>
      <w:ins w:id="312" w:author="Revision" w:date="2026-08-25T00:00:00Z">
        <w:r>
          <w:rPr>
            <w:i/>
            <w:iCs/>
          </w:rPr>
          <w:t xml:space="preserve">[Figure 6: Brighton </w:t>
        </w:r>
        <w:r>
          <w:rPr>
            <w:i/>
            <w:iCs/>
          </w:rPr>
          <w:lastRenderedPageBreak/>
          <w:t>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ins>
    </w:p>
    <w:p w14:paraId="23278BC6" w14:textId="77777777" w:rsidR="001A6FB3" w:rsidRDefault="00000000">
      <w:pPr>
        <w:pStyle w:val="BodyText"/>
      </w:pPr>
      <w:r>
        <w:t>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Figure 6</w:t>
        </w:r>
      </w:hyperlink>
      <w:r>
        <w:t>),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14:paraId="3F29FD5A" w14:textId="77777777" w:rsidR="001A6FB3" w:rsidRDefault="00000000">
      <w:pPr>
        <w:pStyle w:val="BodyText"/>
      </w:pPr>
      <w:r>
        <w:t>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 “fix attendance” improvement story is not available. Schools in Q3 are the most natural targets for council-led attendance interventions, and Q1 schools are where the city should look for practice worth sharing.</w:t>
      </w:r>
    </w:p>
    <w:p w14:paraId="48E9380B" w14:textId="77777777" w:rsidR="001A6FB3" w:rsidRDefault="00000000">
      <w:pPr>
        <w:pStyle w:val="BodyText"/>
      </w:pPr>
      <w:r>
        <w:lastRenderedPageBreak/>
        <w:t>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p w14:paraId="3617C960" w14:textId="77777777" w:rsidR="001A6FB3" w:rsidRDefault="00000000">
      <w:pPr>
        <w:pStyle w:val="Heading1"/>
      </w:pPr>
      <w:bookmarkStart w:id="313" w:name="discussion"/>
      <w:bookmarkEnd w:id="190"/>
      <w:bookmarkEnd w:id="298"/>
      <w:r>
        <w:t>6. Discussion</w:t>
      </w:r>
    </w:p>
    <w:p w14:paraId="49953760" w14:textId="77777777" w:rsidR="001A6FB3" w:rsidRDefault="00000000">
      <w:pPr>
        <w:pStyle w:val="Heading2"/>
      </w:pPr>
      <w:bookmarkStart w:id="314" w:name="Xd3364b35d543c93770b334c5dc736f1edb746ee"/>
      <w:r>
        <w:t>6.1 The danger of single-lever policy thinking</w:t>
      </w:r>
    </w:p>
    <w:p w14:paraId="7C7A2CFF" w14:textId="77777777" w:rsidR="001A6FB3" w:rsidRDefault="00000000">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w:t>
      </w:r>
      <w:del w:id="315" w:author="Revision" w:date="2026-08-25T00:00:00Z">
        <w:r>
          <w:delText>public</w:delText>
        </w:r>
        <w:r>
          <w:rPr>
            <w:rStyle w:val="FootnoteReference"/>
          </w:rPr>
          <w:footnoteReference w:id="21"/>
        </w:r>
        <w:r>
          <w:delText>,</w:delText>
        </w:r>
      </w:del>
      <w:r>
        <w:t xml:space="preserve"> </w:t>
      </w:r>
      <w:ins w:id="329" w:author="Revision" w:date="2026-08-25T00:00:00Z">
        <w:r>
          <w:t>public</w:t>
        </w:r>
        <w:r>
          <w:rPr>
            <w:rStyle w:val="FootnoteReference"/>
          </w:rPr>
          <w:footnoteReference w:id="22"/>
        </w:r>
        <w:r>
          <w:t>,</w:t>
        </w:r>
      </w:ins>
      <w:r>
        <w:t xml:space="preserve"> it was stated:</w:t>
      </w:r>
    </w:p>
    <w:p w14:paraId="761D2BA5" w14:textId="77777777" w:rsidR="001A6FB3" w:rsidRDefault="00000000">
      <w:pPr>
        <w:pStyle w:val="BlockText"/>
      </w:pPr>
      <w:r>
        <w:rPr>
          <w:i/>
          <w:iCs/>
        </w:rPr>
        <w:lastRenderedPageBreak/>
        <w:t>“We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14:paraId="58204044" w14:textId="77777777" w:rsidR="001A6FB3" w:rsidRDefault="00000000">
      <w:pPr>
        <w:pStyle w:val="FirstParagraph"/>
      </w:pPr>
      <w:r>
        <w:t xml:space="preserve">This premise sits awkwardly with the existing evidence base. Macleod et al. (2015)’s earlier analysis for the DfE found that, controlling for intake characteristics, schools with higher concentrations of disadvantage tend to do </w:t>
      </w:r>
      <w:r>
        <w:rPr>
          <w:i/>
          <w:iCs/>
        </w:rPr>
        <w:t>better</w:t>
      </w:r>
      <w:r>
        <w:t xml:space="preserve"> 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14:paraId="684E5D1F" w14:textId="77777777" w:rsidR="001A6FB3" w:rsidRDefault="00000000">
      <w:pPr>
        <w:pStyle w:val="BodyText"/>
      </w:pPr>
      <w:del w:id="339" w:author="Revision" w:date="2026-08-25T00:00:00Z">
        <w:r>
          <w:delText>The chosen lever also carries risks that</w:delText>
        </w:r>
      </w:del>
      <w:r>
        <w:t xml:space="preserve"> </w:t>
      </w:r>
      <w:ins w:id="340" w:author="Revision" w:date="2026-08-25T00:00:00Z">
        <w:r>
          <w:t>It is worth setting this in</w:t>
        </w:r>
      </w:ins>
      <w:r>
        <w:t xml:space="preserve"> the </w:t>
      </w:r>
      <w:del w:id="341" w:author="Revision" w:date="2026-08-25T00:00:00Z">
        <w:r>
          <w:delText>proposals did not engage with. Redistribution generates</w:delText>
        </w:r>
      </w:del>
      <w:r>
        <w:t xml:space="preserve"> longer </w:t>
      </w:r>
      <w:del w:id="342" w:author="Revision" w:date="2026-08-25T00:00:00Z">
        <w:r>
          <w:delText>journeys to school, and the wider literature</w:delText>
        </w:r>
      </w:del>
      <w:r>
        <w:t xml:space="preserve"> </w:t>
      </w:r>
      <w:ins w:id="343" w:author="Revision" w:date="2026-08-25T00:00:00Z">
        <w:r>
          <w:t>context of what school-effectiveness research has consistently found, because our result</w:t>
        </w:r>
      </w:ins>
      <w:r>
        <w:t xml:space="preserve"> is </w:t>
      </w:r>
      <w:del w:id="344" w:author="Revision" w:date="2026-08-25T00:00:00Z">
        <w:r>
          <w:delText xml:space="preserve">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w:delText>
        </w:r>
        <w:r>
          <w:lastRenderedPageBreak/>
          <w:delText>consequences, including stress (Karan et al. 2021), lower wellbeing (Ding et al. 2023), and higher absence across multiple national settings (Otsuka et al. 2025; Cordes et al. 2022; Blagg</w:delText>
        </w:r>
      </w:del>
      <w:r>
        <w:t xml:space="preserve"> </w:t>
      </w:r>
      <w:ins w:id="345" w:author="Revision" w:date="2026-08-25T00:00:00Z">
        <w:r>
          <w:t>not a novel or contrarian one. Ever since Coleman</w:t>
        </w:r>
      </w:ins>
      <w:r>
        <w:t xml:space="preserve"> et al. </w:t>
      </w:r>
      <w:del w:id="346" w:author="Revision" w:date="2026-08-25T00:00:00Z">
        <w:r>
          <w:delText>2018), including England (Thomson 2023). Absence is</w:delText>
        </w:r>
      </w:del>
      <w:r>
        <w:t xml:space="preserve"> </w:t>
      </w:r>
      <w:ins w:id="347" w:author="Revision" w:date="2026-08-25T00:00:00Z">
        <w:r>
          <w:t>(1966),</w:t>
        </w:r>
      </w:ins>
      <w:r>
        <w:t xml:space="preserve"> the </w:t>
      </w:r>
      <w:del w:id="348" w:author="Revision" w:date="2026-08-25T00:00:00Z">
        <w:r>
          <w:delText>largest predictor</w:delText>
        </w:r>
      </w:del>
      <w:r>
        <w:t xml:space="preserve"> </w:t>
      </w:r>
      <w:ins w:id="349" w:author="Revision" w:date="2026-08-25T00:00:00Z">
        <w:r>
          <w:t>share</w:t>
        </w:r>
      </w:ins>
      <w:r>
        <w:t xml:space="preserve"> of </w:t>
      </w:r>
      <w:del w:id="350" w:author="Revision" w:date="2026-08-25T00:00:00Z">
        <w:r>
          <w:delText>attainment</w:delText>
        </w:r>
      </w:del>
      <w:r>
        <w:t xml:space="preserve"> </w:t>
      </w:r>
      <w:ins w:id="351" w:author="Revision" w:date="2026-08-25T00:00:00Z">
        <w:r>
          <w:t>variation</w:t>
        </w:r>
      </w:ins>
      <w:r>
        <w:t xml:space="preserve"> in </w:t>
      </w:r>
      <w:del w:id="352" w:author="Revision" w:date="2026-08-25T00:00:00Z">
        <w:r>
          <w:delText>our modelling and the city’s most acute structural problem; a policy that even marginally increases it could be counterproductive. There is also a qualitative dimension:</w:delText>
        </w:r>
      </w:del>
      <w:r>
        <w:t xml:space="preserve"> </w:t>
      </w:r>
      <w:ins w:id="353" w:author="Revision" w:date="2026-08-25T00:00:00Z">
        <w:r>
          <w:t xml:space="preserve">pupil outcomes attributable to differences </w:t>
        </w:r>
        <w:r>
          <w:rPr>
            <w:i/>
            <w:iCs/>
          </w:rPr>
          <w:t>between</w:t>
        </w:r>
      </w:ins>
      <w:r>
        <w:t xml:space="preserve"> schools </w:t>
      </w:r>
      <w:del w:id="354" w:author="Revision" w:date="2026-08-25T00:00:00Z">
        <w:r>
          <w:delText>serve</w:delText>
        </w:r>
      </w:del>
      <w:r>
        <w:t xml:space="preserve"> </w:t>
      </w:r>
      <w:ins w:id="355" w:author="Revision" w:date="2026-08-25T00:00:00Z">
        <w:r>
          <w:t>-</w:t>
        </w:r>
      </w:ins>
      <w:r>
        <w:t xml:space="preserve"> as </w:t>
      </w:r>
      <w:del w:id="356" w:author="Revision" w:date="2026-08-25T00:00:00Z">
        <w:r>
          <w:delText>community anchors, supporting after-school participation, friendship groups, parental engagement</w:delText>
        </w:r>
      </w:del>
      <w:r>
        <w:t xml:space="preserve"> </w:t>
      </w:r>
      <w:ins w:id="357" w:author="Revision" w:date="2026-08-25T00:00:00Z">
        <w:r>
          <w:t>opposed to differences in the pupils they admit</w:t>
        </w:r>
      </w:ins>
      <w:r>
        <w:t xml:space="preserve"> and </w:t>
      </w:r>
      <w:del w:id="358" w:author="Revision" w:date="2026-08-25T00:00:00Z">
        <w:r>
          <w:delText>active travel (Faulkner et al. 2013). A Chicago case study (Shah 2023) argues that</w:delText>
        </w:r>
      </w:del>
      <w:r>
        <w:t xml:space="preserve"> the </w:t>
      </w:r>
      <w:del w:id="359" w:author="Revision" w:date="2026-08-25T00:00:00Z">
        <w:r>
          <w:delText>burden of long commutes falls disproportionately on</w:delText>
        </w:r>
      </w:del>
      <w:r>
        <w:t xml:space="preserve"> </w:t>
      </w:r>
      <w:ins w:id="360" w:author="Revision" w:date="2026-08-25T00:00:00Z">
        <w:r>
          <w:t>circumstances those</w:t>
        </w:r>
      </w:ins>
      <w:r>
        <w:t xml:space="preserve"> pupils </w:t>
      </w:r>
      <w:del w:id="361" w:author="Revision" w:date="2026-08-25T00:00:00Z">
        <w:r>
          <w:delText>already experiencing other forms</w:delText>
        </w:r>
      </w:del>
      <w:r>
        <w:t xml:space="preserve"> </w:t>
      </w:r>
      <w:ins w:id="362" w:author="Revision" w:date="2026-08-25T00:00:00Z">
        <w:r>
          <w:t>bring - has been estimated at something in the order</w:t>
        </w:r>
      </w:ins>
      <w:r>
        <w:t xml:space="preserve"> of </w:t>
      </w:r>
      <w:del w:id="363" w:author="Revision" w:date="2026-08-25T00:00:00Z">
        <w:r>
          <w:delText>marginalisation,</w:delText>
        </w:r>
      </w:del>
      <w:r>
        <w:t xml:space="preserve"> </w:t>
      </w:r>
      <w:ins w:id="364" w:author="Revision" w:date="2026-08-25T00:00:00Z">
        <w:r>
          <w:t>8 to 15 per cent. The landmark English study by Smith</w:t>
        </w:r>
      </w:ins>
      <w:r>
        <w:t xml:space="preserve"> and </w:t>
      </w:r>
      <w:del w:id="365" w:author="Revision" w:date="2026-08-25T00:00:00Z">
        <w:r>
          <w:delText>long-distance transit predicts early high school transfer (Stein et al. 2021), itself</w:delText>
        </w:r>
      </w:del>
      <w:r>
        <w:t xml:space="preserve"> </w:t>
      </w:r>
      <w:ins w:id="366" w:author="Revision" w:date="2026-08-25T00:00:00Z">
        <w:r>
          <w:t>Tomlinson (1989) settled on around</w:t>
        </w:r>
      </w:ins>
      <w:r>
        <w:t xml:space="preserve"> a </w:t>
      </w:r>
      <w:del w:id="367" w:author="Revision" w:date="2026-08-25T00:00:00Z">
        <w:r>
          <w:delText>risk factor for poor attainment. These are not peripheral concerns; they are part of</w:delText>
        </w:r>
      </w:del>
      <w:r>
        <w:t xml:space="preserve"> </w:t>
      </w:r>
      <w:ins w:id="368" w:author="Revision" w:date="2026-08-25T00:00:00Z">
        <w:r>
          <w:t>tenth, and Teddlie and Reynolds (2000) confirm that broad range across countries and phases. Our own between-school decomposition, reported in</w:t>
        </w:r>
      </w:ins>
      <w:r>
        <w:t xml:space="preserve"> the </w:t>
      </w:r>
      <w:del w:id="369" w:author="Revision" w:date="2026-08-25T00:00:00Z">
        <w:r>
          <w:delText>cost-benefit calculus</w:delText>
        </w:r>
      </w:del>
      <w:r>
        <w:t xml:space="preserve"> </w:t>
      </w:r>
      <w:ins w:id="370" w:author="Revision" w:date="2026-08-25T00:00:00Z">
        <w:r>
          <w:t>supplementary material, recovers the same order of magnitude. This matters for how much</w:t>
        </w:r>
      </w:ins>
      <w:r>
        <w:t xml:space="preserve"> any redistribution policy </w:t>
      </w:r>
      <w:del w:id="371" w:author="Revision" w:date="2026-08-25T00:00:00Z">
        <w:r>
          <w:delText>needs to engage with, and were largely missing from the 2024 deliberation. The claim that social mixing</w:delText>
        </w:r>
      </w:del>
      <w:r>
        <w:t xml:space="preserve"> can be </w:t>
      </w:r>
      <w:del w:id="372" w:author="Revision" w:date="2026-08-25T00:00:00Z">
        <w:r>
          <w:delText>achieved at ‘almost no cost’ (Gorard and Siddiqui 2019) sits awkwardly</w:delText>
        </w:r>
      </w:del>
      <w:r>
        <w:t xml:space="preserve"> </w:t>
      </w:r>
      <w:ins w:id="373" w:author="Revision" w:date="2026-08-25T00:00:00Z">
        <w:r>
          <w:t>expected to achieve: if differences in pupil outcomes between schools are substantially nothing to do</w:t>
        </w:r>
      </w:ins>
      <w:r>
        <w:t xml:space="preserve"> with </w:t>
      </w:r>
      <w:del w:id="374" w:author="Revision" w:date="2026-08-25T00:00:00Z">
        <w:r>
          <w:delText>this second-order literature.</w:delText>
        </w:r>
      </w:del>
      <w:r>
        <w:t xml:space="preserve"> </w:t>
      </w:r>
      <w:ins w:id="375" w:author="Revision" w:date="2026-08-25T00:00:00Z">
        <w:r>
          <w:t>what those schools do but who they admit, then policy that redistributes pupils between schools operates on a comparatively small share of the variance in the first place - it is working on the smaller term while leaving the larger one untouched.</w:t>
        </w:r>
      </w:ins>
    </w:p>
    <w:p w14:paraId="21576819" w14:textId="77777777" w:rsidR="001A6FB3" w:rsidRDefault="00000000">
      <w:pPr>
        <w:pStyle w:val="BodyText"/>
      </w:pPr>
      <w:ins w:id="376" w:author="Revision" w:date="2026-08-25T00:00:00Z">
        <w:r>
          <w:lastRenderedPageBreak/>
          <w:t>Furthermore, the chosen lever also carries risks that the proposals did not engage with. Redistribution generates longer journeys to school, and the wider literature is 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are part of the cost-benefit calculus any redistribution policy needs to engage with, and were largely missing from the 2024 deliberation. The claim that social mixing can be achieved at ‘almost no cost’ (Gorard and Siddiqui 2019) sits awkwardly with this second-order literature.</w:t>
        </w:r>
      </w:ins>
    </w:p>
    <w:p w14:paraId="314147E5" w14:textId="77777777" w:rsidR="001A6FB3" w:rsidRDefault="00000000">
      <w:pPr>
        <w:pStyle w:val="BodyText"/>
      </w:pPr>
      <w:ins w:id="377" w:author="Revision" w:date="2026-08-25T00:00:00Z">
        <w:r>
          <w:t xml:space="preserve">It is worth making the mechanism explicit, because it clarifies how an admissions reform actually reaches attainment. There are two pathways. The first is the intended one: changing where pupils go alters the </w:t>
        </w:r>
        <w:r>
          <w:rPr>
            <w:i/>
            <w:iCs/>
          </w:rPr>
          <w:t>FSM composition</w:t>
        </w:r>
        <w:r>
          <w:t xml:space="preserve"> of individual schools, which our modelling shows has, at most, a small effect on attainment - and for disadvantaged pupils, an effect that if anything runs the wrong way. The second is unintended: moving pupils further from home </w:t>
        </w:r>
        <w:r>
          <w:lastRenderedPageBreak/>
          <w:t xml:space="preserve">increases </w:t>
        </w:r>
        <w:r>
          <w:rPr>
            <w:i/>
            <w:iCs/>
          </w:rPr>
          <w:t>travel</w:t>
        </w:r>
        <w:r>
          <w:t xml:space="preserve">, which the evidence above links to </w:t>
        </w:r>
        <w:r>
          <w:rPr>
            <w:i/>
            <w:iCs/>
          </w:rPr>
          <w:t>higher absence.</w:t>
        </w:r>
        <w:r>
          <w:t xml:space="preserve"> Recent research also clearly 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 </w:t>
        </w:r>
        <w:r>
          <w:rPr>
            <w:i/>
            <w:iCs/>
          </w:rPr>
          <w:t>expected</w:t>
        </w:r>
        <w:r>
          <w:t xml:space="preserve"> effects derived from national associations, not an evaluation of the 2023 free-school-meal-priority policy or the 2026 arrangements, which post-date our outcome data and whose effects the council’s own commissioned follow-up work has yet to report.</w:t>
        </w:r>
      </w:ins>
    </w:p>
    <w:p w14:paraId="306FFA9A" w14:textId="77777777" w:rsidR="001A6FB3" w:rsidRDefault="00000000">
      <w:pPr>
        <w:pStyle w:val="Heading2"/>
      </w:pPr>
      <w:bookmarkStart w:id="378" w:name="X721a00ff84e807512ec4207f4efbd7031d30b61"/>
      <w:bookmarkEnd w:id="314"/>
      <w:r>
        <w:t>6.2 Attendance as the most impactful single lever</w:t>
      </w:r>
    </w:p>
    <w:p w14:paraId="52EDBAB0" w14:textId="77777777" w:rsidR="001A6FB3" w:rsidRDefault="00000000">
      <w:pPr>
        <w:pStyle w:val="FirstParagraph"/>
      </w:pPr>
      <w:r>
        <w:t xml:space="preserve">A policy conversation about Brighton and Hove’s disadvantage attainment gap that wants to make the largest predictable difference should put </w:t>
      </w:r>
      <w:del w:id="379" w:author="Revision" w:date="2026-08-25T00:00:00Z">
        <w:r>
          <w:rPr>
            <w:b/>
            <w:bCs/>
          </w:rPr>
          <w:delText>attendance</w:delText>
        </w:r>
      </w:del>
      <w:r>
        <w:t xml:space="preserve"> </w:t>
      </w:r>
      <w:ins w:id="380" w:author="Revision" w:date="2026-08-25T00:00:00Z">
        <w:r>
          <w:t>attendance</w:t>
        </w:r>
      </w:ins>
      <w:r>
        <w:t xml:space="preserve"> at its centre. This sits squarely within the council’s own framing: the December 2024 cabinet report named </w:t>
      </w:r>
      <w:r>
        <w:rPr>
          <w:i/>
          <w:iCs/>
        </w:rPr>
        <w:t>‘reducing some schools’ barriers to success’</w:t>
      </w:r>
      <w:r>
        <w:t xml:space="preserve"> for disadvantaged pupils as one of its three core objectives for the 2026/27 admissions changes </w:t>
      </w:r>
      <w:del w:id="381" w:author="Revision" w:date="2026-08-25T00:00:00Z">
        <w:r>
          <w:rPr>
            <w:rStyle w:val="FootnoteReference"/>
          </w:rPr>
          <w:footnoteReference w:id="23"/>
        </w:r>
        <w:r>
          <w:delText>.</w:delText>
        </w:r>
      </w:del>
      <w:r>
        <w:t xml:space="preserve"> </w:t>
      </w:r>
      <w:ins w:id="397" w:author="Revision" w:date="2026-08-25T00:00:00Z">
        <w:r>
          <w:rPr>
            <w:rStyle w:val="FootnoteReference"/>
          </w:rPr>
          <w:footnoteReference w:id="24"/>
        </w:r>
        <w:r>
          <w:t>.</w:t>
        </w:r>
      </w:ins>
      <w:r>
        <w:t xml:space="preserve"> Of the school-level barriers our modelling is able to </w:t>
      </w:r>
      <w:r>
        <w:lastRenderedPageBreak/>
        <w:t xml:space="preserve">quantify - intake composition, prior attainment, workforce stability, segregation, and absence - none has a larger or better-evidenced effect on disadvantaged attainment than absence. On the council’s own framing, in other words, the most direct route to </w:t>
      </w:r>
      <w:r>
        <w:rPr>
          <w:i/>
          <w:iCs/>
        </w:rPr>
        <w:t>‘reducing barriers to success’</w:t>
      </w:r>
      <w:r>
        <w:t xml:space="preserve"> for the city’s disadvantaged pupils points at attendance rather than at admissions arrangements. The city has the second-worst absence rate in </w:t>
      </w:r>
      <w:del w:id="409" w:author="Revision" w:date="2026-08-25T00:00:00Z">
        <w:r>
          <w:delText>England,</w:delText>
        </w:r>
      </w:del>
      <w:r>
        <w:t xml:space="preserve"> </w:t>
      </w:r>
      <w:ins w:id="410" w:author="Revision" w:date="2026-08-25T00:00:00Z">
        <w:r>
          <w:t>England in 2024-25 - and, unlike almost every other authority, one that has barely improved since the pandemic -</w:t>
        </w:r>
      </w:ins>
      <w:r>
        <w:t xml:space="preserve"> and the wider evidence indicates that closing this gap would yield attainment gains for disadvantaged pupils that comfortably exceed anything achievable through changes to admissions arrangements - and would do so </w:t>
      </w:r>
      <w:r>
        <w:rPr>
          <w:i/>
          <w:iCs/>
        </w:rPr>
        <w:t>without</w:t>
      </w:r>
      <w:r>
        <w:t xml:space="preserve"> the social, health and travel costs that a redistribution-led approach might produce.</w:t>
      </w:r>
    </w:p>
    <w:p w14:paraId="051FDC7D" w14:textId="77777777" w:rsidR="001A6FB3" w:rsidRDefault="00000000">
      <w:pPr>
        <w:pStyle w:val="BodyText"/>
      </w:pPr>
      <w:ins w:id="411" w:author="Revision" w:date="2026-08-25T00:00:00Z">
        <w:r>
          <w:lastRenderedPageBreak/>
          <w:t>We should reiterate that</w:t>
        </w:r>
      </w:ins>
      <w:r>
        <w:t xml:space="preserve"> Brighton and Hove’s absence rates are not a necessary consequence of its intake. </w:t>
      </w:r>
      <w:del w:id="412" w:author="Revision" w:date="2026-08-25T00:00:00Z">
        <w:r>
          <w:delText>The city has near-average FSM eligibility but near-worst absence, suggesting the problem reflects local factors — attendance culture, enforcement practices, transport friction or community dynamics — rather than being</w:delText>
        </w:r>
      </w:del>
      <w:r>
        <w:t xml:space="preserve"> </w:t>
      </w:r>
      <w:ins w:id="413" w:author="Revision" w:date="2026-08-25T00:00:00Z">
        <w:r>
          <w:t>One response to</w:t>
        </w:r>
      </w:ins>
      <w:r>
        <w:t xml:space="preserve"> an </w:t>
      </w:r>
      <w:del w:id="414" w:author="Revision" w:date="2026-08-25T00:00:00Z">
        <w:r>
          <w:delText>unavoidable correlate</w:delText>
        </w:r>
      </w:del>
      <w:r>
        <w:t xml:space="preserve"> </w:t>
      </w:r>
      <w:ins w:id="415" w:author="Revision" w:date="2026-08-25T00:00:00Z">
        <w:r>
          <w:t>earlier presentation</w:t>
        </w:r>
      </w:ins>
      <w:r>
        <w:t xml:space="preserve"> of </w:t>
      </w:r>
      <w:del w:id="416" w:author="Revision" w:date="2026-08-25T00:00:00Z">
        <w:r>
          <w:delText>disadvantage. If</w:delText>
        </w:r>
      </w:del>
      <w:r>
        <w:t xml:space="preserve"> </w:t>
      </w:r>
      <w:ins w:id="417" w:author="Revision" w:date="2026-08-25T00:00:00Z">
        <w:r>
          <w:t>this argument, advanced locally by</w:t>
        </w:r>
      </w:ins>
      <w:r>
        <w:t xml:space="preserve"> the </w:t>
      </w:r>
      <w:del w:id="418" w:author="Revision" w:date="2026-08-25T00:00:00Z">
        <w:r>
          <w:delText>city is not already running</w:delText>
        </w:r>
      </w:del>
      <w:r>
        <w:t xml:space="preserve"> </w:t>
      </w:r>
      <w:ins w:id="419" w:author="Revision" w:date="2026-08-25T00:00:00Z">
        <w:r>
          <w:t>campaign group Class Divide</w:t>
        </w:r>
        <w:r>
          <w:rPr>
            <w:rStyle w:val="FootnoteReference"/>
          </w:rPr>
          <w:footnoteReference w:id="25"/>
        </w:r>
        <w:r>
          <w:t>, offered</w:t>
        </w:r>
      </w:ins>
      <w:r>
        <w:t xml:space="preserve"> a </w:t>
      </w:r>
      <w:del w:id="423" w:author="Revision" w:date="2026-08-25T00:00:00Z">
        <w:r>
          <w:delText>substantial cross-departmental attendance programme alongside its school-level work,</w:delText>
        </w:r>
      </w:del>
      <w:r>
        <w:t xml:space="preserve"> </w:t>
      </w:r>
      <w:ins w:id="424" w:author="Revision" w:date="2026-08-25T00:00:00Z">
        <w:r>
          <w:t>memorable analogy: absence is</w:t>
        </w:r>
      </w:ins>
      <w:r>
        <w:t xml:space="preserve"> the </w:t>
      </w:r>
      <w:del w:id="425" w:author="Revision" w:date="2026-08-25T00:00:00Z">
        <w:r>
          <w:delText>case for one</w:delText>
        </w:r>
      </w:del>
      <w:r>
        <w:t xml:space="preserve"> </w:t>
      </w:r>
      <w:ins w:id="426" w:author="Revision" w:date="2026-08-25T00:00:00Z">
        <w:r>
          <w:t>mould, poverty</w:t>
        </w:r>
      </w:ins>
      <w:r>
        <w:t xml:space="preserve"> is </w:t>
      </w:r>
      <w:del w:id="427" w:author="Revision" w:date="2026-08-25T00:00:00Z">
        <w:r>
          <w:delText>strong. There</w:delText>
        </w:r>
      </w:del>
      <w:r>
        <w:t xml:space="preserve"> </w:t>
      </w:r>
      <w:ins w:id="428" w:author="Revision" w:date="2026-08-25T00:00:00Z">
        <w:r>
          <w:t>the damp. On this view, treating absence directly</w:t>
        </w:r>
      </w:ins>
      <w:r>
        <w:t xml:space="preserve"> is </w:t>
      </w:r>
      <w:del w:id="429" w:author="Revision" w:date="2026-08-25T00:00:00Z">
        <w:r>
          <w:delText>a budget question too:</w:delText>
        </w:r>
      </w:del>
      <w:r>
        <w:t xml:space="preserve"> </w:t>
      </w:r>
      <w:ins w:id="430" w:author="Revision" w:date="2026-08-25T00:00:00Z">
        <w:r>
          <w:t>futile, because</w:t>
        </w:r>
      </w:ins>
      <w:r>
        <w:t xml:space="preserve"> the </w:t>
      </w:r>
      <w:del w:id="431" w:author="Revision" w:date="2026-08-25T00:00:00Z">
        <w:r>
          <w:delText>£606,000 already spent annually on supported bus routes</w:delText>
        </w:r>
      </w:del>
      <w:r>
        <w:t xml:space="preserve"> </w:t>
      </w:r>
      <w:ins w:id="432" w:author="Revision" w:date="2026-08-25T00:00:00Z">
        <w:r>
          <w:t>underlying poverty will simply keep bringing it back. The analogy captures something real. At pupil level the association between disadvantage</w:t>
        </w:r>
      </w:ins>
      <w:r>
        <w:t xml:space="preserve"> and </w:t>
      </w:r>
      <w:del w:id="433" w:author="Revision" w:date="2026-08-25T00:00:00Z">
        <w:r>
          <w:delText>passes</w:delText>
        </w:r>
        <w:r>
          <w:rPr>
            <w:rStyle w:val="FootnoteReference"/>
          </w:rPr>
          <w:footnoteReference w:id="26"/>
        </w:r>
        <w:r>
          <w:delText>, plus any further travel-assistance spending</w:delText>
        </w:r>
      </w:del>
      <w:r>
        <w:t xml:space="preserve"> </w:t>
      </w:r>
      <w:ins w:id="456" w:author="Revision" w:date="2026-08-25T00:00:00Z">
        <w:r>
          <w:t xml:space="preserve">absence is strong and well evidenced (DfE 2025b), and our own decomposition (section 5.5) finds that a substantial part of school-level absence is inherited from intake rather </w:t>
        </w:r>
        <w:r>
          <w:lastRenderedPageBreak/>
          <w:t>than</w:t>
        </w:r>
      </w:ins>
      <w:r>
        <w:t xml:space="preserve"> generated by the </w:t>
      </w:r>
      <w:del w:id="457" w:author="Revision" w:date="2026-08-25T00:00:00Z">
        <w:r>
          <w:delText>admissions changes, would arguably have a stronger evidence base for raising disadvantaged attainment if invested directly in</w:delText>
        </w:r>
      </w:del>
      <w:r>
        <w:t xml:space="preserve"> </w:t>
      </w:r>
      <w:ins w:id="458" w:author="Revision" w:date="2026-08-25T00:00:00Z">
        <w:r>
          <w:t>school. Any serious</w:t>
        </w:r>
      </w:ins>
      <w:r>
        <w:t xml:space="preserve"> attendance </w:t>
      </w:r>
      <w:del w:id="459" w:author="Revision" w:date="2026-08-25T00:00:00Z">
        <w:r>
          <w:delText>support, family liaison and pastoral capacity in</w:delText>
        </w:r>
      </w:del>
      <w:r>
        <w:t xml:space="preserve"> </w:t>
      </w:r>
      <w:ins w:id="460" w:author="Revision" w:date="2026-08-25T00:00:00Z">
        <w:r>
          <w:t>strategy must therefore engage with</w:t>
        </w:r>
      </w:ins>
      <w:r>
        <w:t xml:space="preserve"> the </w:t>
      </w:r>
      <w:del w:id="461" w:author="Revision" w:date="2026-08-25T00:00:00Z">
        <w:r>
          <w:delText>city’s most affected schools.</w:delText>
        </w:r>
      </w:del>
      <w:r>
        <w:t xml:space="preserve"> </w:t>
      </w:r>
      <w:ins w:id="462" w:author="Revision" w:date="2026-08-25T00:00:00Z">
        <w:r>
          <w:t>material circumstances of families, not merely with attendance procedures.</w:t>
        </w:r>
      </w:ins>
    </w:p>
    <w:p w14:paraId="325A6620" w14:textId="77777777" w:rsidR="001A6FB3" w:rsidRDefault="00000000">
      <w:pPr>
        <w:pStyle w:val="BodyText"/>
      </w:pPr>
      <w:ins w:id="463" w:author="Revision" w:date="2026-08-25T00:00:00Z">
        <w:r>
          <w:t xml:space="preserve">But the analogy does not explain Brighton and Hove. Across English local education authorities, differences in poverty account for remarkably little of the difference in absence: regressing LEA mean absence on LEA mean FSM eligibility across the 152 authorities in our latest year yields an </w:t>
        </w:r>
      </w:ins>
      <m:oMath>
        <m:sSup>
          <m:sSupPr>
            <m:ctrlPr>
              <w:rPr>
                <w:rFonts w:ascii="Cambria Math" w:hAnsi="Cambria Math"/>
              </w:rPr>
            </m:ctrlPr>
          </m:sSupPr>
          <m:e>
            <m:r>
              <w:ins w:id="464" w:author="Revision" w:date="2026-08-25T00:00:00Z">
                <w:rPr>
                  <w:rFonts w:ascii="Cambria Math" w:hAnsi="Cambria Math"/>
                </w:rPr>
                <m:t>R</m:t>
              </w:ins>
            </m:r>
          </m:e>
          <m:sup>
            <m:r>
              <w:ins w:id="465" w:author="Revision" w:date="2026-08-25T00:00:00Z">
                <w:rPr>
                  <w:rFonts w:ascii="Cambria Math" w:hAnsi="Cambria Math"/>
                </w:rPr>
                <m:t>2</m:t>
              </w:ins>
            </m:r>
          </m:sup>
        </m:sSup>
      </m:oMath>
      <w:ins w:id="466" w:author="Revision" w:date="2026-08-25T00:00:00Z">
        <w:r>
          <w:t xml:space="preserve"> of just 0.05. Brighton and Hove’s own position makes the point sharply. Its FSM rate (28.8%) is slightly </w:t>
        </w:r>
        <w:r>
          <w:rPr>
            <w:i/>
            <w:iCs/>
          </w:rPr>
          <w:t>below</w:t>
        </w:r>
        <w:r>
          <w:t xml:space="preserve"> 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 </w:t>
        </w:r>
        <w:r>
          <w:rPr>
            <w:i/>
            <w:iCs/>
          </w:rPr>
          <w:t>highest</w:t>
        </w:r>
        <w:r>
          <w:t xml:space="preserve"> absence of all, some 2.3 percentage points above their average. And where absence fell in 94% of local authorities between 2021–22 and 2024–25, the city’s did not move. There is damp in many places; the mould is markedly worse here, and it is not getting better as it is elsewhere.</w:t>
        </w:r>
      </w:ins>
    </w:p>
    <w:p w14:paraId="510CB4BD" w14:textId="77777777" w:rsidR="001A6FB3" w:rsidRDefault="00000000">
      <w:pPr>
        <w:pStyle w:val="BodyText"/>
      </w:pPr>
      <w:ins w:id="467" w:author="Revision" w:date="2026-08-25T00:00:00Z">
        <w:r>
          <w:t xml:space="preserve">The reasonable conclusion is not that poverty is irrelevant to absence, but that it cannot be the explanation for Brighton and Hove’s position, and that treating the city’s absence as an inevitable consequence of its social composition is empirically unsupported.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w:t>
        </w:r>
        <w:r>
          <w:lastRenderedPageBreak/>
          <w:t>programme alongside its school-level work, the case for one is strong to introduce one. There is a budget question too: the £606,000 already spent annually on supported bus routes and passes</w:t>
        </w:r>
        <w:r>
          <w:rPr>
            <w:rStyle w:val="FootnoteReference"/>
          </w:rPr>
          <w:footnoteReference w:id="27"/>
        </w:r>
        <w:r>
          <w:t>,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ins>
    </w:p>
    <w:p w14:paraId="6F7E8BB4" w14:textId="77777777" w:rsidR="001A6FB3" w:rsidRDefault="00000000">
      <w:pPr>
        <w:pStyle w:val="Heading2"/>
      </w:pPr>
      <w:bookmarkStart w:id="480" w:name="Xe20933ab3677df6d1953e5d7ada5fd38009a941"/>
      <w:bookmarkEnd w:id="378"/>
      <w:r>
        <w:t>6.3 A new value-added view to support better local decisions</w:t>
      </w:r>
    </w:p>
    <w:p w14:paraId="64C25872" w14:textId="77777777" w:rsidR="001A6FB3" w:rsidRDefault="00000000">
      <w:pPr>
        <w:pStyle w:val="FirstParagraph"/>
      </w:pPr>
      <w:r>
        <w:t xml:space="preserve">Another contribution of this work is methodological. The multilevel model lets us look beyond a school’s raw attainment outcomes and ask how much it is adding </w:t>
      </w:r>
      <w:r>
        <w:rPr>
          <w:i/>
          <w:iCs/>
        </w:rPr>
        <w:t>over and above</w:t>
      </w:r>
      <w:r>
        <w:t xml:space="preserve"> 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w:t>
      </w:r>
      <w:r>
        <w:lastRenderedPageBreak/>
        <w:t>disadvantaged catchments is, on this view, doing materially better for its disadvantaged pupils than the schools to which a number of those pupils’ families have been opting to travel.</w:t>
      </w:r>
    </w:p>
    <w:p w14:paraId="0EC80886" w14:textId="77777777" w:rsidR="001A6FB3" w:rsidRDefault="00000000">
      <w:pPr>
        <w:pStyle w:val="BodyText"/>
      </w:pPr>
      <w:del w:id="481" w:author="Revision" w:date="2026-08-25T00:00:00Z">
        <w:r>
          <w:delText>+:——————————————————————————————————————–:+</w:delText>
        </w:r>
      </w:del>
      <w:r>
        <w:t xml:space="preserve"> </w:t>
      </w:r>
      <w:ins w:id="482" w:author="Revision" w:date="2026-08-25T00:00:00Z">
        <w:r>
          <w:rPr>
            <w:i/>
            <w:iCs/>
          </w:rPr>
          <w:t>[Table 3: Value-added rankings for Brighton and Hove schools (panel model residuals by year, in Attainment 8 points). — about here]</w:t>
        </w:r>
      </w:ins>
    </w:p>
    <w:p w14:paraId="2AFBC0DE" w14:textId="77777777" w:rsidR="001A6FB3" w:rsidRDefault="00000000">
      <w:pPr>
        <w:pStyle w:val="BodyText"/>
      </w:pPr>
      <w:r>
        <w:t>During the 2024 consultation, the public debate shifted from how the council’s proposals would improve disadvantaged attainment to how they would facilitate parental choice. An activist group (Equity in Education</w:t>
      </w:r>
      <w:r>
        <w:rPr>
          <w:rStyle w:val="FootnoteReference"/>
        </w:rPr>
        <w:footnoteReference w:id="28"/>
      </w:r>
      <w:r>
        <w:t xml:space="preserve"> - supported by Class Divide) emerged from within the BACA catchment advocating for alternatives to that school, which then had a ‘requires improvement’ Ofsted rating and some of the city’s lowest raw attainment scores. A considerable number of BACA-catchment parents subsequently opted for Patcham School - ‘Good’ rated, mid-table on raw attainment, in a more prosperous neighbouring catchment.</w:t>
      </w:r>
    </w:p>
    <w:p w14:paraId="1722C35E" w14:textId="77777777" w:rsidR="001A6FB3" w:rsidRDefault="00000000">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 </w:t>
      </w:r>
      <w:hyperlink w:anchor="tbl-league">
        <w:r>
          <w:rPr>
            <w:rStyle w:val="Hyperlink"/>
          </w:rPr>
          <w:t>Table 3</w:t>
        </w:r>
      </w:hyperlink>
      <w:r>
        <w:t xml:space="preserve"> (derived from </w:t>
      </w:r>
      <w:hyperlink w:anchor="fig-obs-vs-pred">
        <w:r>
          <w:rPr>
            <w:rStyle w:val="Hyperlink"/>
          </w:rPr>
          <w:t>Figure 5</w:t>
        </w:r>
      </w:hyperlink>
      <w:r>
        <w:t>) show that in 2024-25 a disadvantaged pupil at BACA left, on average, with GCSE results around 5.7 points higher than a comparable pupil at a similar school elsewhere in England, with a four-year average around 3.1 points higher - substantially above the fraction of a point that might be expected from altering schools’ disadvantage mix. BACA out-</w:t>
      </w:r>
      <w:r>
        <w:lastRenderedPageBreak/>
        <w:t>performs every other school in the city for disadvantaged pupils, including those popularly viewed as the ‘best’. Its April 2025 Ofsted upgrade to ‘Good’ in all five areas[^19] is unsurprising in the context of this analysis, but would have been surprising to anyone looking only at prior raw attainment and Ofsted ratings. Patcham, by contrast, sits ~2.4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p w14:paraId="2BADA1E6" w14:textId="77777777" w:rsidR="001A6FB3" w:rsidRDefault="00000000">
      <w:pPr>
        <w:pStyle w:val="BodyText"/>
      </w:pPr>
      <w:del w:id="486" w:author="Revision" w:date="2026-08-25T00:00:00Z">
        <w:r>
          <w:delText>During the 2024 consultation, the public debate shifted from how the council’s proposals would improve disadvantaged attainment to how they would facilitate parental choice. An activist group (Equity in Education — supported by Class Divide) emerged from within the BACA catchment advocating for alternatives to that school, which then had a ‘requires improvement’ Ofsted rating and some of the city’s lowest raw attainment scores. A considerable number of BACA-catchment parents subsequently opted for Patcham School — ‘Good’ rated, mid-table on raw attainment, in a more prosperous neighbouring catchment.</w:delText>
        </w:r>
      </w:del>
    </w:p>
    <w:p w14:paraId="3F28C999" w14:textId="77777777" w:rsidR="001A6FB3" w:rsidRDefault="00000000">
      <w:pPr>
        <w:pStyle w:val="BodyText"/>
      </w:pPr>
      <w:del w:id="487" w:author="Revision" w:date="2026-08-25T00:00:00Z">
        <w:r>
          <w:delTex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 </w:delText>
        </w:r>
      </w:del>
      <w:r>
        <w:fldChar w:fldCharType="begin"/>
      </w:r>
      <w:r>
        <w:instrText>HYPERLINK \l "tbl-league" \h</w:instrText>
      </w:r>
      <w:r>
        <w:fldChar w:fldCharType="separate"/>
      </w:r>
      <w:del w:id="488" w:author="Revision" w:date="2026-08-25T00:00:00Z">
        <w:r>
          <w:rPr>
            <w:rStyle w:val="Hyperlink"/>
          </w:rPr>
          <w:delText>Table 2</w:delText>
        </w:r>
      </w:del>
      <w:r>
        <w:fldChar w:fldCharType="end"/>
      </w:r>
      <w:del w:id="489" w:author="Revision" w:date="2026-08-25T00:00:00Z">
        <w:r>
          <w:delText xml:space="preserve"> (derived from </w:delText>
        </w:r>
      </w:del>
      <w:r>
        <w:fldChar w:fldCharType="begin"/>
      </w:r>
      <w:r>
        <w:instrText>HYPERLINK \l "fig-obs-vs-pred" \h</w:instrText>
      </w:r>
      <w:r>
        <w:fldChar w:fldCharType="separate"/>
      </w:r>
      <w:del w:id="490" w:author="Revision" w:date="2026-08-25T00:00:00Z">
        <w:r>
          <w:rPr>
            <w:rStyle w:val="Hyperlink"/>
          </w:rPr>
          <w:delText>Figure 5</w:delText>
        </w:r>
      </w:del>
      <w:r>
        <w:fldChar w:fldCharType="end"/>
      </w:r>
      <w:del w:id="491" w:author="Revision" w:date="2026-08-25T00:00:00Z">
        <w:r>
          <w:delText xml:space="preserve">) show that in 2024-25 a disadvantaged pupil at BACA left, on average, with GCSE results around 5 points higher than a comparable pupil at a similar school elsewhere in England, with a four-year average around 3 points higher — substantially above the fraction </w:delText>
        </w:r>
        <w:r>
          <w:lastRenderedPageBreak/>
          <w:delText>of a point that might be expected from altering schools’ disadvantage mix. BACA out-performs every other school in the city for disadvantaged pupils, including those popularly viewed as the ‘best’. Its April 2025 Ofsted upgrade to ‘Good’ in all five areas</w:delText>
        </w:r>
        <w:r>
          <w:rPr>
            <w:rStyle w:val="FootnoteReference"/>
          </w:rPr>
          <w:footnoteReference w:id="29"/>
        </w:r>
        <w:r>
          <w:delText xml:space="preserve"> is unsurprising in the context of this analysis, but would have been surprising to anyone looking only at prior raw attainment and Ofsted ratings. 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delText>
        </w:r>
      </w:del>
    </w:p>
    <w:p w14:paraId="1ACAD2A5" w14:textId="77777777" w:rsidR="001A6FB3" w:rsidRDefault="00000000">
      <w:pPr>
        <w:pStyle w:val="Heading2"/>
      </w:pPr>
      <w:bookmarkStart w:id="499" w:name="viability-versus-attainment"/>
      <w:bookmarkEnd w:id="480"/>
      <w:r>
        <w:t>6.4 Viability versus attainment</w:t>
      </w:r>
    </w:p>
    <w:p w14:paraId="71FFB22B" w14:textId="77777777" w:rsidR="001A6FB3" w:rsidRDefault="00000000">
      <w:pPr>
        <w:pStyle w:val="FirstParagraph"/>
      </w:pPr>
      <w:r>
        <w:t xml:space="preserve">The cabinet </w:t>
      </w:r>
      <w:del w:id="500" w:author="Revision" w:date="2026-08-25T00:00:00Z">
        <w:r>
          <w:delText>papers</w:delText>
        </w:r>
        <w:r>
          <w:rPr>
            <w:rStyle w:val="FootnoteReference"/>
          </w:rPr>
          <w:footnoteReference w:id="30"/>
        </w:r>
      </w:del>
      <w:r>
        <w:t xml:space="preserve"> </w:t>
      </w:r>
      <w:ins w:id="524" w:author="Revision" w:date="2026-08-25T00:00:00Z">
        <w:r>
          <w:t>papers[^20]</w:t>
        </w:r>
      </w:ins>
      <w:r>
        <w:t xml:space="preserve"> set out the financial-sustainability rationale plainly. Schools in England are funded almost entirely on a per-pupil basis, so falling pupil numbers across the city </w:t>
      </w:r>
      <w:r>
        <w:lastRenderedPageBreak/>
        <w:t xml:space="preserve">would, in time, leave some schools struggling to operate efficiently or </w:t>
      </w:r>
      <w:r>
        <w:rPr>
          <w:i/>
          <w:iCs/>
        </w:rPr>
        <w:t>‘offer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 </w:t>
      </w:r>
      <w:r>
        <w:rPr>
          <w:i/>
          <w:iCs/>
        </w:rPr>
        <w:t>‘the largest percentage of [disadvantaged] pupils attend the schools with the lowest pupil numbers’</w:t>
      </w:r>
      <w:r>
        <w:t xml:space="preserve"> —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14:paraId="79631E98" w14:textId="77777777" w:rsidR="001A6FB3" w:rsidRDefault="00000000">
      <w:pPr>
        <w:pStyle w:val="BodyText"/>
      </w:pPr>
      <w:r>
        <w:t>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p w14:paraId="6A999A89" w14:textId="77777777" w:rsidR="001A6FB3" w:rsidRDefault="00000000">
      <w:pPr>
        <w:pStyle w:val="Heading2"/>
      </w:pPr>
      <w:bookmarkStart w:id="525" w:name="X2dc1e25831320d1a74d077cb5486706b023786d"/>
      <w:bookmarkEnd w:id="499"/>
      <w:r>
        <w:lastRenderedPageBreak/>
        <w:t xml:space="preserve">6.5 </w:t>
      </w:r>
      <w:del w:id="526" w:author="Revision" w:date="2026-08-25T00:00:00Z">
        <w:r>
          <w:delText>What is driving Brighton</w:delText>
        </w:r>
      </w:del>
      <w:r>
        <w:t xml:space="preserve"> </w:t>
      </w:r>
      <w:ins w:id="527" w:author="Revision" w:date="2026-08-25T00:00:00Z">
        <w:r>
          <w:t>Conditional performance</w:t>
        </w:r>
      </w:ins>
      <w:r>
        <w:t xml:space="preserve"> and </w:t>
      </w:r>
      <w:del w:id="528" w:author="Revision" w:date="2026-08-25T00:00:00Z">
        <w:r>
          <w:delText>Hove’s over-achievement? And what we don’t yet know</w:delText>
        </w:r>
      </w:del>
      <w:r>
        <w:t xml:space="preserve"> </w:t>
      </w:r>
      <w:ins w:id="529" w:author="Revision" w:date="2026-08-25T00:00:00Z">
        <w:r>
          <w:t>the cost of absence</w:t>
        </w:r>
      </w:ins>
    </w:p>
    <w:p w14:paraId="21CA7A93" w14:textId="77777777" w:rsidR="001A6FB3" w:rsidRDefault="00000000">
      <w:pPr>
        <w:pStyle w:val="FirstParagraph"/>
      </w:pPr>
      <w:r>
        <w:t xml:space="preserve">The LEA random effect for Brighton and Hove is </w:t>
      </w:r>
      <w:del w:id="530" w:author="Revision" w:date="2026-08-25T00:00:00Z">
        <w:r>
          <w:delText>large and</w:delText>
        </w:r>
      </w:del>
      <w:r>
        <w:t xml:space="preserve"> </w:t>
      </w:r>
      <w:ins w:id="531" w:author="Revision" w:date="2026-08-25T00:00:00Z">
        <w:r>
          <w:t>positive and, in the main model,</w:t>
        </w:r>
      </w:ins>
      <w:r>
        <w:t xml:space="preserve"> statistically significant across all three attainment groups. </w:t>
      </w:r>
      <w:del w:id="532" w:author="Revision" w:date="2026-08-25T00:00:00Z">
        <w:r>
          <w:delText>After accounting for</w:delText>
        </w:r>
      </w:del>
      <w:r>
        <w:t xml:space="preserve"> </w:t>
      </w:r>
      <w:ins w:id="533" w:author="Revision" w:date="2026-08-25T00:00:00Z">
        <w:r>
          <w:t>As section 5.2 set out, however, this result is conditional on how</w:t>
        </w:r>
      </w:ins>
      <w:r>
        <w:t xml:space="preserve"> the </w:t>
      </w:r>
      <w:del w:id="534" w:author="Revision" w:date="2026-08-25T00:00:00Z">
        <w:r>
          <w:delText>structural (disadvantage,</w:delText>
        </w:r>
      </w:del>
      <w:r>
        <w:t xml:space="preserve"> </w:t>
      </w:r>
      <w:ins w:id="535" w:author="Revision" w:date="2026-08-25T00:00:00Z">
        <w:r>
          <w:t>model treats</w:t>
        </w:r>
      </w:ins>
      <w:r>
        <w:t xml:space="preserve"> absence, </w:t>
      </w:r>
      <w:del w:id="536" w:author="Revision" w:date="2026-08-25T00:00:00Z">
        <w:r>
          <w:delText>prior attainment) or school management</w:delText>
        </w:r>
      </w:del>
      <w:r>
        <w:t xml:space="preserve"> and </w:t>
      </w:r>
      <w:del w:id="537" w:author="Revision" w:date="2026-08-25T00:00:00Z">
        <w:r>
          <w:delText>governance (workforce characteristics, staff retention) factors in</w:delText>
        </w:r>
      </w:del>
      <w:r>
        <w:t xml:space="preserve"> the </w:t>
      </w:r>
      <w:del w:id="538" w:author="Revision" w:date="2026-08-25T00:00:00Z">
        <w:r>
          <w:delText>model - schools in</w:delText>
        </w:r>
      </w:del>
      <w:r>
        <w:t xml:space="preserve"> </w:t>
      </w:r>
      <w:ins w:id="539" w:author="Revision" w:date="2026-08-25T00:00:00Z">
        <w:r>
          <w:t>city’s attendance is so extreme that</w:t>
        </w:r>
      </w:ins>
      <w:r>
        <w:t xml:space="preserve"> the </w:t>
      </w:r>
      <w:del w:id="540" w:author="Revision" w:date="2026-08-25T00:00:00Z">
        <w:r>
          <w:delText>city consistently outperform what</w:delText>
        </w:r>
      </w:del>
      <w:r>
        <w:t xml:space="preserve"> </w:t>
      </w:r>
      <w:ins w:id="541" w:author="Revision" w:date="2026-08-25T00:00:00Z">
        <w:r>
          <w:t>conditioning does most of</w:t>
        </w:r>
      </w:ins>
      <w:r>
        <w:t xml:space="preserve"> the </w:t>
      </w:r>
      <w:del w:id="542" w:author="Revision" w:date="2026-08-25T00:00:00Z">
        <w:r>
          <w:delText>national picture would predict. For disadvantaged pupils,</w:delText>
        </w:r>
      </w:del>
      <w:r>
        <w:t xml:space="preserve"> </w:t>
      </w:r>
      <w:ins w:id="543" w:author="Revision" w:date="2026-08-25T00:00:00Z">
        <w:r>
          <w:t>work. Controlling for absence,</w:t>
        </w:r>
      </w:ins>
      <w:r>
        <w:t xml:space="preserve"> the </w:t>
      </w:r>
      <w:del w:id="544" w:author="Revision" w:date="2026-08-25T00:00:00Z">
        <w:r>
          <w:delText>city ranks 7th;</w:delText>
        </w:r>
      </w:del>
      <w:r>
        <w:t xml:space="preserve"> </w:t>
      </w:r>
      <w:ins w:id="545" w:author="Revision" w:date="2026-08-25T00:00:00Z">
        <w:r>
          <w:t>city’s schools rank 15th of 151</w:t>
        </w:r>
      </w:ins>
      <w:r>
        <w:t xml:space="preserve"> for </w:t>
      </w:r>
      <w:del w:id="546" w:author="Revision" w:date="2026-08-25T00:00:00Z">
        <w:r>
          <w:delText>non-disadvantaged pupils, 5th;</w:delText>
        </w:r>
      </w:del>
      <w:r>
        <w:t xml:space="preserve"> </w:t>
      </w:r>
      <w:ins w:id="547" w:author="Revision" w:date="2026-08-25T00:00:00Z">
        <w:r>
          <w:t>disadvantaged attainment; without that control they rank 69th and are statistically ordinary. We take neither number as the whole truth. Together they say something more useful than either alone: Brighton and Hove’s schools appear to be genuinely effective</w:t>
        </w:r>
      </w:ins>
      <w:r>
        <w:t xml:space="preserve"> for </w:t>
      </w:r>
      <w:del w:id="548" w:author="Revision" w:date="2026-08-25T00:00:00Z">
        <w:r>
          <w:delText>all pupils, 4th</w:delText>
        </w:r>
      </w:del>
      <w:r>
        <w:t xml:space="preserve"> </w:t>
      </w:r>
      <w:ins w:id="549" w:author="Revision" w:date="2026-08-25T00:00:00Z">
        <w:r>
          <w:t>the pupils who attend them, and the city’s attendance problem is large enough to erase that advantage</w:t>
        </w:r>
      </w:ins>
      <w:r>
        <w:t xml:space="preserve"> in </w:t>
      </w:r>
      <w:del w:id="550" w:author="Revision" w:date="2026-08-25T00:00:00Z">
        <w:r>
          <w:delText>England.</w:delText>
        </w:r>
      </w:del>
      <w:r>
        <w:t xml:space="preserve"> </w:t>
      </w:r>
      <w:ins w:id="551" w:author="Revision" w:date="2026-08-25T00:00:00Z">
        <w:r>
          <w:t>the aggregate.</w:t>
        </w:r>
      </w:ins>
    </w:p>
    <w:p w14:paraId="6FCD1617" w14:textId="77777777" w:rsidR="001A6FB3" w:rsidRDefault="00000000">
      <w:pPr>
        <w:pStyle w:val="BodyText"/>
      </w:pPr>
      <w:del w:id="552" w:author="Revision" w:date="2026-08-25T00:00:00Z">
        <w:r>
          <w:delText>This is a genuinely important finding that should re-frame the policy conversation.</w:delText>
        </w:r>
      </w:del>
      <w:r>
        <w:t xml:space="preserve"> The </w:t>
      </w:r>
      <w:del w:id="553" w:author="Revision" w:date="2026-08-25T00:00:00Z">
        <w:r>
          <w:delText>starting point for</w:delText>
        </w:r>
      </w:del>
      <w:r>
        <w:t xml:space="preserve"> </w:t>
      </w:r>
      <w:ins w:id="554" w:author="Revision" w:date="2026-08-25T00:00:00Z">
        <w:r>
          <w:t>distance between</w:t>
        </w:r>
      </w:ins>
      <w:r>
        <w:t xml:space="preserve"> the </w:t>
      </w:r>
      <w:del w:id="555" w:author="Revision" w:date="2026-08-25T00:00:00Z">
        <w:r>
          <w:delText>2024 consultation was</w:delText>
        </w:r>
      </w:del>
      <w:r>
        <w:t xml:space="preserve"> </w:t>
      </w:r>
      <w:ins w:id="556" w:author="Revision" w:date="2026-08-25T00:00:00Z">
        <w:r>
          <w:t>two rankings has</w:t>
        </w:r>
      </w:ins>
      <w:r>
        <w:t xml:space="preserve"> a </w:t>
      </w:r>
      <w:del w:id="557" w:author="Revision" w:date="2026-08-25T00:00:00Z">
        <w:r>
          <w:delText>narrative of failure — the city was presented as uniquely failing its</w:delText>
        </w:r>
      </w:del>
      <w:r>
        <w:t xml:space="preserve"> </w:t>
      </w:r>
      <w:ins w:id="558" w:author="Revision" w:date="2026-08-25T00:00:00Z">
        <w:r>
          <w:t>concrete interpretation. It is roughly 1.4 Attainment 8 points per</w:t>
        </w:r>
      </w:ins>
      <w:r>
        <w:t xml:space="preserve"> disadvantaged </w:t>
      </w:r>
      <w:del w:id="559" w:author="Revision" w:date="2026-08-25T00:00:00Z">
        <w:r>
          <w:delText>students, sitting on a vast attainment gap, with radical structural reform required to address</w:delText>
        </w:r>
      </w:del>
      <w:r>
        <w:t xml:space="preserve"> </w:t>
      </w:r>
      <w:ins w:id="560" w:author="Revision" w:date="2026-08-25T00:00:00Z">
        <w:r>
          <w:t>pupil -</w:t>
        </w:r>
      </w:ins>
      <w:r>
        <w:t xml:space="preserve"> the </w:t>
      </w:r>
      <w:del w:id="561" w:author="Revision" w:date="2026-08-25T00:00:00Z">
        <w:r>
          <w:delText>problem. The evidence suggests</w:delText>
        </w:r>
      </w:del>
      <w:r>
        <w:t xml:space="preserve"> </w:t>
      </w:r>
      <w:ins w:id="562" w:author="Revision" w:date="2026-08-25T00:00:00Z">
        <w:r>
          <w:t>difference between what</w:t>
        </w:r>
      </w:ins>
      <w:r>
        <w:t xml:space="preserve"> the </w:t>
      </w:r>
      <w:del w:id="563" w:author="Revision" w:date="2026-08-25T00:00:00Z">
        <w:r>
          <w:delText>opposite: Brighton</w:delText>
        </w:r>
      </w:del>
      <w:r>
        <w:t xml:space="preserve"> </w:t>
      </w:r>
      <w:ins w:id="564" w:author="Revision" w:date="2026-08-25T00:00:00Z">
        <w:r>
          <w:t>city’s disadvantaged children achieve</w:t>
        </w:r>
      </w:ins>
      <w:r>
        <w:t xml:space="preserve"> and </w:t>
      </w:r>
      <w:del w:id="565" w:author="Revision" w:date="2026-08-25T00:00:00Z">
        <w:r>
          <w:delText>Hove is one of the highest-performing LEAs in the country once we account for the factors that we know drive attainment. Rather than asking</w:delText>
        </w:r>
      </w:del>
      <w:r>
        <w:t xml:space="preserve"> what </w:t>
      </w:r>
      <w:del w:id="566" w:author="Revision" w:date="2026-08-25T00:00:00Z">
        <w:r>
          <w:delText>the city is doing wrong,</w:delText>
        </w:r>
      </w:del>
      <w:r>
        <w:t xml:space="preserve"> </w:t>
      </w:r>
      <w:ins w:id="567" w:author="Revision" w:date="2026-08-25T00:00:00Z">
        <w:r>
          <w:t>they might achieve if their schools’ underlying effectiveness were not being drained by absence. Read this way,</w:t>
        </w:r>
      </w:ins>
      <w:r>
        <w:t xml:space="preserve"> the </w:t>
      </w:r>
      <w:del w:id="568" w:author="Revision" w:date="2026-08-25T00:00:00Z">
        <w:r>
          <w:delText>more productive question</w:delText>
        </w:r>
      </w:del>
      <w:r>
        <w:t xml:space="preserve"> </w:t>
      </w:r>
      <w:ins w:id="569" w:author="Revision" w:date="2026-08-25T00:00:00Z">
        <w:r>
          <w:lastRenderedPageBreak/>
          <w:t>city’s attendance</w:t>
        </w:r>
      </w:ins>
      <w:r>
        <w:t xml:space="preserve"> is </w:t>
      </w:r>
      <w:del w:id="570" w:author="Revision" w:date="2026-08-25T00:00:00Z">
        <w:r>
          <w:delText>what</w:delText>
        </w:r>
      </w:del>
      <w:r>
        <w:t xml:space="preserve"> </w:t>
      </w:r>
      <w:ins w:id="571" w:author="Revision" w:date="2026-08-25T00:00:00Z">
        <w:r>
          <w:t>not a caveat to a good-news story;</w:t>
        </w:r>
      </w:ins>
      <w:r>
        <w:t xml:space="preserve"> it is </w:t>
      </w:r>
      <w:del w:id="572" w:author="Revision" w:date="2026-08-25T00:00:00Z">
        <w:r>
          <w:delText>doing right — and how that can be protected and extended?</w:delText>
        </w:r>
      </w:del>
      <w:r>
        <w:t xml:space="preserve"> </w:t>
      </w:r>
      <w:ins w:id="573" w:author="Revision" w:date="2026-08-25T00:00:00Z">
        <w:r>
          <w:t>the story.</w:t>
        </w:r>
      </w:ins>
    </w:p>
    <w:p w14:paraId="29D57581" w14:textId="77777777" w:rsidR="001A6FB3" w:rsidRDefault="00000000">
      <w:pPr>
        <w:pStyle w:val="BodyText"/>
      </w:pPr>
      <w:del w:id="574" w:author="Revision" w:date="2026-08-25T00:00:00Z">
        <w:r>
          <w:delText>The honest answer is that we do not yet know</w:delText>
        </w:r>
      </w:del>
      <w:r>
        <w:t xml:space="preserve"> </w:t>
      </w:r>
      <w:ins w:id="575" w:author="Revision" w:date="2026-08-25T00:00:00Z">
        <w:r>
          <w:t>This reframes</w:t>
        </w:r>
      </w:ins>
      <w:r>
        <w:t xml:space="preserve"> what </w:t>
      </w:r>
      <w:del w:id="576" w:author="Revision" w:date="2026-08-25T00:00:00Z">
        <w:r>
          <w:delText>produces this LEA effect. The random effect, by definition, captures variance that</w:delText>
        </w:r>
      </w:del>
      <w:r>
        <w:t xml:space="preserve"> the </w:t>
      </w:r>
      <w:del w:id="577" w:author="Revision" w:date="2026-08-25T00:00:00Z">
        <w:r>
          <w:delText>fixed-effect predictors do not explain. It could reflect high levels of parental engagement</w:delText>
        </w:r>
      </w:del>
      <w:r>
        <w:t xml:space="preserve"> </w:t>
      </w:r>
      <w:ins w:id="578" w:author="Revision" w:date="2026-08-25T00:00:00Z">
        <w:r>
          <w:t>2024 consultation got right</w:t>
        </w:r>
      </w:ins>
      <w:r>
        <w:t xml:space="preserve"> and </w:t>
      </w:r>
      <w:del w:id="579" w:author="Revision" w:date="2026-08-25T00:00:00Z">
        <w:r>
          <w:delText>aspiration —</w:delText>
        </w:r>
      </w:del>
      <w:r>
        <w:t xml:space="preserve"> </w:t>
      </w:r>
      <w:ins w:id="580" w:author="Revision" w:date="2026-08-25T00:00:00Z">
        <w:r>
          <w:t>what it got wrong. The council was not wrong that</w:t>
        </w:r>
      </w:ins>
      <w:r>
        <w:t xml:space="preserve"> Brighton and Hove has a </w:t>
      </w:r>
      <w:del w:id="581" w:author="Revision" w:date="2026-08-25T00:00:00Z">
        <w:r>
          <w:delText>well-educated population with a strong civic culture. It could relate to the quality of school leadership and governance across</w:delText>
        </w:r>
      </w:del>
      <w:r>
        <w:t xml:space="preserve"> </w:t>
      </w:r>
      <w:ins w:id="582" w:author="Revision" w:date="2026-08-25T00:00:00Z">
        <w:r>
          <w:t>problem: unconditionally, its disadvantaged pupils do no better than</w:t>
        </w:r>
      </w:ins>
      <w:r>
        <w:t xml:space="preserve"> the </w:t>
      </w:r>
      <w:del w:id="583" w:author="Revision" w:date="2026-08-25T00:00:00Z">
        <w:r>
          <w:delText>city, or to effective local authority support services</w:delText>
        </w:r>
      </w:del>
      <w:r>
        <w:t xml:space="preserve"> </w:t>
      </w:r>
      <w:ins w:id="584" w:author="Revision" w:date="2026-08-25T00:00:00Z">
        <w:r>
          <w:t>national average,</w:t>
        </w:r>
      </w:ins>
      <w:r>
        <w:t xml:space="preserve"> and </w:t>
      </w:r>
      <w:del w:id="585" w:author="Revision" w:date="2026-08-25T00:00:00Z">
        <w:r>
          <w:delText>school improvement programmes. It could be something about</w:delText>
        </w:r>
      </w:del>
      <w:r>
        <w:t xml:space="preserve"> the </w:t>
      </w:r>
      <w:del w:id="586" w:author="Revision" w:date="2026-08-25T00:00:00Z">
        <w:r>
          <w:delText>collaborative relationships between schools, or community factors that are difficult to quantify. It could even be</w:delText>
        </w:r>
      </w:del>
      <w:r>
        <w:t xml:space="preserve"> </w:t>
      </w:r>
      <w:ins w:id="587" w:author="Revision" w:date="2026-08-25T00:00:00Z">
        <w:r>
          <w:t>raw attainment gap</w:t>
        </w:r>
      </w:ins>
      <w:r>
        <w:t xml:space="preserve"> that </w:t>
      </w:r>
      <w:del w:id="588" w:author="Revision" w:date="2026-08-25T00:00:00Z">
        <w:r>
          <w:delText>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w:delText>
        </w:r>
      </w:del>
      <w:r>
        <w:t xml:space="preserve"> </w:t>
      </w:r>
      <w:ins w:id="589" w:author="Revision" w:date="2026-08-25T00:00:00Z">
        <w:r>
          <w:t>motivated the consultation is real.</w:t>
        </w:r>
      </w:ins>
      <w:r>
        <w:t xml:space="preserve"> What </w:t>
      </w:r>
      <w:del w:id="590" w:author="Revision" w:date="2026-08-25T00:00:00Z">
        <w:r>
          <w:delText>all of these hypotheses show, however,</w:delText>
        </w:r>
      </w:del>
      <w:r>
        <w:t xml:space="preserve"> </w:t>
      </w:r>
      <w:ins w:id="591" w:author="Revision" w:date="2026-08-25T00:00:00Z">
        <w:r>
          <w:t>the consultation got wrong was the diagnosis. Presented with an attainment gap,</w:t>
        </w:r>
      </w:ins>
      <w:r>
        <w:t xml:space="preserve"> it </w:t>
      </w:r>
      <w:del w:id="592" w:author="Revision" w:date="2026-08-25T00:00:00Z">
        <w:r>
          <w:delText>that identifying</w:delText>
        </w:r>
      </w:del>
      <w:r>
        <w:t xml:space="preserve"> </w:t>
      </w:r>
      <w:ins w:id="593" w:author="Revision" w:date="2026-08-25T00:00:00Z">
        <w:r>
          <w:t>reached for</w:t>
        </w:r>
      </w:ins>
      <w:r>
        <w:t xml:space="preserve"> the </w:t>
      </w:r>
      <w:del w:id="594" w:author="Revision" w:date="2026-08-25T00:00:00Z">
        <w:r>
          <w:delText>sources</w:delText>
        </w:r>
      </w:del>
      <w:r>
        <w:t xml:space="preserve"> </w:t>
      </w:r>
      <w:ins w:id="595" w:author="Revision" w:date="2026-08-25T00:00:00Z">
        <w:r>
          <w:t>social composition</w:t>
        </w:r>
      </w:ins>
      <w:r>
        <w:t xml:space="preserve"> of </w:t>
      </w:r>
      <w:del w:id="596" w:author="Revision" w:date="2026-08-25T00:00:00Z">
        <w:r>
          <w:delText>this over-performance is an important research question in its own right, and</w:delText>
        </w:r>
      </w:del>
      <w:r>
        <w:t xml:space="preserve"> </w:t>
      </w:r>
      <w:ins w:id="597" w:author="Revision" w:date="2026-08-25T00:00:00Z">
        <w:r>
          <w:t>schools -</w:t>
        </w:r>
      </w:ins>
      <w:r>
        <w:t xml:space="preserve"> one </w:t>
      </w:r>
      <w:ins w:id="598" w:author="Revision" w:date="2026-08-25T00:00:00Z">
        <w:r>
          <w:t>of the weakest levers our modelling identifies, and for disadvantaged pupils a lever</w:t>
        </w:r>
      </w:ins>
      <w:r>
        <w:t xml:space="preserve"> that </w:t>
      </w:r>
      <w:del w:id="599" w:author="Revision" w:date="2026-08-25T00:00:00Z">
        <w:r>
          <w:delText>could require additional qualitative investigation or access to pupil-level data</w:delText>
        </w:r>
      </w:del>
      <w:r>
        <w:t xml:space="preserve"> </w:t>
      </w:r>
      <w:ins w:id="600" w:author="Revision" w:date="2026-08-25T00:00:00Z">
        <w:r>
          <w:t>may point the wrong way (section 4.3, section 5.3) - while the factor</w:t>
        </w:r>
      </w:ins>
      <w:r>
        <w:t xml:space="preserve"> that </w:t>
      </w:r>
      <w:del w:id="601" w:author="Revision" w:date="2026-08-25T00:00:00Z">
        <w:r>
          <w:delText>goes beyond what is publicly available. But what is clear</w:delText>
        </w:r>
      </w:del>
      <w:r>
        <w:t xml:space="preserve"> </w:t>
      </w:r>
      <w:ins w:id="602" w:author="Revision" w:date="2026-08-25T00:00:00Z">
        <w:r>
          <w:t>actually separates the city’s conditional standing from its unconditional standing, attendance, was absent from the consultation entirely. The more accurate account</w:t>
        </w:r>
      </w:ins>
      <w:r>
        <w:t xml:space="preserve"> is </w:t>
      </w:r>
      <w:ins w:id="603" w:author="Revision" w:date="2026-08-25T00:00:00Z">
        <w:r>
          <w:t>not</w:t>
        </w:r>
      </w:ins>
      <w:r>
        <w:t xml:space="preserve"> that </w:t>
      </w:r>
      <w:del w:id="604" w:author="Revision" w:date="2026-08-25T00:00:00Z">
        <w:r>
          <w:delText>policy interventions which risk disrupting</w:delText>
        </w:r>
      </w:del>
      <w:r>
        <w:t xml:space="preserve"> a </w:t>
      </w:r>
      <w:del w:id="605" w:author="Revision" w:date="2026-08-25T00:00:00Z">
        <w:r>
          <w:delText xml:space="preserve">well-functioning system without </w:delText>
        </w:r>
        <w:r>
          <w:lastRenderedPageBreak/>
          <w:delText>understanding what makes</w:delText>
        </w:r>
      </w:del>
      <w:r>
        <w:t xml:space="preserve"> </w:t>
      </w:r>
      <w:ins w:id="606" w:author="Revision" w:date="2026-08-25T00:00:00Z">
        <w:r>
          <w:t>high-performing city was mistaken for a failing one, but that a city with one specific, severe, addressable problem was prescribed a treatment for a different problem</w:t>
        </w:r>
      </w:ins>
      <w:r>
        <w:t xml:space="preserve"> it </w:t>
      </w:r>
      <w:del w:id="607" w:author="Revision" w:date="2026-08-25T00:00:00Z">
        <w:r>
          <w:delText>function well carry substantial downside risks.</w:delText>
        </w:r>
      </w:del>
      <w:r>
        <w:t xml:space="preserve"> </w:t>
      </w:r>
      <w:ins w:id="608" w:author="Revision" w:date="2026-08-25T00:00:00Z">
        <w:r>
          <w:t>did not have.</w:t>
        </w:r>
      </w:ins>
    </w:p>
    <w:p w14:paraId="7D09A728" w14:textId="77777777" w:rsidR="001A6FB3" w:rsidRDefault="00000000">
      <w:pPr>
        <w:pStyle w:val="BodyText"/>
      </w:pPr>
      <w:ins w:id="609" w:author="Revision" w:date="2026-08-25T00:00:00Z">
        <w:r>
          <w:t>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(and indeed some new preliminary analysis not reported here suggests that part of this effect could be explained by levels of higher education in the populations in the immediate neighbourhoods around the city’s schools, but this needs to be investigated further).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is that identifying the sources of this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ins>
    </w:p>
    <w:p w14:paraId="765EACCD" w14:textId="77777777" w:rsidR="001A6FB3" w:rsidRDefault="00000000">
      <w:pPr>
        <w:pStyle w:val="Heading2"/>
      </w:pPr>
      <w:bookmarkStart w:id="610" w:name="implications-for-national-policy"/>
      <w:bookmarkEnd w:id="525"/>
      <w:r>
        <w:lastRenderedPageBreak/>
        <w:t>6.6 Implications for national policy</w:t>
      </w:r>
    </w:p>
    <w:p w14:paraId="29183DAB" w14:textId="77777777" w:rsidR="001A6FB3" w:rsidRDefault="00000000">
      <w:pPr>
        <w:pStyle w:val="FirstParagraph"/>
      </w:pPr>
      <w:r>
        <w:t>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14:paraId="22029314" w14:textId="77777777" w:rsidR="001A6FB3" w:rsidRDefault="00000000">
      <w:pPr>
        <w:pStyle w:val="BodyText"/>
      </w:pPr>
      <w:r>
        <w:t xml:space="preserve">We </w:t>
      </w:r>
      <w:ins w:id="611" w:author="Revision" w:date="2026-08-25T00:00:00Z">
        <w:r>
          <w:t>should be candid that this gap is, in part, a structural consequence of policy since 2010. Academisation and sustained real-terms reductions in local authority central-services funding</w:t>
        </w:r>
      </w:ins>
      <w:r>
        <w:t xml:space="preserve"> have </w:t>
      </w:r>
      <w:del w:id="612" w:author="Revision" w:date="2026-08-25T00:00:00Z">
        <w:r>
          <w:delText>developed an interactive Policy Simulator tool,</w:delText>
        </w:r>
        <w:r>
          <w:rPr>
            <w:rStyle w:val="FootnoteReference"/>
          </w:rPr>
          <w:footnoteReference w:id="31"/>
        </w:r>
        <w:r>
          <w:delText xml:space="preserve"> underpinned by</w:delText>
        </w:r>
      </w:del>
      <w:r>
        <w:t xml:space="preserve"> </w:t>
      </w:r>
      <w:ins w:id="618" w:author="Revision" w:date="2026-08-25T00:00:00Z">
        <w:r>
          <w:t>substantially eroded</w:t>
        </w:r>
      </w:ins>
      <w:r>
        <w:t xml:space="preserve"> the </w:t>
      </w:r>
      <w:del w:id="619" w:author="Revision" w:date="2026-08-25T00:00:00Z">
        <w:r>
          <w:delText>models in this paper,</w:delText>
        </w:r>
      </w:del>
      <w:r>
        <w:t xml:space="preserve"> </w:t>
      </w:r>
      <w:ins w:id="620" w:author="Revision" w:date="2026-08-25T00:00:00Z">
        <w:r>
          <w:t>analytical capacity that once sat within LEAs, so a recommendation simply</w:t>
        </w:r>
      </w:ins>
      <w:r>
        <w:t xml:space="preserve"> to </w:t>
      </w:r>
      <w:del w:id="621" w:author="Revision" w:date="2026-08-25T00:00:00Z">
        <w:r>
          <w:delText>begin bridging</w:delText>
        </w:r>
      </w:del>
      <w:r>
        <w:t xml:space="preserve"> </w:t>
      </w:r>
      <w:ins w:id="622" w:author="Revision" w:date="2026-08-25T00:00:00Z">
        <w:r>
          <w:t xml:space="preserve">‘invest locally’ sits uneasily with the fiscal reality most authorities face. Multi-academy trusts have absorbed some of this function, but only for their own constituent schools; no actor now has both the remit and the capacity for the </w:t>
        </w:r>
        <w:r>
          <w:rPr>
            <w:i/>
            <w:iCs/>
          </w:rPr>
          <w:t>locality-wide</w:t>
        </w:r>
        <w:r>
          <w:t xml:space="preserve"> analysis</w:t>
        </w:r>
      </w:ins>
      <w:r>
        <w:t xml:space="preserve"> that </w:t>
      </w:r>
      <w:del w:id="623" w:author="Revision" w:date="2026-08-25T00:00:00Z">
        <w:r>
          <w:delText>gap. The tool allows users</w:delText>
        </w:r>
      </w:del>
      <w:r>
        <w:t xml:space="preserve"> </w:t>
      </w:r>
      <w:ins w:id="624" w:author="Revision" w:date="2026-08-25T00:00:00Z">
        <w:r>
          <w:t>spans maintained schools, academies across different trusts, and church schools within a single place. Brighton and Hove illustrates the gap</w:t>
        </w:r>
      </w:ins>
      <w:r>
        <w:t xml:space="preserve"> to </w:t>
      </w:r>
      <w:del w:id="625" w:author="Revision" w:date="2026-08-25T00:00:00Z">
        <w:r>
          <w:delText>explore any school in England, compare against contextual expectations,</w:delText>
        </w:r>
      </w:del>
      <w:r>
        <w:t xml:space="preserve"> </w:t>
      </w:r>
      <w:ins w:id="626" w:author="Revision" w:date="2026-08-25T00:00:00Z">
        <w:r>
          <w:t>some extent – although to a lesser extent than some LEAs where it still has direct control of 6 out of 10 community secondary schools</w:t>
        </w:r>
      </w:ins>
      <w:r>
        <w:t xml:space="preserve"> and </w:t>
      </w:r>
      <w:del w:id="627" w:author="Revision" w:date="2026-08-25T00:00:00Z">
        <w:r>
          <w:delText>model</w:delText>
        </w:r>
      </w:del>
      <w:r>
        <w:t xml:space="preserve"> </w:t>
      </w:r>
      <w:ins w:id="628" w:author="Revision" w:date="2026-08-25T00:00:00Z">
        <w:r>
          <w:t>academisation has not (yet) had</w:t>
        </w:r>
      </w:ins>
      <w:r>
        <w:t xml:space="preserve"> the </w:t>
      </w:r>
      <w:del w:id="629" w:author="Revision" w:date="2026-08-25T00:00:00Z">
        <w:r>
          <w:delText>indicative</w:delText>
        </w:r>
      </w:del>
      <w:r>
        <w:t xml:space="preserve"> </w:t>
      </w:r>
      <w:ins w:id="630" w:author="Revision" w:date="2026-08-25T00:00:00Z">
        <w:r>
          <w:t>same</w:t>
        </w:r>
      </w:ins>
      <w:r>
        <w:t xml:space="preserve"> impact </w:t>
      </w:r>
      <w:del w:id="631" w:author="Revision" w:date="2026-08-25T00:00:00Z">
        <w:r>
          <w:delText>of changes</w:delText>
        </w:r>
      </w:del>
      <w:r>
        <w:t xml:space="preserve"> </w:t>
      </w:r>
      <w:ins w:id="632" w:author="Revision" w:date="2026-08-25T00:00:00Z">
        <w:r>
          <w:t>as it has elsewhere. Council’s frequently remain the admissions authority for systems that funding cuts and academisation mean they have limited capacity</w:t>
        </w:r>
      </w:ins>
      <w:r>
        <w:t xml:space="preserve"> to </w:t>
      </w:r>
      <w:del w:id="633" w:author="Revision" w:date="2026-08-25T00:00:00Z">
        <w:r>
          <w:delText>key variables.</w:delText>
        </w:r>
      </w:del>
      <w:r>
        <w:t xml:space="preserve"> </w:t>
      </w:r>
      <w:ins w:id="634" w:author="Revision" w:date="2026-08-25T00:00:00Z">
        <w:r>
          <w:t>analyse as a whole.</w:t>
        </w:r>
      </w:ins>
    </w:p>
    <w:p w14:paraId="57D12474" w14:textId="77777777" w:rsidR="001A6FB3" w:rsidRDefault="00000000">
      <w:pPr>
        <w:pStyle w:val="BodyText"/>
      </w:pPr>
      <w:ins w:id="635" w:author="Revision" w:date="2026-08-25T00:00:00Z">
        <w:r>
          <w:lastRenderedPageBreak/>
          <w:t>The need, then, is less for every council to rebuild bespoke capacity than for the system to close a locality-level analytical gap, whether through central funding for local capacity or nationally maintained benchmarking tools that any locality can use. LEAs can also do much more to help themselves where capacity and funding prevent them from doing more and this starts with sharing and being more open with data and analyses they do carry out. While we have pieced together a national analysis here from DfE data and applied it to a local context, LEAs have much more data of their own that they could put into the public domain and make accessible - prior to Freedom of Information Requests forcing them to do so - so that those in the wider community can help through donating their time and expertise. Hiding data away either completely or in inaccessible PDFs tucked away in committee meeting appendices, rather than publishing openly in machine-readable formats does not help anyone, least of all those trying to construct good, evidence-based policy with limited resources.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In an effort to demonstrate how our collective intelligence could be enhanced through better data analytics we have developed an interactive Policy Simulator tool,[^21] 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ins>
    </w:p>
    <w:p w14:paraId="0D706D35" w14:textId="77777777" w:rsidR="001A6FB3" w:rsidRDefault="00000000">
      <w:pPr>
        <w:pStyle w:val="Heading2"/>
      </w:pPr>
      <w:bookmarkStart w:id="636" w:name="limitations"/>
      <w:bookmarkEnd w:id="610"/>
      <w:r>
        <w:lastRenderedPageBreak/>
        <w:t>6.7 Limitations</w:t>
      </w:r>
    </w:p>
    <w:p w14:paraId="2D1A2F6B" w14:textId="77777777" w:rsidR="001A6FB3" w:rsidRDefault="00000000">
      <w:pPr>
        <w:pStyle w:val="FirstParagraph"/>
      </w:pPr>
      <w:r>
        <w:t>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14:paraId="6099F94E" w14:textId="77777777" w:rsidR="001A6FB3" w:rsidRDefault="00000000">
      <w:pPr>
        <w:pStyle w:val="BodyText"/>
      </w:pPr>
      <w:ins w:id="637" w:author="Revision" w:date="2026-08-25T00:00:00Z">
        <w:r>
          <w:t xml:space="preserve">A note on statistical inference is also warranted, given the nature of the data. Our panel is not a random sample drawn from some larger frame; it is a population, comprising every state-funded mainstream secondary school in England that meets our inclusion criteria. We therefore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The multilevel structure is a further guard against over-reading that instability, since partial pooling shrinks the noisiest estimates - typically those from the smallest schools - toward the relevant group mean. Consistent with long-standing cautions about the over-interpretation of p-values (Wasserstein and Lazar 2016), we treat significance as descriptive rather than decisive: no conclusion in this paper turns on a </w:t>
        </w:r>
        <w:r>
          <w:lastRenderedPageBreak/>
          <w:t>threshold being crossed. The arguments are made in Attainment 8 points, they are reproduced across four separate years, and they would stand unchanged if every test statistic were removed.</w:t>
        </w:r>
      </w:ins>
    </w:p>
    <w:p w14:paraId="0DFE1296" w14:textId="77777777" w:rsidR="001A6FB3" w:rsidRDefault="00000000">
      <w:pPr>
        <w:pStyle w:val="Heading1"/>
      </w:pPr>
      <w:bookmarkStart w:id="638" w:name="conclusion"/>
      <w:bookmarkEnd w:id="313"/>
      <w:bookmarkEnd w:id="636"/>
      <w:r>
        <w:t>7. Conclusion</w:t>
      </w:r>
    </w:p>
    <w:p w14:paraId="671BB186" w14:textId="77777777" w:rsidR="001A6FB3" w:rsidRDefault="00000000">
      <w:pPr>
        <w:pStyle w:val="FirstParagraph"/>
      </w:pPr>
      <w:r>
        <w:t>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14:paraId="2C7641E4" w14:textId="77777777" w:rsidR="001A6FB3" w:rsidRDefault="00000000">
      <w:pPr>
        <w:pStyle w:val="BodyText"/>
      </w:pPr>
      <w:r>
        <w:t>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14:paraId="4FCA83FF" w14:textId="77777777" w:rsidR="001A6FB3" w:rsidRDefault="00000000">
      <w:pPr>
        <w:pStyle w:val="BodyText"/>
      </w:pPr>
      <w:r>
        <w:t xml:space="preserve">Second, the single most consequential lever available to Brighton and Hove for raising disadvantaged attainment is </w:t>
      </w:r>
      <w:del w:id="639" w:author="Revision" w:date="2026-08-25T00:00:00Z">
        <w:r>
          <w:rPr>
            <w:b/>
            <w:bCs/>
          </w:rPr>
          <w:delText>attendance</w:delText>
        </w:r>
        <w:r>
          <w:delText>.</w:delText>
        </w:r>
      </w:del>
      <w:r>
        <w:t xml:space="preserve"> </w:t>
      </w:r>
      <w:ins w:id="640" w:author="Revision" w:date="2026-08-25T00:00:00Z">
        <w:r>
          <w:t>attendance.</w:t>
        </w:r>
      </w:ins>
      <w:r>
        <w:t xml:space="preserve"> The city </w:t>
      </w:r>
      <w:del w:id="641" w:author="Revision" w:date="2026-08-25T00:00:00Z">
        <w:r>
          <w:delText>has</w:delText>
        </w:r>
      </w:del>
      <w:r>
        <w:t xml:space="preserve"> </w:t>
      </w:r>
      <w:ins w:id="642" w:author="Revision" w:date="2026-08-25T00:00:00Z">
        <w:r>
          <w:t>had</w:t>
        </w:r>
      </w:ins>
      <w:r>
        <w:t xml:space="preserve"> the second-worst absence rate in </w:t>
      </w:r>
      <w:del w:id="643" w:author="Revision" w:date="2026-08-25T00:00:00Z">
        <w:r>
          <w:delText>England,</w:delText>
        </w:r>
      </w:del>
      <w:r>
        <w:t xml:space="preserve"> </w:t>
      </w:r>
      <w:ins w:id="644" w:author="Revision" w:date="2026-08-25T00:00:00Z">
        <w:r>
          <w:t>England in 2024-25 -</w:t>
        </w:r>
      </w:ins>
      <w:r>
        <w:t xml:space="preserve"> and </w:t>
      </w:r>
      <w:ins w:id="645" w:author="Revision" w:date="2026-08-25T00:00:00Z">
        <w:r>
          <w:t>its absence has failed to fall while it fell almost everywhere else - and</w:t>
        </w:r>
      </w:ins>
      <w:r>
        <w:t xml:space="preserve"> the modelling suggests that moving the city’s worst-affected schools toward the national absence average would yield gains for disadvantaged pupils that comfortably </w:t>
      </w:r>
      <w:r>
        <w:lastRenderedPageBreak/>
        <w:t xml:space="preserve">exceed anything achievable through admissions reform. The two-stage decomposition we develop here also shows that this lever has two parts to it: a </w:t>
      </w:r>
      <w:r>
        <w:rPr>
          <w:i/>
          <w:iCs/>
        </w:rPr>
        <w:t>structural</w:t>
      </w:r>
      <w:r>
        <w:t xml:space="preserve"> component of school-level absence inherited from intake, area health, deprivation and family circumstances - which schools cannot themselves change - and a smaller </w:t>
      </w:r>
      <w:r>
        <w:rPr>
          <w:i/>
          <w:iCs/>
        </w:rPr>
        <w:t>school-controllable</w:t>
      </w:r>
      <w:r>
        <w:t xml:space="preserve"> 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14:paraId="2736A202" w14:textId="77777777" w:rsidR="001A6FB3" w:rsidRDefault="00000000">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 </w:t>
      </w:r>
      <w:r>
        <w:rPr>
          <w:i/>
          <w:iCs/>
        </w:rPr>
        <w:t>and</w:t>
      </w:r>
      <w:r>
        <w:t xml:space="preserve"> preserve the benefits of local schooling.</w:t>
      </w:r>
    </w:p>
    <w:p w14:paraId="75F1EE6E" w14:textId="77777777" w:rsidR="001A6FB3" w:rsidRDefault="00000000">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w:t>
      </w:r>
      <w:r>
        <w:lastRenderedPageBreak/>
        <w:t>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p w14:paraId="5D54EBA5" w14:textId="77777777" w:rsidR="001A6FB3" w:rsidRDefault="00000000">
      <w:pPr>
        <w:pStyle w:val="Heading1"/>
      </w:pPr>
      <w:bookmarkStart w:id="646" w:name="declaration-of-generative-ai-use"/>
      <w:bookmarkEnd w:id="638"/>
      <w:r>
        <w:t>Declaration of generative AI use</w:t>
      </w:r>
    </w:p>
    <w:p w14:paraId="1DE0F22F" w14:textId="77777777" w:rsidR="001A6FB3" w:rsidRDefault="00000000">
      <w:pPr>
        <w:pStyle w:val="FirstParagraph"/>
      </w:pPr>
      <w:r>
        <w:t>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p w14:paraId="59B7B55D" w14:textId="77777777" w:rsidR="001A6FB3" w:rsidRDefault="00000000">
      <w:pPr>
        <w:pStyle w:val="Heading1"/>
      </w:pPr>
      <w:bookmarkStart w:id="647" w:name="disclosure-statement"/>
      <w:bookmarkEnd w:id="646"/>
      <w:r>
        <w:t>Disclosure Statement</w:t>
      </w:r>
    </w:p>
    <w:p w14:paraId="77B584C7" w14:textId="77777777" w:rsidR="001A6FB3" w:rsidRDefault="00000000">
      <w:pPr>
        <w:pStyle w:val="FirstParagraph"/>
      </w:pPr>
      <w:r>
        <w:t>Some of the authors are residents of Brighton and Hove with school aged children and lived experience of the effects of the admissions policy process described. No financial conflicts of interest exist.</w:t>
      </w:r>
    </w:p>
    <w:p w14:paraId="78F0B4FD" w14:textId="77777777" w:rsidR="005E30AF" w:rsidRDefault="005E30AF" w:rsidP="005E30AF">
      <w:pPr>
        <w:pStyle w:val="Heading1"/>
      </w:pPr>
      <w:bookmarkStart w:id="648" w:name="references"/>
      <w:bookmarkEnd w:id="647"/>
      <w:r>
        <w:t>References</w:t>
      </w:r>
    </w:p>
    <w:p w14:paraId="455C3A42" w14:textId="77777777" w:rsidR="005E30AF" w:rsidRDefault="005E30AF" w:rsidP="005E30AF">
      <w:pPr>
        <w:pStyle w:val="Bibliography"/>
      </w:pPr>
      <w:bookmarkStart w:id="649" w:name="ref-Allen2018"/>
      <w:bookmarkStart w:id="650" w:name="refs"/>
      <w:r>
        <w:t xml:space="preserve">Allen, Rebecca, Simon Burgess, and Jennifer Mayo. 2018. “The Teacher Labour Market, Teacher Turnover and Disadvantaged Schools: New Evidence for England.” </w:t>
      </w:r>
      <w:r>
        <w:rPr>
          <w:i/>
          <w:iCs/>
        </w:rPr>
        <w:t>Education Economics</w:t>
      </w:r>
      <w:r>
        <w:t xml:space="preserve"> 26 (1): 4–23. </w:t>
      </w:r>
      <w:hyperlink r:id="rId7">
        <w:r>
          <w:rPr>
            <w:rStyle w:val="Hyperlink"/>
          </w:rPr>
          <w:t>https://doi.org/10.1080/09645292.2017.1366425</w:t>
        </w:r>
      </w:hyperlink>
      <w:r>
        <w:t>.</w:t>
      </w:r>
    </w:p>
    <w:p w14:paraId="7E33C2A0" w14:textId="77777777" w:rsidR="005E30AF" w:rsidRDefault="005E30AF" w:rsidP="005E30AF">
      <w:pPr>
        <w:pStyle w:val="Bibliography"/>
      </w:pPr>
      <w:bookmarkStart w:id="651" w:name="ref-Allen2013"/>
      <w:bookmarkEnd w:id="649"/>
      <w:r>
        <w:t xml:space="preserve">Allen, Rebecca, Simon Burgess, and Leigh McKenna. 2013. “The Short-Run Impact of Using Lotteries for School Admissions: Early Results from Brighton and Hove’s Reforms.” </w:t>
      </w:r>
      <w:r>
        <w:rPr>
          <w:i/>
          <w:iCs/>
        </w:rPr>
        <w:lastRenderedPageBreak/>
        <w:t>Transactions of the Institute of British Geographers</w:t>
      </w:r>
      <w:r>
        <w:t xml:space="preserve"> 38 (1): 149–66. </w:t>
      </w:r>
      <w:hyperlink r:id="rId8">
        <w:r>
          <w:rPr>
            <w:rStyle w:val="Hyperlink"/>
          </w:rPr>
          <w:t>https://doi.org/10.1111/j.1475-5661.2012.00511.x</w:t>
        </w:r>
      </w:hyperlink>
      <w:r>
        <w:t>.</w:t>
      </w:r>
    </w:p>
    <w:p w14:paraId="22BE6D5C" w14:textId="77777777" w:rsidR="005E30AF" w:rsidRDefault="005E30AF" w:rsidP="005E30AF">
      <w:pPr>
        <w:pStyle w:val="Bibliography"/>
      </w:pPr>
      <w:bookmarkStart w:id="652" w:name="ref-Anders2024"/>
      <w:bookmarkEnd w:id="651"/>
      <w:r>
        <w:t xml:space="preserve">Anders, Jake, Francis Green, Morag Henderson, and Golo Henseke. 2024. “Private School Pupils’ Performance in GCSEs (and IGCSEs).” </w:t>
      </w:r>
      <w:r>
        <w:rPr>
          <w:i/>
          <w:iCs/>
        </w:rPr>
        <w:t>Cambridge Journal of Education</w:t>
      </w:r>
      <w:r>
        <w:t xml:space="preserve"> 54 (6): 795–813. </w:t>
      </w:r>
      <w:hyperlink r:id="rId9">
        <w:r>
          <w:rPr>
            <w:rStyle w:val="Hyperlink"/>
          </w:rPr>
          <w:t>https://doi.org/10.1080/0305764X.2024.2420611</w:t>
        </w:r>
      </w:hyperlink>
      <w:r>
        <w:t>.</w:t>
      </w:r>
    </w:p>
    <w:p w14:paraId="7E76385C" w14:textId="77777777" w:rsidR="005E30AF" w:rsidRDefault="005E30AF" w:rsidP="005E30AF">
      <w:pPr>
        <w:pStyle w:val="Bibliography"/>
      </w:pPr>
      <w:bookmarkStart w:id="653" w:name="ref-Blagg2018"/>
      <w:bookmarkEnd w:id="652"/>
      <w:r>
        <w:t xml:space="preserve">Blagg, Kristin, Victoria Rosenboom, and Matthew M. </w:t>
      </w:r>
      <w:proofErr w:type="spellStart"/>
      <w:r>
        <w:t>Chingos</w:t>
      </w:r>
      <w:proofErr w:type="spellEnd"/>
      <w:r>
        <w:t xml:space="preserve">. 2018. </w:t>
      </w:r>
      <w:r>
        <w:rPr>
          <w:i/>
          <w:iCs/>
        </w:rPr>
        <w:t>The Extra Mile: Time to School and Student Outcomes in Washington, DC</w:t>
      </w:r>
      <w:r>
        <w:t xml:space="preserve">. Urban Institute. </w:t>
      </w:r>
      <w:hyperlink r:id="rId10">
        <w:r>
          <w:rPr>
            <w:rStyle w:val="Hyperlink"/>
          </w:rPr>
          <w:t>https://www.urban.org/sites/default/files/publication/99027/time_to_school_and_student_outcomes_in_dc_1.pdf</w:t>
        </w:r>
      </w:hyperlink>
      <w:r>
        <w:t>.</w:t>
      </w:r>
    </w:p>
    <w:p w14:paraId="185D2EBD" w14:textId="77777777" w:rsidR="005E30AF" w:rsidRDefault="005E30AF" w:rsidP="005E30AF">
      <w:pPr>
        <w:pStyle w:val="Bibliography"/>
      </w:pPr>
      <w:bookmarkStart w:id="654" w:name="ref-Burgess2018"/>
      <w:bookmarkEnd w:id="653"/>
      <w:r>
        <w:t xml:space="preserve">Burgess, Simon, Claire Crawford, and Lindsey Macmillan. 2018. “Access to Grammar Schools by Socio-Economic Status.” </w:t>
      </w:r>
      <w:r>
        <w:rPr>
          <w:i/>
          <w:iCs/>
        </w:rPr>
        <w:t>Environment and Planning A: Economy and Space</w:t>
      </w:r>
      <w:r>
        <w:t xml:space="preserve"> 50 (7): 1381–85. </w:t>
      </w:r>
      <w:hyperlink r:id="rId11">
        <w:r>
          <w:rPr>
            <w:rStyle w:val="Hyperlink"/>
          </w:rPr>
          <w:t>https://doi.org/10.1177/0308518X18787820</w:t>
        </w:r>
      </w:hyperlink>
      <w:r>
        <w:t>.</w:t>
      </w:r>
    </w:p>
    <w:p w14:paraId="49D6D250" w14:textId="77777777" w:rsidR="005E30AF" w:rsidRDefault="005E30AF" w:rsidP="005E30AF">
      <w:pPr>
        <w:pStyle w:val="Bibliography"/>
      </w:pPr>
      <w:bookmarkStart w:id="655" w:name="ref-Burgess2023"/>
      <w:bookmarkEnd w:id="654"/>
      <w:r>
        <w:t xml:space="preserve">Burgess, Simon, </w:t>
      </w:r>
      <w:proofErr w:type="spellStart"/>
      <w:r>
        <w:t>Shenila</w:t>
      </w:r>
      <w:proofErr w:type="spellEnd"/>
      <w:r>
        <w:t xml:space="preserve"> Rawal, and Eric S. Taylor. 2023. “Teachers’ Use of Class Time and Student Achievement.” </w:t>
      </w:r>
      <w:r>
        <w:rPr>
          <w:i/>
          <w:iCs/>
        </w:rPr>
        <w:t>Economics of Education Review</w:t>
      </w:r>
      <w:r>
        <w:t xml:space="preserve"> 94 (June): 102405. </w:t>
      </w:r>
      <w:hyperlink r:id="rId12">
        <w:r>
          <w:rPr>
            <w:rStyle w:val="Hyperlink"/>
          </w:rPr>
          <w:t>https://doi.org/10.1016/j.econedurev.2023.102405</w:t>
        </w:r>
      </w:hyperlink>
      <w:r>
        <w:t>.</w:t>
      </w:r>
    </w:p>
    <w:p w14:paraId="514F361B" w14:textId="77777777" w:rsidR="005E30AF" w:rsidRDefault="005E30AF" w:rsidP="005E30AF">
      <w:pPr>
        <w:pStyle w:val="Bibliography"/>
      </w:pPr>
      <w:bookmarkStart w:id="656" w:name="ref-Chairassamee2024"/>
      <w:bookmarkEnd w:id="655"/>
      <w:proofErr w:type="spellStart"/>
      <w:r>
        <w:t>Chairassamee</w:t>
      </w:r>
      <w:proofErr w:type="spellEnd"/>
      <w:r>
        <w:t xml:space="preserve">, Nattanicha, Kanokwan </w:t>
      </w:r>
      <w:proofErr w:type="spellStart"/>
      <w:r>
        <w:t>Chancharoenchai</w:t>
      </w:r>
      <w:proofErr w:type="spellEnd"/>
      <w:r>
        <w:t xml:space="preserve">, and </w:t>
      </w:r>
      <w:proofErr w:type="spellStart"/>
      <w:r>
        <w:t>Wuthiya</w:t>
      </w:r>
      <w:proofErr w:type="spellEnd"/>
      <w:r>
        <w:t xml:space="preserve"> Saraithong. 2024. “Getting There: How Commuting Time and Distance Impact Students’ Health.” </w:t>
      </w:r>
      <w:proofErr w:type="spellStart"/>
      <w:r>
        <w:rPr>
          <w:i/>
          <w:iCs/>
        </w:rPr>
        <w:t>PLoS</w:t>
      </w:r>
      <w:proofErr w:type="spellEnd"/>
      <w:r>
        <w:rPr>
          <w:i/>
          <w:iCs/>
        </w:rPr>
        <w:t xml:space="preserve"> One</w:t>
      </w:r>
      <w:r>
        <w:t xml:space="preserve"> 19 (12): e0314687. </w:t>
      </w:r>
      <w:hyperlink r:id="rId13">
        <w:r>
          <w:rPr>
            <w:rStyle w:val="Hyperlink"/>
          </w:rPr>
          <w:t>https://doi.org/10.1371/journal.pone.0314687</w:t>
        </w:r>
      </w:hyperlink>
      <w:r>
        <w:t>.</w:t>
      </w:r>
    </w:p>
    <w:p w14:paraId="66DB8AFD" w14:textId="77777777" w:rsidR="005E30AF" w:rsidRDefault="005E30AF" w:rsidP="005E30AF">
      <w:pPr>
        <w:pStyle w:val="Bibliography"/>
      </w:pPr>
      <w:bookmarkStart w:id="657" w:name="ref-Coleman1966"/>
      <w:bookmarkEnd w:id="656"/>
      <w:r>
        <w:t xml:space="preserve">Coleman, James S., Ernest Q. Campbell, Carol J. Hobson, et al. 1966. </w:t>
      </w:r>
      <w:r>
        <w:rPr>
          <w:i/>
          <w:iCs/>
        </w:rPr>
        <w:t>Equality of Educational Opportunity</w:t>
      </w:r>
      <w:r>
        <w:t xml:space="preserve">. U.S. Department of Health, </w:t>
      </w:r>
      <w:proofErr w:type="gramStart"/>
      <w:r>
        <w:t>Education,;</w:t>
      </w:r>
      <w:proofErr w:type="gramEnd"/>
      <w:r>
        <w:t xml:space="preserve"> Welfare, Office of Education.</w:t>
      </w:r>
    </w:p>
    <w:p w14:paraId="0F6FFC4E" w14:textId="77777777" w:rsidR="005E30AF" w:rsidRDefault="005E30AF" w:rsidP="005E30AF">
      <w:pPr>
        <w:pStyle w:val="Bibliography"/>
      </w:pPr>
      <w:bookmarkStart w:id="658" w:name="ref-HouseofCommons2021"/>
      <w:bookmarkEnd w:id="657"/>
      <w:r>
        <w:t xml:space="preserve">Commons Education Committee, House of. 2021. </w:t>
      </w:r>
      <w:r>
        <w:rPr>
          <w:i/>
          <w:iCs/>
        </w:rPr>
        <w:t>“Forgotten” White Working-Class Pupils Let down by Decades of Neglect, MPs Say - Committees - UK Parliament</w:t>
      </w:r>
      <w:r>
        <w:t xml:space="preserve">. UK Parliament. </w:t>
      </w:r>
      <w:hyperlink r:id="rId14">
        <w:r>
          <w:rPr>
            <w:rStyle w:val="Hyperlink"/>
          </w:rPr>
          <w:t>https://committees.parliament.uk/committee/203/education-</w:t>
        </w:r>
        <w:r>
          <w:rPr>
            <w:rStyle w:val="Hyperlink"/>
          </w:rPr>
          <w:lastRenderedPageBreak/>
          <w:t>committee/news/156024/forgotten-white-workingclass-pupils-let-down-by-decades-of-neglect-mps-say/</w:t>
        </w:r>
      </w:hyperlink>
      <w:r>
        <w:t>.</w:t>
      </w:r>
    </w:p>
    <w:p w14:paraId="562F017E" w14:textId="77777777" w:rsidR="005E30AF" w:rsidRDefault="005E30AF" w:rsidP="005E30AF">
      <w:pPr>
        <w:pStyle w:val="Bibliography"/>
      </w:pPr>
      <w:bookmarkStart w:id="659" w:name="ref-Cordes2022"/>
      <w:bookmarkEnd w:id="658"/>
      <w:r>
        <w:t xml:space="preserve">Cordes, Sarah A., Christopher Rick, and Amy Ellen Schwartz. 2022. “Do Long Bus Rides Drive </w:t>
      </w:r>
      <w:proofErr w:type="gramStart"/>
      <w:r>
        <w:t>down</w:t>
      </w:r>
      <w:proofErr w:type="gramEnd"/>
      <w:r>
        <w:t xml:space="preserve"> Academic Outcomes?” </w:t>
      </w:r>
      <w:r>
        <w:rPr>
          <w:i/>
          <w:iCs/>
        </w:rPr>
        <w:t>Educational Evaluation and Policy Analysis</w:t>
      </w:r>
      <w:r>
        <w:t xml:space="preserve"> 44 (4): 689–716. </w:t>
      </w:r>
      <w:hyperlink r:id="rId15">
        <w:r>
          <w:rPr>
            <w:rStyle w:val="Hyperlink"/>
          </w:rPr>
          <w:t>https://doi.org/10.3102/01623737221092450</w:t>
        </w:r>
      </w:hyperlink>
      <w:r>
        <w:t>.</w:t>
      </w:r>
    </w:p>
    <w:p w14:paraId="645931B6" w14:textId="77777777" w:rsidR="005E30AF" w:rsidRDefault="005E30AF" w:rsidP="005E30AF">
      <w:pPr>
        <w:pStyle w:val="Bibliography"/>
      </w:pPr>
      <w:bookmarkStart w:id="660" w:name="ref-DfE2022"/>
      <w:bookmarkEnd w:id="659"/>
      <w:r>
        <w:t xml:space="preserve">DfE. 2022. </w:t>
      </w:r>
      <w:r>
        <w:rPr>
          <w:i/>
          <w:iCs/>
        </w:rPr>
        <w:t>The Link Between Absence and Attainment at KS2 and KS4, Academic Year 2018/19</w:t>
      </w:r>
      <w:r>
        <w:t xml:space="preserve">. </w:t>
      </w:r>
      <w:hyperlink r:id="rId16">
        <w:r>
          <w:rPr>
            <w:rStyle w:val="Hyperlink"/>
          </w:rPr>
          <w:t>https://explore-education-statistics.service.gov.uk/find-statistics/the-link-between-absence-and-attainment-at-ks2-and-ks4/2018-19</w:t>
        </w:r>
      </w:hyperlink>
      <w:r>
        <w:t>.</w:t>
      </w:r>
    </w:p>
    <w:p w14:paraId="4CD50562" w14:textId="77777777" w:rsidR="005E30AF" w:rsidRDefault="005E30AF" w:rsidP="005E30AF">
      <w:pPr>
        <w:pStyle w:val="Bibliography"/>
      </w:pPr>
      <w:bookmarkStart w:id="661" w:name="ref-DfE2025a"/>
      <w:bookmarkEnd w:id="660"/>
      <w:r>
        <w:t xml:space="preserve">DfE. 2025a. </w:t>
      </w:r>
      <w:r>
        <w:rPr>
          <w:i/>
          <w:iCs/>
        </w:rPr>
        <w:t>Link Between Attendance and Attainment</w:t>
      </w:r>
      <w:r>
        <w:t xml:space="preserve">. Department for Education. </w:t>
      </w:r>
      <w:hyperlink r:id="rId17">
        <w:r>
          <w:rPr>
            <w:rStyle w:val="Hyperlink"/>
          </w:rPr>
          <w:t>https://www.gov.uk/government/publications/link-between-attendance-and-attainment</w:t>
        </w:r>
      </w:hyperlink>
      <w:r>
        <w:t>.</w:t>
      </w:r>
    </w:p>
    <w:p w14:paraId="233C5A85" w14:textId="77777777" w:rsidR="005E30AF" w:rsidRDefault="005E30AF" w:rsidP="005E30AF">
      <w:pPr>
        <w:pStyle w:val="Bibliography"/>
      </w:pPr>
      <w:bookmarkStart w:id="662" w:name="ref-DfE2025b"/>
      <w:bookmarkEnd w:id="661"/>
      <w:r>
        <w:t xml:space="preserve">DfE. 2025b. </w:t>
      </w:r>
      <w:r>
        <w:rPr>
          <w:i/>
          <w:iCs/>
        </w:rPr>
        <w:t>Pupil Absence in Schools in England, Autumn and Spring Term 2024/25</w:t>
      </w:r>
      <w:r>
        <w:t xml:space="preserve">. Department for Education. </w:t>
      </w:r>
      <w:hyperlink r:id="rId18">
        <w:r>
          <w:rPr>
            <w:rStyle w:val="Hyperlink"/>
          </w:rPr>
          <w:t>https://explore-education-statistics.service.gov.uk/find-statistics/pupil-absence-in-schools-in-england/2024-25-autumn-and-spring-term</w:t>
        </w:r>
      </w:hyperlink>
      <w:r>
        <w:t>.</w:t>
      </w:r>
    </w:p>
    <w:p w14:paraId="5D695298" w14:textId="77777777" w:rsidR="005E30AF" w:rsidRDefault="005E30AF" w:rsidP="005E30AF">
      <w:pPr>
        <w:pStyle w:val="Bibliography"/>
      </w:pPr>
      <w:bookmarkStart w:id="663" w:name="ref-dfe_every_2026"/>
      <w:bookmarkEnd w:id="662"/>
      <w:r>
        <w:t xml:space="preserve">DfE. 2026. </w:t>
      </w:r>
      <w:r>
        <w:rPr>
          <w:i/>
          <w:iCs/>
        </w:rPr>
        <w:t>Every Child Achieving and Thriving</w:t>
      </w:r>
      <w:r>
        <w:t xml:space="preserve">. Policy {Paper}. Department for Education. </w:t>
      </w:r>
      <w:hyperlink r:id="rId19">
        <w:r>
          <w:rPr>
            <w:rStyle w:val="Hyperlink"/>
          </w:rPr>
          <w:t>https://www.gov.uk/government/publications/every-child-achieving-and-thriving/every-child-achieving-and-thriving-html-version</w:t>
        </w:r>
      </w:hyperlink>
      <w:r>
        <w:t>.</w:t>
      </w:r>
    </w:p>
    <w:p w14:paraId="2C92667D" w14:textId="77777777" w:rsidR="005E30AF" w:rsidRDefault="005E30AF" w:rsidP="005E30AF">
      <w:pPr>
        <w:pStyle w:val="Bibliography"/>
      </w:pPr>
      <w:bookmarkStart w:id="664" w:name="ref-Ding2023"/>
      <w:bookmarkEnd w:id="663"/>
      <w:r>
        <w:t xml:space="preserve">Ding, Peng, Yan Li, </w:t>
      </w:r>
      <w:proofErr w:type="spellStart"/>
      <w:r>
        <w:t>Suwei</w:t>
      </w:r>
      <w:proofErr w:type="spellEnd"/>
      <w:r>
        <w:t xml:space="preserve"> Feng, and Dorina Pojani. 2023. “Do Long School Commutes Undermine Teenagers’ Wellbeing? Evidence from a Nation-Wide Survey in China.” </w:t>
      </w:r>
      <w:r>
        <w:rPr>
          <w:i/>
          <w:iCs/>
        </w:rPr>
        <w:t>Journal of Transport &amp; Health</w:t>
      </w:r>
      <w:r>
        <w:t xml:space="preserve"> 30: 101605. </w:t>
      </w:r>
      <w:hyperlink r:id="rId20">
        <w:r>
          <w:rPr>
            <w:rStyle w:val="Hyperlink"/>
          </w:rPr>
          <w:t>https://doi.org/10.1016/j.jth.2023.101605</w:t>
        </w:r>
      </w:hyperlink>
      <w:r>
        <w:t>.</w:t>
      </w:r>
    </w:p>
    <w:p w14:paraId="07729804" w14:textId="77777777" w:rsidR="005E30AF" w:rsidRDefault="005E30AF" w:rsidP="005E30AF">
      <w:pPr>
        <w:pStyle w:val="Bibliography"/>
      </w:pPr>
      <w:bookmarkStart w:id="665" w:name="ref-Drager2024"/>
      <w:bookmarkEnd w:id="664"/>
      <w:r>
        <w:t xml:space="preserve">Dräger, Jascha, Markus Klein, and Edward Sosu. 2024. “The Long-Term Consequences of Early School Absences for Educational Attainment and Labour Market Outcomes.” </w:t>
      </w:r>
      <w:r>
        <w:rPr>
          <w:i/>
          <w:iCs/>
        </w:rPr>
        <w:t>British Educational Research Journal</w:t>
      </w:r>
      <w:r>
        <w:t xml:space="preserve"> 50 (4): 1636–54. </w:t>
      </w:r>
      <w:hyperlink r:id="rId21">
        <w:r>
          <w:rPr>
            <w:rStyle w:val="Hyperlink"/>
          </w:rPr>
          <w:t>https://doi.org/10.1002/berj.3992</w:t>
        </w:r>
      </w:hyperlink>
      <w:r>
        <w:t>.</w:t>
      </w:r>
    </w:p>
    <w:p w14:paraId="523E7352" w14:textId="77777777" w:rsidR="005E30AF" w:rsidRDefault="005E30AF" w:rsidP="005E30AF">
      <w:pPr>
        <w:pStyle w:val="Bibliography"/>
      </w:pPr>
      <w:bookmarkStart w:id="666" w:name="ref-Farquharson2024"/>
      <w:bookmarkEnd w:id="665"/>
      <w:r>
        <w:lastRenderedPageBreak/>
        <w:t xml:space="preserve">Farquharson, Christine, Sandra McNally, and Imran Tahir. 2024. “Education Inequalities.” </w:t>
      </w:r>
      <w:r>
        <w:rPr>
          <w:i/>
          <w:iCs/>
        </w:rPr>
        <w:t>Oxford Open Economics</w:t>
      </w:r>
      <w:r>
        <w:t xml:space="preserve"> 3 (Supplement_1): i760–820. </w:t>
      </w:r>
      <w:hyperlink r:id="rId22">
        <w:r>
          <w:rPr>
            <w:rStyle w:val="Hyperlink"/>
          </w:rPr>
          <w:t>https://doi.org/10.1093/ooec/odad029</w:t>
        </w:r>
      </w:hyperlink>
      <w:r>
        <w:t>.</w:t>
      </w:r>
    </w:p>
    <w:p w14:paraId="40DAEE86" w14:textId="77777777" w:rsidR="005E30AF" w:rsidRDefault="005E30AF" w:rsidP="005E30AF">
      <w:pPr>
        <w:pStyle w:val="Bibliography"/>
      </w:pPr>
      <w:bookmarkStart w:id="667" w:name="ref-Faulkner2013"/>
      <w:bookmarkEnd w:id="666"/>
      <w:r>
        <w:t xml:space="preserve">Faulkner, Guy, Michelle Stone, Ron Buliung, Bonny Wong, and Raktim Mitra. 2013. “School Travel and Children’s Physical Activity: A Cross-Sectional Study Examining the Influence of Distance.” </w:t>
      </w:r>
      <w:r>
        <w:rPr>
          <w:i/>
          <w:iCs/>
        </w:rPr>
        <w:t>BMC Public Health</w:t>
      </w:r>
      <w:r>
        <w:t xml:space="preserve"> 13 (1): 1166. </w:t>
      </w:r>
      <w:hyperlink r:id="rId23">
        <w:r>
          <w:rPr>
            <w:rStyle w:val="Hyperlink"/>
          </w:rPr>
          <w:t>https://doi.org/10.1186/1471-2458-13-1166</w:t>
        </w:r>
      </w:hyperlink>
      <w:r>
        <w:t>.</w:t>
      </w:r>
    </w:p>
    <w:p w14:paraId="29FD6D70" w14:textId="77777777" w:rsidR="005E30AF" w:rsidRDefault="005E30AF" w:rsidP="005E30AF">
      <w:pPr>
        <w:pStyle w:val="Bibliography"/>
      </w:pPr>
      <w:bookmarkStart w:id="668" w:name="ref-Fredriksen2004"/>
      <w:bookmarkEnd w:id="667"/>
      <w:r>
        <w:t xml:space="preserve">Fredriksen, Katia, Jean Rhodes, Ranjini Reddy, and Niobe Way. 2004. “Sleepless in Chicago: Tracking the Effects of Adolescent Sleep Loss During the Middle School Years.” </w:t>
      </w:r>
      <w:r>
        <w:rPr>
          <w:i/>
          <w:iCs/>
        </w:rPr>
        <w:t>Child Development</w:t>
      </w:r>
      <w:r>
        <w:t xml:space="preserve"> 75 (1): 84–95. https://doi.org/</w:t>
      </w:r>
      <w:hyperlink r:id="rId24">
        <w:r>
          <w:rPr>
            <w:rStyle w:val="Hyperlink"/>
          </w:rPr>
          <w:t>https://doi.org/10.1111/j.1467-8624.2004.00655.x</w:t>
        </w:r>
      </w:hyperlink>
      <w:r>
        <w:t>.</w:t>
      </w:r>
    </w:p>
    <w:p w14:paraId="7A5C2498" w14:textId="77777777" w:rsidR="005E30AF" w:rsidRDefault="005E30AF" w:rsidP="005E30AF">
      <w:pPr>
        <w:pStyle w:val="Bibliography"/>
      </w:pPr>
      <w:bookmarkStart w:id="669" w:name="ref-Gibbons2018"/>
      <w:bookmarkEnd w:id="668"/>
      <w:r>
        <w:t xml:space="preserve">Gibbons, Stephen, Vincenzo Scrutinio, and Shqiponja </w:t>
      </w:r>
      <w:proofErr w:type="spellStart"/>
      <w:r>
        <w:t>Telhaj</w:t>
      </w:r>
      <w:proofErr w:type="spellEnd"/>
      <w:r>
        <w:t xml:space="preserve">. 2018. </w:t>
      </w:r>
      <w:r>
        <w:rPr>
          <w:i/>
          <w:iCs/>
        </w:rPr>
        <w:t>Teacher Turnover: Does It Matter for Pupil Achievement?</w:t>
      </w:r>
      <w:r>
        <w:t xml:space="preserve"> CEPDP1530. Centre for Economic Performance, LSE. </w:t>
      </w:r>
      <w:hyperlink r:id="rId25">
        <w:r>
          <w:rPr>
            <w:rStyle w:val="Hyperlink"/>
          </w:rPr>
          <w:t>https://cep.lse.ac.uk/_new/publications/abstract.asp?index=5752</w:t>
        </w:r>
      </w:hyperlink>
      <w:r>
        <w:t>.</w:t>
      </w:r>
    </w:p>
    <w:p w14:paraId="3BF4E34A" w14:textId="77777777" w:rsidR="005E30AF" w:rsidRDefault="005E30AF" w:rsidP="005E30AF">
      <w:pPr>
        <w:pStyle w:val="Bibliography"/>
      </w:pPr>
      <w:bookmarkStart w:id="670" w:name="ref-Gillborn2017"/>
      <w:bookmarkEnd w:id="669"/>
      <w:r>
        <w:t xml:space="preserve">Gillborn, David, Sean Demack, Nicola Rollock, and Paul Warmington. 2017. “Moving the Goalposts: Education Policy and 25 Years of the Black/White Achievement Gap.” </w:t>
      </w:r>
      <w:r>
        <w:rPr>
          <w:i/>
          <w:iCs/>
        </w:rPr>
        <w:t>British Educational Research Journal</w:t>
      </w:r>
      <w:r>
        <w:t xml:space="preserve"> 43 (5): 848–74. </w:t>
      </w:r>
      <w:hyperlink r:id="rId26">
        <w:r>
          <w:rPr>
            <w:rStyle w:val="Hyperlink"/>
          </w:rPr>
          <w:t>https://doi.org/10.1002/berj.3297</w:t>
        </w:r>
      </w:hyperlink>
      <w:r>
        <w:t>.</w:t>
      </w:r>
    </w:p>
    <w:p w14:paraId="3CC06254" w14:textId="77777777" w:rsidR="005E30AF" w:rsidRDefault="005E30AF" w:rsidP="005E30AF">
      <w:pPr>
        <w:pStyle w:val="Bibliography"/>
      </w:pPr>
      <w:bookmarkStart w:id="671" w:name="ref-gorard_how_2019"/>
      <w:bookmarkEnd w:id="670"/>
      <w:proofErr w:type="spellStart"/>
      <w:r>
        <w:t>Gorard</w:t>
      </w:r>
      <w:proofErr w:type="spellEnd"/>
      <w:r>
        <w:t xml:space="preserve">, Stephen, and Nadia Siddiqui. 2019. “How Trajectories of Disadvantage Help Explain School Attainment.” </w:t>
      </w:r>
      <w:r>
        <w:rPr>
          <w:i/>
          <w:iCs/>
        </w:rPr>
        <w:t>Sage Open</w:t>
      </w:r>
      <w:r>
        <w:t xml:space="preserve"> 9 (1): 2158244018825171. </w:t>
      </w:r>
      <w:hyperlink r:id="rId27">
        <w:r>
          <w:rPr>
            <w:rStyle w:val="Hyperlink"/>
          </w:rPr>
          <w:t>https://doi.org/10.1177/2158244018825171</w:t>
        </w:r>
      </w:hyperlink>
      <w:r>
        <w:t>.</w:t>
      </w:r>
    </w:p>
    <w:p w14:paraId="3B88FF31" w14:textId="77777777" w:rsidR="005E30AF" w:rsidRDefault="005E30AF" w:rsidP="005E30AF">
      <w:pPr>
        <w:pStyle w:val="Bibliography"/>
      </w:pPr>
      <w:bookmarkStart w:id="672" w:name="ref-gorard_school_2025"/>
      <w:bookmarkEnd w:id="671"/>
      <w:proofErr w:type="spellStart"/>
      <w:r>
        <w:t>Gorard</w:t>
      </w:r>
      <w:proofErr w:type="spellEnd"/>
      <w:r>
        <w:t xml:space="preserve">, Stephen, Nadia Siddiqui, Beng Huat See, and Yiyang Gao. 2025. “Do School Exclusions and Attainment Outcomes Disproportionately Impact Minority Ethnic Pupils? Analysis </w:t>
      </w:r>
      <w:r>
        <w:lastRenderedPageBreak/>
        <w:t xml:space="preserve">of Pupil Characteristics, Segregation, and Outcomes in England.” </w:t>
      </w:r>
      <w:r>
        <w:rPr>
          <w:i/>
          <w:iCs/>
        </w:rPr>
        <w:t>Education Sciences</w:t>
      </w:r>
      <w:r>
        <w:t xml:space="preserve"> 15 (1): 6. </w:t>
      </w:r>
      <w:hyperlink r:id="rId28">
        <w:r>
          <w:rPr>
            <w:rStyle w:val="Hyperlink"/>
          </w:rPr>
          <w:t>https://doi.org/10.3390/educsci15010006</w:t>
        </w:r>
      </w:hyperlink>
      <w:r>
        <w:t>.</w:t>
      </w:r>
    </w:p>
    <w:p w14:paraId="11B2CA01" w14:textId="77777777" w:rsidR="005E30AF" w:rsidRDefault="005E30AF" w:rsidP="005E30AF">
      <w:pPr>
        <w:pStyle w:val="Bibliography"/>
      </w:pPr>
      <w:bookmarkStart w:id="673" w:name="ref-Grant2017"/>
      <w:bookmarkEnd w:id="672"/>
      <w:r>
        <w:t xml:space="preserve">Grant, Catherine. 2017. </w:t>
      </w:r>
      <w:r>
        <w:rPr>
          <w:i/>
          <w:iCs/>
        </w:rPr>
        <w:t>The Contribution of Education to Economic Growth</w:t>
      </w:r>
      <w:r>
        <w:t xml:space="preserve">. Report. The Institute of Development Studies; Partner Organisations. </w:t>
      </w:r>
      <w:hyperlink r:id="rId29">
        <w:r>
          <w:rPr>
            <w:rStyle w:val="Hyperlink"/>
          </w:rPr>
          <w:t>https://opendocs.ids.ac.uk/articles/report/The_Contribution_of_Education_to_Economic_Growth/26453986/1</w:t>
        </w:r>
      </w:hyperlink>
      <w:r>
        <w:t>.</w:t>
      </w:r>
    </w:p>
    <w:p w14:paraId="12FC3B9E" w14:textId="77777777" w:rsidR="005E30AF" w:rsidRDefault="005E30AF" w:rsidP="005E30AF">
      <w:pPr>
        <w:pStyle w:val="Bibliography"/>
      </w:pPr>
      <w:bookmarkStart w:id="674" w:name="ref-Guan2025"/>
      <w:bookmarkEnd w:id="673"/>
      <w:r>
        <w:t xml:space="preserve">Guan, Hongwei, Jingjing Xue, </w:t>
      </w:r>
      <w:proofErr w:type="spellStart"/>
      <w:r>
        <w:t>Yaqi</w:t>
      </w:r>
      <w:proofErr w:type="spellEnd"/>
      <w:r>
        <w:t xml:space="preserve"> Zhang, Fang Chang, and Wei Liu. 2025. “Examining the Relationship Between Commuting Time, Academic Achievement, and Mental Health in Rural China: A Cross-Sectional Analysis.” </w:t>
      </w:r>
      <w:r>
        <w:rPr>
          <w:i/>
          <w:iCs/>
        </w:rPr>
        <w:t>BMC Public Health</w:t>
      </w:r>
      <w:r>
        <w:t xml:space="preserve"> 25 (1): 1616. </w:t>
      </w:r>
      <w:hyperlink r:id="rId30">
        <w:r>
          <w:rPr>
            <w:rStyle w:val="Hyperlink"/>
          </w:rPr>
          <w:t>https://doi.org/10.1186/s12889-025-22861-7</w:t>
        </w:r>
      </w:hyperlink>
      <w:r>
        <w:t>.</w:t>
      </w:r>
    </w:p>
    <w:p w14:paraId="7187D92A" w14:textId="77777777" w:rsidR="005E30AF" w:rsidRDefault="005E30AF" w:rsidP="005E30AF">
      <w:pPr>
        <w:pStyle w:val="Bibliography"/>
      </w:pPr>
      <w:bookmarkStart w:id="675" w:name="ref-houtepen_associations_2020"/>
      <w:bookmarkEnd w:id="674"/>
      <w:proofErr w:type="spellStart"/>
      <w:r>
        <w:t>Houtepen</w:t>
      </w:r>
      <w:proofErr w:type="spellEnd"/>
      <w:r>
        <w:t xml:space="preserve">, Lotte C., Jon Heron, Matthew J. Suderman, Abigail Fraser, Catherine R. </w:t>
      </w:r>
      <w:proofErr w:type="spellStart"/>
      <w:r>
        <w:t>Chittleborough</w:t>
      </w:r>
      <w:proofErr w:type="spellEnd"/>
      <w:r>
        <w:t xml:space="preserve">, and Laura D. Howe. 2020. “Associations of Adverse Childhood Experiences with Educational Attainment and Adolescent Health and the Role of Family and Socioeconomic Factors: A Prospective Cohort Study in the UK.” </w:t>
      </w:r>
      <w:r>
        <w:rPr>
          <w:i/>
          <w:iCs/>
        </w:rPr>
        <w:t>PLOS Medicine</w:t>
      </w:r>
      <w:r>
        <w:t xml:space="preserve"> 17 (3): e1003031. </w:t>
      </w:r>
      <w:hyperlink r:id="rId31">
        <w:r>
          <w:rPr>
            <w:rStyle w:val="Hyperlink"/>
          </w:rPr>
          <w:t>https://doi.org/10.1371/journal.pmed.1003031</w:t>
        </w:r>
      </w:hyperlink>
      <w:r>
        <w:t>.</w:t>
      </w:r>
    </w:p>
    <w:p w14:paraId="03A30604" w14:textId="77777777" w:rsidR="005E30AF" w:rsidRDefault="005E30AF" w:rsidP="005E30AF">
      <w:pPr>
        <w:pStyle w:val="Bibliography"/>
      </w:pPr>
      <w:bookmarkStart w:id="676" w:name="ref-Karan2021"/>
      <w:bookmarkEnd w:id="675"/>
      <w:r>
        <w:t xml:space="preserve">Karan, Maira, Danny Rahal, David M. Almeida, et al. 2021. “School Commute Time, Chronotype, and Altered HPA Axis Functioning During Adolescence.” </w:t>
      </w:r>
      <w:proofErr w:type="spellStart"/>
      <w:r>
        <w:rPr>
          <w:i/>
          <w:iCs/>
        </w:rPr>
        <w:t>Psychoneuroendocrinology</w:t>
      </w:r>
      <w:proofErr w:type="spellEnd"/>
      <w:r>
        <w:t xml:space="preserve"> 133: 105371. </w:t>
      </w:r>
      <w:hyperlink r:id="rId32">
        <w:r>
          <w:rPr>
            <w:rStyle w:val="Hyperlink"/>
          </w:rPr>
          <w:t>https://doi.org/10.1016/j.psyneuen.2021.105371</w:t>
        </w:r>
      </w:hyperlink>
      <w:r>
        <w:t>.</w:t>
      </w:r>
    </w:p>
    <w:p w14:paraId="202A6E58" w14:textId="77777777" w:rsidR="005E30AF" w:rsidRDefault="005E30AF" w:rsidP="005E30AF">
      <w:pPr>
        <w:pStyle w:val="Bibliography"/>
      </w:pPr>
      <w:bookmarkStart w:id="677" w:name="ref-macleod_supporting_2015"/>
      <w:bookmarkEnd w:id="676"/>
      <w:r>
        <w:t xml:space="preserve">Macleod, S., C. Sharp, D. </w:t>
      </w:r>
      <w:proofErr w:type="spellStart"/>
      <w:r>
        <w:t>Bernardinelli</w:t>
      </w:r>
      <w:proofErr w:type="spellEnd"/>
      <w:r>
        <w:t xml:space="preserve">, A. Skipp, and S. Higgins. 2015. </w:t>
      </w:r>
      <w:r>
        <w:rPr>
          <w:i/>
          <w:iCs/>
        </w:rPr>
        <w:t>Supporting the Attainment of Disadvantaged Pupils: Articulating Success and Good Practice</w:t>
      </w:r>
      <w:r>
        <w:t xml:space="preserve">. Department for Education. </w:t>
      </w:r>
      <w:hyperlink r:id="rId33">
        <w:r>
          <w:rPr>
            <w:rStyle w:val="Hyperlink"/>
          </w:rPr>
          <w:t>https://www.nfer.ac.uk/publications/supporting-the-attainment-of-disadvantaged-pupils-articulating-success-and-good-practice/</w:t>
        </w:r>
      </w:hyperlink>
      <w:r>
        <w:t>.</w:t>
      </w:r>
    </w:p>
    <w:p w14:paraId="16D7E3DD" w14:textId="77777777" w:rsidR="005E30AF" w:rsidRDefault="005E30AF" w:rsidP="005E30AF">
      <w:pPr>
        <w:pStyle w:val="Bibliography"/>
      </w:pPr>
      <w:bookmarkStart w:id="678" w:name="ref-Menzies2023"/>
      <w:bookmarkEnd w:id="677"/>
      <w:r>
        <w:lastRenderedPageBreak/>
        <w:t xml:space="preserve">Menzies, Loic. 2023. “Continuity and Churn: Understanding and Responding to the Impact of Teacher Turnover.” </w:t>
      </w:r>
      <w:r>
        <w:rPr>
          <w:i/>
          <w:iCs/>
        </w:rPr>
        <w:t>London Review of Education</w:t>
      </w:r>
      <w:r>
        <w:t xml:space="preserve"> 21 (1). </w:t>
      </w:r>
      <w:hyperlink r:id="rId34">
        <w:r>
          <w:rPr>
            <w:rStyle w:val="Hyperlink"/>
          </w:rPr>
          <w:t>https://doi.org/10.14324/LRE.21.1.20</w:t>
        </w:r>
      </w:hyperlink>
      <w:r>
        <w:t>.</w:t>
      </w:r>
    </w:p>
    <w:p w14:paraId="734D4A1B" w14:textId="77777777" w:rsidR="005E30AF" w:rsidRDefault="005E30AF" w:rsidP="005E30AF">
      <w:pPr>
        <w:pStyle w:val="Bibliography"/>
      </w:pPr>
      <w:bookmarkStart w:id="679" w:name="ref-Moore2026"/>
      <w:bookmarkEnd w:id="678"/>
      <w:r>
        <w:t xml:space="preserve">Moore, Emma, Juan Manuel Del Pozo Segura, and Jenna Julius. 2026. </w:t>
      </w:r>
      <w:r>
        <w:rPr>
          <w:i/>
          <w:iCs/>
        </w:rPr>
        <w:t>Understanding the Relationship Between Attendance, Wellbeing and Sense of Belonging</w:t>
      </w:r>
      <w:r>
        <w:t xml:space="preserve">. National Foundation for Educational Research. </w:t>
      </w:r>
      <w:hyperlink r:id="rId35">
        <w:r>
          <w:rPr>
            <w:rStyle w:val="Hyperlink"/>
          </w:rPr>
          <w:t>https://www.nfer.ac.uk/publications/understanding-the-relationship-between-attendance-wellbeing-and-sense-of-belonging/</w:t>
        </w:r>
      </w:hyperlink>
      <w:r>
        <w:t>.</w:t>
      </w:r>
    </w:p>
    <w:p w14:paraId="7720F02E" w14:textId="77777777" w:rsidR="005E30AF" w:rsidRDefault="005E30AF" w:rsidP="005E30AF">
      <w:pPr>
        <w:pStyle w:val="Bibliography"/>
      </w:pPr>
      <w:bookmarkStart w:id="680" w:name="ref-nakagawa_coefficient_2017"/>
      <w:bookmarkEnd w:id="679"/>
      <w:r>
        <w:t xml:space="preserve">Nakagawa, Shinichi, Paul C. D. Johnson, and Holger Schielzeth. 2017. “The Coefficient of Determination R2 and Intra-Class Correlation Coefficient from Generalized Linear Mixed-Effects Models Revisited and Expanded.” </w:t>
      </w:r>
      <w:r>
        <w:rPr>
          <w:i/>
          <w:iCs/>
        </w:rPr>
        <w:t>Journal of The Royal Society Interface</w:t>
      </w:r>
      <w:r>
        <w:t xml:space="preserve"> 14 (134): 20170213. </w:t>
      </w:r>
      <w:hyperlink r:id="rId36">
        <w:r>
          <w:rPr>
            <w:rStyle w:val="Hyperlink"/>
          </w:rPr>
          <w:t>https://doi.org/10.1098/rsif.2017.0213</w:t>
        </w:r>
      </w:hyperlink>
      <w:r>
        <w:t>.</w:t>
      </w:r>
    </w:p>
    <w:p w14:paraId="45AB1703" w14:textId="77777777" w:rsidR="005E30AF" w:rsidRDefault="005E30AF" w:rsidP="005E30AF">
      <w:pPr>
        <w:pStyle w:val="Bibliography"/>
      </w:pPr>
      <w:bookmarkStart w:id="681" w:name="ref-nakagawa_general_2013"/>
      <w:bookmarkEnd w:id="680"/>
      <w:r>
        <w:t xml:space="preserve">Nakagawa, Shinichi, and Holger Schielzeth. 2013. “A General and Simple Method for Obtaining R2 from Generalized Linear Mixed-Effects Models.” </w:t>
      </w:r>
      <w:r>
        <w:rPr>
          <w:i/>
          <w:iCs/>
        </w:rPr>
        <w:t>Methods in Ecology and Evolution</w:t>
      </w:r>
      <w:r>
        <w:t xml:space="preserve"> 4 (2): 133–42. </w:t>
      </w:r>
      <w:hyperlink r:id="rId37">
        <w:r>
          <w:rPr>
            <w:rStyle w:val="Hyperlink"/>
          </w:rPr>
          <w:t>https://doi.org/10.1111/j.2041-210x.2012.00261.x</w:t>
        </w:r>
      </w:hyperlink>
      <w:r>
        <w:t>.</w:t>
      </w:r>
    </w:p>
    <w:p w14:paraId="4F9EA322" w14:textId="77777777" w:rsidR="005E30AF" w:rsidRDefault="005E30AF" w:rsidP="005E30AF">
      <w:pPr>
        <w:pStyle w:val="Bibliography"/>
      </w:pPr>
      <w:bookmarkStart w:id="682" w:name="ref-Nakajima2024"/>
      <w:bookmarkEnd w:id="681"/>
      <w:r>
        <w:t xml:space="preserve">Nakajima, Sakurako, Yuichiro Otsuka, Osamu Itani, Yoshifumi Kaneko, Masato Suzuki, and Yoshitaka Kaneita. 2024. “Association Between Commuting and Mental Health Among Japanese Adolescents.” </w:t>
      </w:r>
      <w:r>
        <w:rPr>
          <w:i/>
          <w:iCs/>
        </w:rPr>
        <w:t>Psychiatry and Clinical Neurosciences</w:t>
      </w:r>
      <w:r>
        <w:t xml:space="preserve"> 78 (10): 588–94. </w:t>
      </w:r>
      <w:hyperlink r:id="rId38">
        <w:r>
          <w:rPr>
            <w:rStyle w:val="Hyperlink"/>
          </w:rPr>
          <w:t>https://doi.org/10.1111/pcn.13714</w:t>
        </w:r>
      </w:hyperlink>
      <w:r>
        <w:t>.</w:t>
      </w:r>
    </w:p>
    <w:p w14:paraId="13E52F6A" w14:textId="77777777" w:rsidR="005E30AF" w:rsidRDefault="005E30AF" w:rsidP="005E30AF">
      <w:pPr>
        <w:pStyle w:val="Bibliography"/>
      </w:pPr>
      <w:bookmarkStart w:id="683" w:name="ref-Otsuka2025"/>
      <w:bookmarkEnd w:id="682"/>
      <w:r>
        <w:t xml:space="preserve">Otsuka, Yuichiro, Mikiko Tokiya, Issei </w:t>
      </w:r>
      <w:proofErr w:type="spellStart"/>
      <w:r>
        <w:t>Saitoh</w:t>
      </w:r>
      <w:proofErr w:type="spellEnd"/>
      <w:r>
        <w:t xml:space="preserve">, Osamu Itani, and Yoshitaka Kaneita. 2025. “Factors Associated with School Absenteeism Due to Difficulty Awakening: A Two-Year Prospective Cohort Study of Japanese Adolescents.” </w:t>
      </w:r>
      <w:r>
        <w:rPr>
          <w:i/>
          <w:iCs/>
        </w:rPr>
        <w:t>Environmental Health and Preventive Medicine</w:t>
      </w:r>
      <w:r>
        <w:t xml:space="preserve"> 30: 89–89. </w:t>
      </w:r>
      <w:hyperlink r:id="rId39">
        <w:r>
          <w:rPr>
            <w:rStyle w:val="Hyperlink"/>
          </w:rPr>
          <w:t>https://doi.org/10.1265/ehpm.25-00290</w:t>
        </w:r>
      </w:hyperlink>
      <w:r>
        <w:t>.</w:t>
      </w:r>
    </w:p>
    <w:p w14:paraId="5A58A3BD" w14:textId="77777777" w:rsidR="005E30AF" w:rsidRDefault="005E30AF" w:rsidP="005E30AF">
      <w:pPr>
        <w:pStyle w:val="Bibliography"/>
      </w:pPr>
      <w:bookmarkStart w:id="684" w:name="ref-Pereira2014"/>
      <w:bookmarkEnd w:id="683"/>
      <w:r>
        <w:lastRenderedPageBreak/>
        <w:t xml:space="preserve">Pereira, Erico F., Claudia Moreno, and Fernando M. Louzada. 2014. “Increased Commuting to School Time Reduces Sleep Duration in Adolescents.” </w:t>
      </w:r>
      <w:r>
        <w:rPr>
          <w:i/>
          <w:iCs/>
        </w:rPr>
        <w:t>Chronobiology International</w:t>
      </w:r>
      <w:r>
        <w:t xml:space="preserve"> 31 (1): 87–94. </w:t>
      </w:r>
      <w:hyperlink r:id="rId40">
        <w:r>
          <w:rPr>
            <w:rStyle w:val="Hyperlink"/>
          </w:rPr>
          <w:t>https://doi.org/10.3109/07420528.2013.826238</w:t>
        </w:r>
      </w:hyperlink>
      <w:r>
        <w:t>.</w:t>
      </w:r>
    </w:p>
    <w:p w14:paraId="158E6646" w14:textId="77777777" w:rsidR="005E30AF" w:rsidRDefault="005E30AF" w:rsidP="005E30AF">
      <w:pPr>
        <w:pStyle w:val="Bibliography"/>
      </w:pPr>
      <w:bookmarkStart w:id="685" w:name="ref-Pradhan2017"/>
      <w:bookmarkEnd w:id="684"/>
      <w:r>
        <w:t xml:space="preserve">Pradhan, Rajesh Kumar, and Nandita Sinha. 2017. “Impact of Commuting Distance and School Timing on Sleep of School Students.” </w:t>
      </w:r>
      <w:r>
        <w:rPr>
          <w:i/>
          <w:iCs/>
        </w:rPr>
        <w:t>Sleep and Biological Rhythms</w:t>
      </w:r>
      <w:r>
        <w:t xml:space="preserve"> 15 (2): 153–58. </w:t>
      </w:r>
      <w:hyperlink r:id="rId41">
        <w:r>
          <w:rPr>
            <w:rStyle w:val="Hyperlink"/>
          </w:rPr>
          <w:t>https://doi.org/10.1007/s41105-017-0091-0</w:t>
        </w:r>
      </w:hyperlink>
      <w:r>
        <w:t>.</w:t>
      </w:r>
    </w:p>
    <w:p w14:paraId="12F65264" w14:textId="77777777" w:rsidR="005E30AF" w:rsidRDefault="005E30AF" w:rsidP="005E30AF">
      <w:pPr>
        <w:pStyle w:val="Bibliography"/>
      </w:pPr>
      <w:bookmarkStart w:id="686" w:name="ref-Rakesh2025"/>
      <w:bookmarkEnd w:id="685"/>
      <w:r>
        <w:t xml:space="preserve">Rakesh, </w:t>
      </w:r>
      <w:proofErr w:type="spellStart"/>
      <w:r>
        <w:t>Divyangana</w:t>
      </w:r>
      <w:proofErr w:type="spellEnd"/>
      <w:r>
        <w:t xml:space="preserve">, Paris Anne Lee, Amruta Gaikwad, and Katie A. McLaughlin. 2025. “Annual Research Review: Associations of Socioeconomic Status with Cognitive Function, Language Ability, and Academic Achievement in Youth: A Systematic Review of Mechanisms and Protective Factors.” </w:t>
      </w:r>
      <w:r>
        <w:rPr>
          <w:i/>
          <w:iCs/>
        </w:rPr>
        <w:t>Journal of Child Psychology and Psychiatry</w:t>
      </w:r>
      <w:r>
        <w:t xml:space="preserve"> 66 (4): 417–39. </w:t>
      </w:r>
      <w:hyperlink r:id="rId42">
        <w:r>
          <w:rPr>
            <w:rStyle w:val="Hyperlink"/>
          </w:rPr>
          <w:t>https://doi.org/10.1111/jcpp.14082</w:t>
        </w:r>
      </w:hyperlink>
      <w:r>
        <w:t>.</w:t>
      </w:r>
    </w:p>
    <w:p w14:paraId="0EC37A55" w14:textId="77777777" w:rsidR="005E30AF" w:rsidRDefault="005E30AF" w:rsidP="005E30AF">
      <w:pPr>
        <w:pStyle w:val="Bibliography"/>
      </w:pPr>
      <w:bookmarkStart w:id="687" w:name="ref-Riordan2021"/>
      <w:bookmarkEnd w:id="686"/>
      <w:r>
        <w:t xml:space="preserve">Riordan, S., M. Jopling, and S. Starr. 2021. </w:t>
      </w:r>
      <w:r>
        <w:rPr>
          <w:i/>
          <w:iCs/>
        </w:rPr>
        <w:t>Against the Odds: Achieving Greater Progress for Secondary Students Facing Socio-Economic Disadvantage</w:t>
      </w:r>
      <w:r>
        <w:t xml:space="preserve">. Social Mobility Commission. </w:t>
      </w:r>
      <w:hyperlink r:id="rId43">
        <w:r>
          <w:rPr>
            <w:rStyle w:val="Hyperlink"/>
          </w:rPr>
          <w:t>https://www.gov.uk/government/publications/against-the-odds</w:t>
        </w:r>
      </w:hyperlink>
      <w:r>
        <w:t>.</w:t>
      </w:r>
    </w:p>
    <w:p w14:paraId="7C38C499" w14:textId="77777777" w:rsidR="005E30AF" w:rsidRDefault="005E30AF" w:rsidP="005E30AF">
      <w:pPr>
        <w:pStyle w:val="Bibliography"/>
      </w:pPr>
      <w:bookmarkStart w:id="688" w:name="ref-Ross2020"/>
      <w:bookmarkEnd w:id="687"/>
      <w:r>
        <w:t xml:space="preserve">Ross, A., C. </w:t>
      </w:r>
      <w:proofErr w:type="spellStart"/>
      <w:r>
        <w:t>Lessof</w:t>
      </w:r>
      <w:proofErr w:type="spellEnd"/>
      <w:r>
        <w:t xml:space="preserve">, R. Brind-Kantar, R. </w:t>
      </w:r>
      <w:proofErr w:type="spellStart"/>
      <w:r>
        <w:t>Khandker</w:t>
      </w:r>
      <w:proofErr w:type="spellEnd"/>
      <w:r>
        <w:t xml:space="preserve">, and D. Aitken. 2020. </w:t>
      </w:r>
      <w:r>
        <w:rPr>
          <w:i/>
          <w:iCs/>
        </w:rPr>
        <w:t>Examining the London Advantage in Attainment: Evidence from LSYPE</w:t>
      </w:r>
      <w:r>
        <w:t xml:space="preserve">. Department for Education. </w:t>
      </w:r>
      <w:hyperlink r:id="rId44">
        <w:r>
          <w:rPr>
            <w:rStyle w:val="Hyperlink"/>
          </w:rPr>
          <w:t>https://www.gov.uk/government/publications/examining-the-london-advantage-in-attainment-evidence-from-lsype</w:t>
        </w:r>
      </w:hyperlink>
      <w:r>
        <w:t>.</w:t>
      </w:r>
    </w:p>
    <w:p w14:paraId="28DB2ADA" w14:textId="77777777" w:rsidR="005E30AF" w:rsidRDefault="005E30AF" w:rsidP="005E30AF">
      <w:pPr>
        <w:pStyle w:val="Bibliography"/>
      </w:pPr>
      <w:bookmarkStart w:id="689" w:name="ref-Shah2023"/>
      <w:bookmarkEnd w:id="688"/>
      <w:r>
        <w:t xml:space="preserve">Shah, Kajal B. 2023. “Traversing the City: Examining the Impacts of Extended Commute on Student Wellbeing &amp; High School Experience in Chicago.” Master’s thesis, University of Chicago. </w:t>
      </w:r>
      <w:hyperlink r:id="rId45">
        <w:r>
          <w:rPr>
            <w:rStyle w:val="Hyperlink"/>
          </w:rPr>
          <w:t>https://knowledge.uchicago.edu/record/7216</w:t>
        </w:r>
      </w:hyperlink>
      <w:r>
        <w:t>.</w:t>
      </w:r>
    </w:p>
    <w:p w14:paraId="7B07BE0A" w14:textId="77777777" w:rsidR="005E30AF" w:rsidRDefault="005E30AF" w:rsidP="005E30AF">
      <w:pPr>
        <w:pStyle w:val="Bibliography"/>
      </w:pPr>
      <w:bookmarkStart w:id="690" w:name="ref-SmithTomlinson1989"/>
      <w:bookmarkEnd w:id="689"/>
      <w:r>
        <w:t xml:space="preserve">Smith, David J., and Sally Tomlinson. 1989. </w:t>
      </w:r>
      <w:r>
        <w:rPr>
          <w:i/>
          <w:iCs/>
        </w:rPr>
        <w:t>The School Effect: A Study of Multi-Racial Comprehensives</w:t>
      </w:r>
      <w:r>
        <w:t>. Policy Studies Institute.</w:t>
      </w:r>
    </w:p>
    <w:p w14:paraId="73128575" w14:textId="77777777" w:rsidR="005E30AF" w:rsidRDefault="005E30AF" w:rsidP="005E30AF">
      <w:pPr>
        <w:pStyle w:val="Bibliography"/>
      </w:pPr>
      <w:bookmarkStart w:id="691" w:name="ref-Snijders2012"/>
      <w:bookmarkEnd w:id="690"/>
      <w:r>
        <w:lastRenderedPageBreak/>
        <w:t xml:space="preserve">Snijders, T. A. B. 2012. </w:t>
      </w:r>
      <w:r>
        <w:rPr>
          <w:i/>
          <w:iCs/>
        </w:rPr>
        <w:t xml:space="preserve">Multilevel Analysis: An Introduction to Basic and Advanced Multilevel </w:t>
      </w:r>
      <w:proofErr w:type="spellStart"/>
      <w:r>
        <w:rPr>
          <w:i/>
          <w:iCs/>
        </w:rPr>
        <w:t>Modeling</w:t>
      </w:r>
      <w:proofErr w:type="spellEnd"/>
      <w:r>
        <w:t>. 2nd ed. SAGE.</w:t>
      </w:r>
    </w:p>
    <w:p w14:paraId="2896D536" w14:textId="77777777" w:rsidR="005E30AF" w:rsidRDefault="005E30AF" w:rsidP="005E30AF">
      <w:pPr>
        <w:pStyle w:val="Bibliography"/>
      </w:pPr>
      <w:bookmarkStart w:id="692" w:name="ref-Stein2021"/>
      <w:bookmarkEnd w:id="691"/>
      <w:r>
        <w:t xml:space="preserve">Stein, Marc L., Julia Burdick-Will, and Jeffrey Grigg. 2021. “A Choice Too Far: Transit Difficulty and Early High School Transfer.” </w:t>
      </w:r>
      <w:r>
        <w:rPr>
          <w:i/>
          <w:iCs/>
        </w:rPr>
        <w:t>Educational Researcher</w:t>
      </w:r>
      <w:r>
        <w:t xml:space="preserve"> 50 (3): 137–44. </w:t>
      </w:r>
      <w:hyperlink r:id="rId46">
        <w:r>
          <w:rPr>
            <w:rStyle w:val="Hyperlink"/>
          </w:rPr>
          <w:t>https://doi.org/10.3102/0013189X20949504</w:t>
        </w:r>
      </w:hyperlink>
      <w:r>
        <w:t>.</w:t>
      </w:r>
    </w:p>
    <w:p w14:paraId="3D7E4E43" w14:textId="77777777" w:rsidR="005E30AF" w:rsidRDefault="005E30AF" w:rsidP="005E30AF">
      <w:pPr>
        <w:pStyle w:val="Bibliography"/>
      </w:pPr>
      <w:bookmarkStart w:id="693" w:name="ref-StopforthGayle2025"/>
      <w:bookmarkEnd w:id="692"/>
      <w:r>
        <w:t xml:space="preserve">Stopforth, Sarah, and Vernon Gayle. 2025. “Parental Social Class and School Examinations: A Longitudinal Investigation Using Linked Administrative and Survey Data.” </w:t>
      </w:r>
      <w:r>
        <w:rPr>
          <w:i/>
          <w:iCs/>
        </w:rPr>
        <w:t>British Journal of Sociology of Education</w:t>
      </w:r>
      <w:r>
        <w:t xml:space="preserve"> 46 (4): 434–53. </w:t>
      </w:r>
      <w:hyperlink r:id="rId47">
        <w:r>
          <w:rPr>
            <w:rStyle w:val="Hyperlink"/>
          </w:rPr>
          <w:t>https://doi.org/10.1080/01425692.2025.2474040</w:t>
        </w:r>
      </w:hyperlink>
      <w:r>
        <w:t>.</w:t>
      </w:r>
    </w:p>
    <w:p w14:paraId="318D2B6B" w14:textId="77777777" w:rsidR="005E30AF" w:rsidRDefault="005E30AF" w:rsidP="005E30AF">
      <w:pPr>
        <w:pStyle w:val="Bibliography"/>
      </w:pPr>
      <w:bookmarkStart w:id="694" w:name="ref-Strand2021"/>
      <w:bookmarkEnd w:id="693"/>
      <w:r>
        <w:t xml:space="preserve">Strand, S. 2021. </w:t>
      </w:r>
      <w:r>
        <w:rPr>
          <w:i/>
          <w:iCs/>
        </w:rPr>
        <w:t>Ethnic, Socio-Economic and Sex Inequalities in Educational Achievement at Age 16, by Professor Steve Strand</w:t>
      </w:r>
      <w:r>
        <w:t xml:space="preserve">. Commission on Ethnic; Racial Disparities. </w:t>
      </w:r>
      <w:hyperlink r:id="rId48">
        <w:r>
          <w:rPr>
            <w:rStyle w:val="Hyperlink"/>
          </w:rPr>
          <w:t>https://www.gov.uk/government/publications/the-report-of-the-commission-on-race-and-ethnic-disparities-supporting-research/ethnic-socio-economic-and-sex-inequalities-in-educational-achievement-at-age-16-by-professor-steve-strand</w:t>
        </w:r>
      </w:hyperlink>
      <w:r>
        <w:t>.</w:t>
      </w:r>
    </w:p>
    <w:p w14:paraId="0FC781DD" w14:textId="77777777" w:rsidR="005E30AF" w:rsidRDefault="005E30AF" w:rsidP="005E30AF">
      <w:pPr>
        <w:pStyle w:val="Bibliography"/>
      </w:pPr>
      <w:bookmarkStart w:id="695" w:name="ref-tan_good_2025"/>
      <w:bookmarkEnd w:id="694"/>
      <w:r>
        <w:t xml:space="preserve">Tan, Josiah, and Adam Dennett. 2025. “Do Good Schools Influence Property Prices? Disentangling School and Neighbourhood Effects with Empirical Evidence from Brighton.” In </w:t>
      </w:r>
      <w:r>
        <w:rPr>
          <w:i/>
          <w:iCs/>
        </w:rPr>
        <w:t>Digital-Era Urban Transformations</w:t>
      </w:r>
      <w:r>
        <w:t xml:space="preserve">, edited by Robert Goodspeed, Esra Suel, Huanfa Chen, Joana Barros, and Christopher Pettit. Springer Nature Switzerland. </w:t>
      </w:r>
      <w:hyperlink r:id="rId49">
        <w:r>
          <w:rPr>
            <w:rStyle w:val="Hyperlink"/>
          </w:rPr>
          <w:t>https://doi.org/10.1007/978-3-031-98300-9_17</w:t>
        </w:r>
      </w:hyperlink>
      <w:r>
        <w:t>.</w:t>
      </w:r>
    </w:p>
    <w:p w14:paraId="73CDB487" w14:textId="77777777" w:rsidR="005E30AF" w:rsidRDefault="005E30AF" w:rsidP="005E30AF">
      <w:pPr>
        <w:pStyle w:val="Bibliography"/>
      </w:pPr>
      <w:bookmarkStart w:id="696" w:name="ref-TeddlieReynolds2000"/>
      <w:bookmarkEnd w:id="695"/>
      <w:r>
        <w:t xml:space="preserve">Teddlie, Charles, and David Reynolds. 2000. </w:t>
      </w:r>
      <w:r>
        <w:rPr>
          <w:i/>
          <w:iCs/>
        </w:rPr>
        <w:t>The International Handbook of School Effectiveness Research</w:t>
      </w:r>
      <w:r>
        <w:t>. Falmer Press.</w:t>
      </w:r>
    </w:p>
    <w:p w14:paraId="3593968E" w14:textId="77777777" w:rsidR="005E30AF" w:rsidRDefault="005E30AF" w:rsidP="005E30AF">
      <w:pPr>
        <w:pStyle w:val="Bibliography"/>
      </w:pPr>
      <w:bookmarkStart w:id="697" w:name="ref-Thomson2023"/>
      <w:bookmarkEnd w:id="696"/>
      <w:r>
        <w:lastRenderedPageBreak/>
        <w:t xml:space="preserve">Thomson, Dave. 2023. “Are Pupils Who Live Further Away from Their School Absent More Often?” In </w:t>
      </w:r>
      <w:r>
        <w:rPr>
          <w:i/>
          <w:iCs/>
        </w:rPr>
        <w:t xml:space="preserve">FFT Education </w:t>
      </w:r>
      <w:proofErr w:type="spellStart"/>
      <w:r>
        <w:rPr>
          <w:i/>
          <w:iCs/>
        </w:rPr>
        <w:t>Datalab</w:t>
      </w:r>
      <w:proofErr w:type="spellEnd"/>
      <w:r>
        <w:t xml:space="preserve">. </w:t>
      </w:r>
      <w:hyperlink r:id="rId50">
        <w:r>
          <w:rPr>
            <w:rStyle w:val="Hyperlink"/>
          </w:rPr>
          <w:t>https://ffteducationdatalab.org.uk/2023/11/are-pupils-who-live-further-away-from-their-school-absent-more-often/</w:t>
        </w:r>
      </w:hyperlink>
      <w:r>
        <w:t>.</w:t>
      </w:r>
    </w:p>
    <w:p w14:paraId="7A0394A2" w14:textId="77777777" w:rsidR="005E30AF" w:rsidRDefault="005E30AF" w:rsidP="005E30AF">
      <w:pPr>
        <w:pStyle w:val="Bibliography"/>
      </w:pPr>
      <w:bookmarkStart w:id="698" w:name="ref-Tuckett2023"/>
      <w:bookmarkEnd w:id="697"/>
      <w:r>
        <w:t xml:space="preserve">Tuckett, S., E. Hunt, D. Robinson, and N. </w:t>
      </w:r>
      <w:proofErr w:type="spellStart"/>
      <w:r>
        <w:t>Babbini</w:t>
      </w:r>
      <w:proofErr w:type="spellEnd"/>
      <w:r>
        <w:t xml:space="preserve">. 2023. </w:t>
      </w:r>
      <w:r>
        <w:rPr>
          <w:i/>
          <w:iCs/>
        </w:rPr>
        <w:t>EPI Annual Report 2023</w:t>
      </w:r>
      <w:r>
        <w:t xml:space="preserve">. Education Policy Institute. </w:t>
      </w:r>
      <w:hyperlink r:id="rId51">
        <w:r>
          <w:rPr>
            <w:rStyle w:val="Hyperlink"/>
          </w:rPr>
          <w:t>https://epi.org.uk/annual-report-2023/</w:t>
        </w:r>
      </w:hyperlink>
      <w:r>
        <w:t>.</w:t>
      </w:r>
    </w:p>
    <w:p w14:paraId="7669FCE4" w14:textId="77777777" w:rsidR="005E30AF" w:rsidRDefault="005E30AF" w:rsidP="005E30AF">
      <w:pPr>
        <w:pStyle w:val="Bibliography"/>
      </w:pPr>
      <w:bookmarkStart w:id="699" w:name="ref-Voulgaris2019"/>
      <w:bookmarkEnd w:id="698"/>
      <w:r>
        <w:t xml:space="preserve">Voulgaris, Carole Turley, Michael J. Smart, and Brian D. Taylor. 2019. “Tired of Commuting? Relationships Among Journeys to School, Sleep, and Exercise Among American Teenagers.” </w:t>
      </w:r>
      <w:r>
        <w:rPr>
          <w:i/>
          <w:iCs/>
        </w:rPr>
        <w:t>Journal of Planning Education and Research</w:t>
      </w:r>
      <w:r>
        <w:t xml:space="preserve"> 39 (2): 142–54. </w:t>
      </w:r>
      <w:hyperlink r:id="rId52">
        <w:r>
          <w:rPr>
            <w:rStyle w:val="Hyperlink"/>
          </w:rPr>
          <w:t>https://doi.org/10.1177/0739456X17725148</w:t>
        </w:r>
      </w:hyperlink>
      <w:r>
        <w:t>.</w:t>
      </w:r>
    </w:p>
    <w:p w14:paraId="5B17A259" w14:textId="77777777" w:rsidR="005E30AF" w:rsidRDefault="005E30AF" w:rsidP="005E30AF">
      <w:pPr>
        <w:pStyle w:val="Bibliography"/>
      </w:pPr>
      <w:bookmarkStart w:id="700" w:name="ref-WassersteinLazar2016"/>
      <w:bookmarkEnd w:id="699"/>
      <w:r>
        <w:t xml:space="preserve">Wasserstein, Ronald L., and Nicole A. Lazar. 2016. “The ASA Statement on p-Values: Context, Process, and Purpose.” </w:t>
      </w:r>
      <w:r>
        <w:rPr>
          <w:i/>
          <w:iCs/>
        </w:rPr>
        <w:t>The American Statistician</w:t>
      </w:r>
      <w:r>
        <w:t xml:space="preserve"> 70 (2): 129–33. </w:t>
      </w:r>
      <w:hyperlink r:id="rId53">
        <w:r>
          <w:rPr>
            <w:rStyle w:val="Hyperlink"/>
          </w:rPr>
          <w:t>https://doi.org/10.1080/00031305.2016.1154108</w:t>
        </w:r>
      </w:hyperlink>
      <w:r>
        <w:t>.</w:t>
      </w:r>
    </w:p>
    <w:p w14:paraId="34BC2359" w14:textId="77777777" w:rsidR="005E30AF" w:rsidRDefault="005E30AF" w:rsidP="005E30AF">
      <w:pPr>
        <w:pStyle w:val="Bibliography"/>
      </w:pPr>
      <w:bookmarkStart w:id="701" w:name="ref-Yeo2019"/>
      <w:bookmarkEnd w:id="700"/>
      <w:r>
        <w:t xml:space="preserve">Yeo, Sing Chen, Anna Mini Jos, Christina Erwin, et al. 2019. “Associations of Sleep Duration on School Nights with Self-Rated Health, Overweight, and Depression Symptoms in Adolescents: Problems and Possible Solutions.” </w:t>
      </w:r>
      <w:r>
        <w:rPr>
          <w:i/>
          <w:iCs/>
        </w:rPr>
        <w:t>Sleep Medicine</w:t>
      </w:r>
      <w:r>
        <w:t xml:space="preserve"> 60: 96–108. </w:t>
      </w:r>
      <w:hyperlink r:id="rId54">
        <w:r>
          <w:rPr>
            <w:rStyle w:val="Hyperlink"/>
          </w:rPr>
          <w:t>https://doi.org/10.1016/j.sleep.2018.10.041</w:t>
        </w:r>
      </w:hyperlink>
      <w:r>
        <w:t>.</w:t>
      </w:r>
    </w:p>
    <w:p w14:paraId="30A4E034" w14:textId="77777777" w:rsidR="005E30AF" w:rsidRDefault="005E30AF" w:rsidP="005E30AF">
      <w:pPr>
        <w:pStyle w:val="Bibliography"/>
      </w:pPr>
      <w:bookmarkStart w:id="702" w:name="ref-Zuccollo2023"/>
      <w:bookmarkEnd w:id="701"/>
      <w:r>
        <w:t xml:space="preserve">Zuccollo, J., J. Cardim Dias, E. Jimenez, and N. Braakmann. 2023. </w:t>
      </w:r>
      <w:r>
        <w:rPr>
          <w:i/>
          <w:iCs/>
        </w:rPr>
        <w:t>The Influence of Headteachers on Their Schools</w:t>
      </w:r>
      <w:r>
        <w:t xml:space="preserve">. Education Policy Institute. </w:t>
      </w:r>
      <w:hyperlink r:id="rId55">
        <w:r>
          <w:rPr>
            <w:rStyle w:val="Hyperlink"/>
          </w:rPr>
          <w:t>https://epi.org.uk/publications-and-research/the-influence-of-headteachers-on-their-schools/</w:t>
        </w:r>
      </w:hyperlink>
      <w:r>
        <w:t>.</w:t>
      </w:r>
    </w:p>
    <w:p w14:paraId="4C1307B7" w14:textId="77777777" w:rsidR="005E30AF" w:rsidRDefault="005E30AF">
      <w:pPr>
        <w:spacing w:after="200" w:line="240" w:lineRule="auto"/>
        <w:rPr>
          <w:rFonts w:cs="Arial"/>
          <w:b/>
          <w:bCs/>
          <w:kern w:val="32"/>
          <w:szCs w:val="32"/>
        </w:rPr>
      </w:pPr>
      <w:bookmarkStart w:id="703" w:name="figures-and-tables"/>
      <w:bookmarkEnd w:id="648"/>
      <w:bookmarkEnd w:id="650"/>
      <w:bookmarkEnd w:id="702"/>
      <w:r>
        <w:br w:type="page"/>
      </w:r>
    </w:p>
    <w:p w14:paraId="403A00AF" w14:textId="772E7387" w:rsidR="005E30AF" w:rsidRDefault="005E30AF" w:rsidP="005E30AF">
      <w:pPr>
        <w:pStyle w:val="Heading1"/>
      </w:pPr>
      <w:r>
        <w:lastRenderedPageBreak/>
        <w:t>Figures and Tables</w:t>
      </w:r>
    </w:p>
    <w:tbl>
      <w:tblPr>
        <w:tblStyle w:val="Table"/>
        <w:tblW w:w="5000" w:type="pct"/>
        <w:tblLayout w:type="fixed"/>
        <w:tblLook w:val="0000" w:firstRow="0" w:lastRow="0" w:firstColumn="0" w:lastColumn="0" w:noHBand="0" w:noVBand="0"/>
      </w:tblPr>
      <w:tblGrid>
        <w:gridCol w:w="9446"/>
      </w:tblGrid>
      <w:tr w:rsidR="005E30AF" w14:paraId="49640FD0" w14:textId="77777777" w:rsidTr="00EB37BA">
        <w:tc>
          <w:tcPr>
            <w:tcW w:w="7920" w:type="dxa"/>
          </w:tcPr>
          <w:p w14:paraId="0C391298" w14:textId="77777777" w:rsidR="005E30AF" w:rsidRDefault="005E30AF" w:rsidP="00EB37BA">
            <w:pPr>
              <w:pStyle w:val="ImageCaption"/>
              <w:spacing w:before="200"/>
            </w:pPr>
            <w:bookmarkStart w:id="704" w:name="tbl-stepwise"/>
            <w:r>
              <w:t>Table 1: Stepwise progression to the full multilevel model for overall Attainment 8.</w:t>
            </w:r>
          </w:p>
          <w:tbl>
            <w:tblPr>
              <w:tblStyle w:val="TableGridLight"/>
              <w:tblW w:w="4697" w:type="pct"/>
              <w:tblLayout w:type="fixed"/>
              <w:tblLook w:val="0020" w:firstRow="1" w:lastRow="0" w:firstColumn="0" w:lastColumn="0" w:noHBand="0" w:noVBand="0"/>
            </w:tblPr>
            <w:tblGrid>
              <w:gridCol w:w="2265"/>
              <w:gridCol w:w="780"/>
              <w:gridCol w:w="636"/>
              <w:gridCol w:w="639"/>
              <w:gridCol w:w="637"/>
              <w:gridCol w:w="638"/>
              <w:gridCol w:w="637"/>
              <w:gridCol w:w="638"/>
              <w:gridCol w:w="638"/>
              <w:gridCol w:w="637"/>
              <w:gridCol w:w="638"/>
            </w:tblGrid>
            <w:tr w:rsidR="005E30AF" w14:paraId="6BF85177" w14:textId="77777777" w:rsidTr="005E30AF">
              <w:tc>
                <w:tcPr>
                  <w:tcW w:w="2265" w:type="dxa"/>
                </w:tcPr>
                <w:p w14:paraId="519DA18A" w14:textId="77777777" w:rsidR="005E30AF" w:rsidRDefault="005E30AF" w:rsidP="005E30AF">
                  <w:pPr>
                    <w:pStyle w:val="Compact"/>
                    <w:jc w:val="center"/>
                  </w:pPr>
                </w:p>
              </w:tc>
              <w:tc>
                <w:tcPr>
                  <w:tcW w:w="1416" w:type="dxa"/>
                  <w:gridSpan w:val="2"/>
                </w:tcPr>
                <w:p w14:paraId="025E4967" w14:textId="03C70DEE" w:rsidR="005E30AF" w:rsidRDefault="005E30AF" w:rsidP="005E30AF">
                  <w:pPr>
                    <w:pStyle w:val="Compact"/>
                    <w:jc w:val="center"/>
                  </w:pPr>
                  <w:r w:rsidRPr="00440721">
                    <w:rPr>
                      <w:b/>
                      <w:bCs/>
                    </w:rPr>
                    <w:t>M1: FSM</w:t>
                  </w:r>
                </w:p>
              </w:tc>
              <w:tc>
                <w:tcPr>
                  <w:tcW w:w="1276" w:type="dxa"/>
                  <w:gridSpan w:val="2"/>
                </w:tcPr>
                <w:p w14:paraId="10572E42" w14:textId="066E161E" w:rsidR="005E30AF" w:rsidRDefault="005E30AF" w:rsidP="005E30AF">
                  <w:pPr>
                    <w:pStyle w:val="Compact"/>
                    <w:jc w:val="center"/>
                  </w:pPr>
                  <w:r w:rsidRPr="00440721">
                    <w:rPr>
                      <w:b/>
                      <w:bCs/>
                    </w:rPr>
                    <w:t>M2: + Absence</w:t>
                  </w:r>
                </w:p>
              </w:tc>
              <w:tc>
                <w:tcPr>
                  <w:tcW w:w="1275" w:type="dxa"/>
                  <w:gridSpan w:val="2"/>
                </w:tcPr>
                <w:p w14:paraId="4FA1F2C3" w14:textId="48532848" w:rsidR="005E30AF" w:rsidRDefault="005E30AF" w:rsidP="005E30AF">
                  <w:pPr>
                    <w:pStyle w:val="Compact"/>
                    <w:jc w:val="center"/>
                  </w:pPr>
                  <w:r w:rsidRPr="00440721">
                    <w:rPr>
                      <w:b/>
                      <w:bCs/>
                    </w:rPr>
                    <w:t>M3: +Prior</w:t>
                  </w:r>
                </w:p>
              </w:tc>
              <w:tc>
                <w:tcPr>
                  <w:tcW w:w="1276" w:type="dxa"/>
                  <w:gridSpan w:val="2"/>
                </w:tcPr>
                <w:p w14:paraId="5B84F58A" w14:textId="393D3284" w:rsidR="005E30AF" w:rsidRDefault="005E30AF" w:rsidP="005E30AF">
                  <w:pPr>
                    <w:pStyle w:val="Compact"/>
                    <w:jc w:val="center"/>
                  </w:pPr>
                  <w:r w:rsidRPr="00440721">
                    <w:rPr>
                      <w:b/>
                      <w:bCs/>
                    </w:rPr>
                    <w:t>M4: All Fixed</w:t>
                  </w:r>
                </w:p>
              </w:tc>
              <w:tc>
                <w:tcPr>
                  <w:tcW w:w="1275" w:type="dxa"/>
                  <w:gridSpan w:val="2"/>
                </w:tcPr>
                <w:p w14:paraId="3EDAD3B3" w14:textId="7BC7BC0E" w:rsidR="005E30AF" w:rsidRDefault="005E30AF" w:rsidP="005E30AF">
                  <w:pPr>
                    <w:pStyle w:val="Compact"/>
                    <w:jc w:val="center"/>
                  </w:pPr>
                  <w:r w:rsidRPr="00440721">
                    <w:rPr>
                      <w:b/>
                      <w:bCs/>
                    </w:rPr>
                    <w:t>M5: Full LME</w:t>
                  </w:r>
                </w:p>
              </w:tc>
            </w:tr>
            <w:tr w:rsidR="005E30AF" w14:paraId="46D3880A" w14:textId="77777777" w:rsidTr="005E30AF">
              <w:tc>
                <w:tcPr>
                  <w:tcW w:w="2265" w:type="dxa"/>
                </w:tcPr>
                <w:p w14:paraId="048AFC9B" w14:textId="77777777" w:rsidR="005E30AF" w:rsidRPr="002713D7" w:rsidRDefault="005E30AF" w:rsidP="00EB37BA">
                  <w:pPr>
                    <w:pStyle w:val="Compact"/>
                    <w:jc w:val="center"/>
                    <w:rPr>
                      <w:b/>
                      <w:bCs/>
                    </w:rPr>
                  </w:pPr>
                  <w:r w:rsidRPr="002713D7">
                    <w:rPr>
                      <w:b/>
                      <w:bCs/>
                    </w:rPr>
                    <w:t>Variable</w:t>
                  </w:r>
                </w:p>
              </w:tc>
              <w:tc>
                <w:tcPr>
                  <w:tcW w:w="780" w:type="dxa"/>
                </w:tcPr>
                <w:p w14:paraId="6309804D" w14:textId="77777777" w:rsidR="005E30AF" w:rsidRDefault="005E30AF" w:rsidP="00EB37BA">
                  <w:pPr>
                    <w:pStyle w:val="Compact"/>
                    <w:jc w:val="center"/>
                  </w:pPr>
                  <w:r>
                    <w:t>Est.</w:t>
                  </w:r>
                </w:p>
              </w:tc>
              <w:tc>
                <w:tcPr>
                  <w:tcW w:w="636" w:type="dxa"/>
                </w:tcPr>
                <w:p w14:paraId="7E8BFA70" w14:textId="77777777" w:rsidR="005E30AF" w:rsidRDefault="005E30AF" w:rsidP="00EB37BA">
                  <w:pPr>
                    <w:pStyle w:val="Compact"/>
                    <w:jc w:val="center"/>
                  </w:pPr>
                  <w:r>
                    <w:t>t</w:t>
                  </w:r>
                </w:p>
              </w:tc>
              <w:tc>
                <w:tcPr>
                  <w:tcW w:w="639" w:type="dxa"/>
                </w:tcPr>
                <w:p w14:paraId="5B138D2D" w14:textId="77777777" w:rsidR="005E30AF" w:rsidRDefault="005E30AF" w:rsidP="00EB37BA">
                  <w:pPr>
                    <w:pStyle w:val="Compact"/>
                    <w:jc w:val="center"/>
                  </w:pPr>
                  <w:r>
                    <w:t>Est.</w:t>
                  </w:r>
                </w:p>
              </w:tc>
              <w:tc>
                <w:tcPr>
                  <w:tcW w:w="637" w:type="dxa"/>
                </w:tcPr>
                <w:p w14:paraId="181BE62B" w14:textId="77777777" w:rsidR="005E30AF" w:rsidRDefault="005E30AF" w:rsidP="00EB37BA">
                  <w:pPr>
                    <w:pStyle w:val="Compact"/>
                    <w:jc w:val="center"/>
                  </w:pPr>
                  <w:r>
                    <w:t>t</w:t>
                  </w:r>
                </w:p>
              </w:tc>
              <w:tc>
                <w:tcPr>
                  <w:tcW w:w="638" w:type="dxa"/>
                </w:tcPr>
                <w:p w14:paraId="0159CBE7" w14:textId="77777777" w:rsidR="005E30AF" w:rsidRDefault="005E30AF" w:rsidP="00EB37BA">
                  <w:pPr>
                    <w:pStyle w:val="Compact"/>
                    <w:jc w:val="center"/>
                  </w:pPr>
                  <w:r>
                    <w:t>Est.</w:t>
                  </w:r>
                </w:p>
              </w:tc>
              <w:tc>
                <w:tcPr>
                  <w:tcW w:w="637" w:type="dxa"/>
                </w:tcPr>
                <w:p w14:paraId="6CF00CF2" w14:textId="77777777" w:rsidR="005E30AF" w:rsidRDefault="005E30AF" w:rsidP="00EB37BA">
                  <w:pPr>
                    <w:pStyle w:val="Compact"/>
                    <w:jc w:val="center"/>
                  </w:pPr>
                  <w:r>
                    <w:t>t</w:t>
                  </w:r>
                </w:p>
              </w:tc>
              <w:tc>
                <w:tcPr>
                  <w:tcW w:w="638" w:type="dxa"/>
                </w:tcPr>
                <w:p w14:paraId="502D8A50" w14:textId="77777777" w:rsidR="005E30AF" w:rsidRDefault="005E30AF" w:rsidP="00EB37BA">
                  <w:pPr>
                    <w:pStyle w:val="Compact"/>
                    <w:jc w:val="center"/>
                  </w:pPr>
                  <w:r>
                    <w:t>Est.</w:t>
                  </w:r>
                </w:p>
              </w:tc>
              <w:tc>
                <w:tcPr>
                  <w:tcW w:w="638" w:type="dxa"/>
                </w:tcPr>
                <w:p w14:paraId="7E2001BD" w14:textId="77777777" w:rsidR="005E30AF" w:rsidRDefault="005E30AF" w:rsidP="00EB37BA">
                  <w:pPr>
                    <w:pStyle w:val="Compact"/>
                    <w:jc w:val="center"/>
                  </w:pPr>
                  <w:r>
                    <w:t>t</w:t>
                  </w:r>
                </w:p>
              </w:tc>
              <w:tc>
                <w:tcPr>
                  <w:tcW w:w="637" w:type="dxa"/>
                </w:tcPr>
                <w:p w14:paraId="2CEFB855" w14:textId="77777777" w:rsidR="005E30AF" w:rsidRDefault="005E30AF" w:rsidP="00EB37BA">
                  <w:pPr>
                    <w:pStyle w:val="Compact"/>
                    <w:jc w:val="center"/>
                  </w:pPr>
                  <w:r>
                    <w:t>Est.</w:t>
                  </w:r>
                </w:p>
              </w:tc>
              <w:tc>
                <w:tcPr>
                  <w:tcW w:w="638" w:type="dxa"/>
                </w:tcPr>
                <w:p w14:paraId="037F5459" w14:textId="77777777" w:rsidR="005E30AF" w:rsidRDefault="005E30AF" w:rsidP="00EB37BA">
                  <w:pPr>
                    <w:pStyle w:val="Compact"/>
                    <w:jc w:val="center"/>
                  </w:pPr>
                  <w:r>
                    <w:t>t</w:t>
                  </w:r>
                </w:p>
              </w:tc>
            </w:tr>
            <w:tr w:rsidR="005E30AF" w14:paraId="38EE672E" w14:textId="77777777" w:rsidTr="005E30AF">
              <w:tc>
                <w:tcPr>
                  <w:tcW w:w="2265" w:type="dxa"/>
                </w:tcPr>
                <w:p w14:paraId="3C16B9D4" w14:textId="77777777" w:rsidR="005E30AF" w:rsidRPr="002713D7" w:rsidRDefault="005E30AF" w:rsidP="00EB37BA">
                  <w:pPr>
                    <w:pStyle w:val="Compact"/>
                    <w:jc w:val="center"/>
                    <w:rPr>
                      <w:b/>
                      <w:bCs/>
                    </w:rPr>
                  </w:pPr>
                  <w:r w:rsidRPr="002713D7">
                    <w:rPr>
                      <w:b/>
                      <w:bCs/>
                    </w:rPr>
                    <w:t>(Intercept)</w:t>
                  </w:r>
                </w:p>
              </w:tc>
              <w:tc>
                <w:tcPr>
                  <w:tcW w:w="780" w:type="dxa"/>
                </w:tcPr>
                <w:p w14:paraId="4EE3DDD2" w14:textId="77777777" w:rsidR="005E30AF" w:rsidRDefault="005E30AF" w:rsidP="00EB37BA">
                  <w:pPr>
                    <w:pStyle w:val="Compact"/>
                    <w:jc w:val="center"/>
                  </w:pPr>
                  <w:r>
                    <w:t>4.473 ***</w:t>
                  </w:r>
                </w:p>
              </w:tc>
              <w:tc>
                <w:tcPr>
                  <w:tcW w:w="636" w:type="dxa"/>
                </w:tcPr>
                <w:p w14:paraId="16C19908" w14:textId="77777777" w:rsidR="005E30AF" w:rsidRDefault="005E30AF" w:rsidP="00EB37BA">
                  <w:pPr>
                    <w:pStyle w:val="Compact"/>
                    <w:jc w:val="center"/>
                  </w:pPr>
                  <w:r>
                    <w:t>621.25</w:t>
                  </w:r>
                </w:p>
              </w:tc>
              <w:tc>
                <w:tcPr>
                  <w:tcW w:w="639" w:type="dxa"/>
                </w:tcPr>
                <w:p w14:paraId="1C189649" w14:textId="77777777" w:rsidR="005E30AF" w:rsidRDefault="005E30AF" w:rsidP="00EB37BA">
                  <w:pPr>
                    <w:pStyle w:val="Compact"/>
                    <w:jc w:val="center"/>
                  </w:pPr>
                  <w:r>
                    <w:t>5.006 ***</w:t>
                  </w:r>
                </w:p>
              </w:tc>
              <w:tc>
                <w:tcPr>
                  <w:tcW w:w="637" w:type="dxa"/>
                </w:tcPr>
                <w:p w14:paraId="764A21D8" w14:textId="77777777" w:rsidR="005E30AF" w:rsidRDefault="005E30AF" w:rsidP="00EB37BA">
                  <w:pPr>
                    <w:pStyle w:val="Compact"/>
                    <w:jc w:val="center"/>
                  </w:pPr>
                  <w:r>
                    <w:t>579.97</w:t>
                  </w:r>
                </w:p>
              </w:tc>
              <w:tc>
                <w:tcPr>
                  <w:tcW w:w="638" w:type="dxa"/>
                </w:tcPr>
                <w:p w14:paraId="15014592" w14:textId="77777777" w:rsidR="005E30AF" w:rsidRDefault="005E30AF" w:rsidP="00EB37BA">
                  <w:pPr>
                    <w:pStyle w:val="Compact"/>
                    <w:jc w:val="center"/>
                  </w:pPr>
                  <w:r>
                    <w:t>4.412 ***</w:t>
                  </w:r>
                </w:p>
              </w:tc>
              <w:tc>
                <w:tcPr>
                  <w:tcW w:w="637" w:type="dxa"/>
                </w:tcPr>
                <w:p w14:paraId="6CD6AD4E" w14:textId="77777777" w:rsidR="005E30AF" w:rsidRDefault="005E30AF" w:rsidP="00EB37BA">
                  <w:pPr>
                    <w:pStyle w:val="Compact"/>
                    <w:jc w:val="center"/>
                  </w:pPr>
                  <w:r>
                    <w:t>345.92</w:t>
                  </w:r>
                </w:p>
              </w:tc>
              <w:tc>
                <w:tcPr>
                  <w:tcW w:w="638" w:type="dxa"/>
                </w:tcPr>
                <w:p w14:paraId="02C37D2E" w14:textId="77777777" w:rsidR="005E30AF" w:rsidRDefault="005E30AF" w:rsidP="00EB37BA">
                  <w:pPr>
                    <w:pStyle w:val="Compact"/>
                    <w:jc w:val="center"/>
                  </w:pPr>
                  <w:r>
                    <w:t>4.304 ***</w:t>
                  </w:r>
                </w:p>
              </w:tc>
              <w:tc>
                <w:tcPr>
                  <w:tcW w:w="638" w:type="dxa"/>
                </w:tcPr>
                <w:p w14:paraId="20A5FA4C" w14:textId="77777777" w:rsidR="005E30AF" w:rsidRDefault="005E30AF" w:rsidP="00EB37BA">
                  <w:pPr>
                    <w:pStyle w:val="Compact"/>
                    <w:jc w:val="center"/>
                  </w:pPr>
                  <w:r>
                    <w:t>263.27</w:t>
                  </w:r>
                </w:p>
              </w:tc>
              <w:tc>
                <w:tcPr>
                  <w:tcW w:w="637" w:type="dxa"/>
                </w:tcPr>
                <w:p w14:paraId="1A7FEC03" w14:textId="77777777" w:rsidR="005E30AF" w:rsidRDefault="005E30AF" w:rsidP="00EB37BA">
                  <w:pPr>
                    <w:pStyle w:val="Compact"/>
                    <w:jc w:val="center"/>
                  </w:pPr>
                  <w:r>
                    <w:t>4.261 ***</w:t>
                  </w:r>
                </w:p>
              </w:tc>
              <w:tc>
                <w:tcPr>
                  <w:tcW w:w="638" w:type="dxa"/>
                </w:tcPr>
                <w:p w14:paraId="388DF4A0" w14:textId="77777777" w:rsidR="005E30AF" w:rsidRDefault="005E30AF" w:rsidP="00EB37BA">
                  <w:pPr>
                    <w:pStyle w:val="Compact"/>
                    <w:jc w:val="center"/>
                  </w:pPr>
                  <w:r>
                    <w:t>114.98</w:t>
                  </w:r>
                </w:p>
              </w:tc>
            </w:tr>
            <w:tr w:rsidR="005E30AF" w14:paraId="0074BF1E" w14:textId="77777777" w:rsidTr="005E30AF">
              <w:tc>
                <w:tcPr>
                  <w:tcW w:w="2265" w:type="dxa"/>
                </w:tcPr>
                <w:p w14:paraId="2CF92D5F" w14:textId="77777777" w:rsidR="005E30AF" w:rsidRPr="002713D7" w:rsidRDefault="005E30AF" w:rsidP="00EB37BA">
                  <w:pPr>
                    <w:pStyle w:val="Compact"/>
                    <w:jc w:val="center"/>
                    <w:rPr>
                      <w:b/>
                      <w:bCs/>
                    </w:rPr>
                  </w:pPr>
                  <w:proofErr w:type="gramStart"/>
                  <w:r w:rsidRPr="002713D7">
                    <w:rPr>
                      <w:b/>
                      <w:bCs/>
                    </w:rPr>
                    <w:t>log(</w:t>
                  </w:r>
                  <w:proofErr w:type="gramEnd"/>
                  <w:r w:rsidRPr="002713D7">
                    <w:rPr>
                      <w:b/>
                      <w:bCs/>
                    </w:rPr>
                    <w:t>% FSM)</w:t>
                  </w:r>
                </w:p>
              </w:tc>
              <w:tc>
                <w:tcPr>
                  <w:tcW w:w="780" w:type="dxa"/>
                </w:tcPr>
                <w:p w14:paraId="6E4E714C" w14:textId="77777777" w:rsidR="005E30AF" w:rsidRDefault="005E30AF" w:rsidP="00EB37BA">
                  <w:pPr>
                    <w:pStyle w:val="Compact"/>
                    <w:jc w:val="center"/>
                  </w:pPr>
                  <w:r>
                    <w:t>-0.201 ***</w:t>
                  </w:r>
                </w:p>
              </w:tc>
              <w:tc>
                <w:tcPr>
                  <w:tcW w:w="636" w:type="dxa"/>
                </w:tcPr>
                <w:p w14:paraId="525D5E01" w14:textId="77777777" w:rsidR="005E30AF" w:rsidRDefault="005E30AF" w:rsidP="00EB37BA">
                  <w:pPr>
                    <w:pStyle w:val="Compact"/>
                    <w:jc w:val="center"/>
                  </w:pPr>
                  <w:r>
                    <w:t>-88.94</w:t>
                  </w:r>
                </w:p>
              </w:tc>
              <w:tc>
                <w:tcPr>
                  <w:tcW w:w="639" w:type="dxa"/>
                </w:tcPr>
                <w:p w14:paraId="62EC2DB1" w14:textId="77777777" w:rsidR="005E30AF" w:rsidRDefault="005E30AF" w:rsidP="00EB37BA">
                  <w:pPr>
                    <w:pStyle w:val="Compact"/>
                    <w:jc w:val="center"/>
                  </w:pPr>
                  <w:r>
                    <w:t>-0.122 ***</w:t>
                  </w:r>
                </w:p>
              </w:tc>
              <w:tc>
                <w:tcPr>
                  <w:tcW w:w="637" w:type="dxa"/>
                </w:tcPr>
                <w:p w14:paraId="19A1DDA2" w14:textId="77777777" w:rsidR="005E30AF" w:rsidRDefault="005E30AF" w:rsidP="00EB37BA">
                  <w:pPr>
                    <w:pStyle w:val="Compact"/>
                    <w:jc w:val="center"/>
                  </w:pPr>
                  <w:r>
                    <w:t>-59.66</w:t>
                  </w:r>
                </w:p>
              </w:tc>
              <w:tc>
                <w:tcPr>
                  <w:tcW w:w="638" w:type="dxa"/>
                </w:tcPr>
                <w:p w14:paraId="71C04CC4" w14:textId="77777777" w:rsidR="005E30AF" w:rsidRDefault="005E30AF" w:rsidP="00EB37BA">
                  <w:pPr>
                    <w:pStyle w:val="Compact"/>
                    <w:jc w:val="center"/>
                  </w:pPr>
                  <w:r>
                    <w:t>-0.047 ***</w:t>
                  </w:r>
                </w:p>
              </w:tc>
              <w:tc>
                <w:tcPr>
                  <w:tcW w:w="637" w:type="dxa"/>
                </w:tcPr>
                <w:p w14:paraId="794DEEE4" w14:textId="77777777" w:rsidR="005E30AF" w:rsidRDefault="005E30AF" w:rsidP="00EB37BA">
                  <w:pPr>
                    <w:pStyle w:val="Compact"/>
                    <w:jc w:val="center"/>
                  </w:pPr>
                  <w:r>
                    <w:t>-21.04</w:t>
                  </w:r>
                </w:p>
              </w:tc>
              <w:tc>
                <w:tcPr>
                  <w:tcW w:w="638" w:type="dxa"/>
                </w:tcPr>
                <w:p w14:paraId="3DD28C0D" w14:textId="77777777" w:rsidR="005E30AF" w:rsidRDefault="005E30AF" w:rsidP="00EB37BA">
                  <w:pPr>
                    <w:pStyle w:val="Compact"/>
                    <w:jc w:val="center"/>
                  </w:pPr>
                  <w:r>
                    <w:t>-0.054 ***</w:t>
                  </w:r>
                </w:p>
              </w:tc>
              <w:tc>
                <w:tcPr>
                  <w:tcW w:w="638" w:type="dxa"/>
                </w:tcPr>
                <w:p w14:paraId="5153A5DD" w14:textId="77777777" w:rsidR="005E30AF" w:rsidRDefault="005E30AF" w:rsidP="00EB37BA">
                  <w:pPr>
                    <w:pStyle w:val="Compact"/>
                    <w:jc w:val="center"/>
                  </w:pPr>
                  <w:r>
                    <w:t>-21.47</w:t>
                  </w:r>
                </w:p>
              </w:tc>
              <w:tc>
                <w:tcPr>
                  <w:tcW w:w="637" w:type="dxa"/>
                </w:tcPr>
                <w:p w14:paraId="110EF2A5" w14:textId="77777777" w:rsidR="005E30AF" w:rsidRDefault="005E30AF" w:rsidP="00EB37BA">
                  <w:pPr>
                    <w:pStyle w:val="Compact"/>
                    <w:jc w:val="center"/>
                  </w:pPr>
                  <w:r>
                    <w:t>-0.050 ***</w:t>
                  </w:r>
                </w:p>
              </w:tc>
              <w:tc>
                <w:tcPr>
                  <w:tcW w:w="638" w:type="dxa"/>
                </w:tcPr>
                <w:p w14:paraId="057F51E0" w14:textId="77777777" w:rsidR="005E30AF" w:rsidRDefault="005E30AF" w:rsidP="00EB37BA">
                  <w:pPr>
                    <w:pStyle w:val="Compact"/>
                    <w:jc w:val="center"/>
                  </w:pPr>
                  <w:r>
                    <w:t>-18.18</w:t>
                  </w:r>
                </w:p>
              </w:tc>
            </w:tr>
            <w:tr w:rsidR="005E30AF" w14:paraId="635C0855" w14:textId="77777777" w:rsidTr="005E30AF">
              <w:tc>
                <w:tcPr>
                  <w:tcW w:w="2265" w:type="dxa"/>
                </w:tcPr>
                <w:p w14:paraId="19D492FB" w14:textId="77777777" w:rsidR="005E30AF" w:rsidRPr="002713D7" w:rsidRDefault="005E30AF" w:rsidP="00EB37BA">
                  <w:pPr>
                    <w:pStyle w:val="Compact"/>
                    <w:jc w:val="center"/>
                    <w:rPr>
                      <w:b/>
                      <w:bCs/>
                    </w:rPr>
                  </w:pPr>
                  <w:proofErr w:type="gramStart"/>
                  <w:r w:rsidRPr="002713D7">
                    <w:rPr>
                      <w:b/>
                      <w:bCs/>
                    </w:rPr>
                    <w:t>log(</w:t>
                  </w:r>
                  <w:proofErr w:type="gramEnd"/>
                  <w:r w:rsidRPr="002713D7">
                    <w:rPr>
                      <w:b/>
                      <w:bCs/>
                    </w:rPr>
                    <w:t>% Absence)</w:t>
                  </w:r>
                </w:p>
              </w:tc>
              <w:tc>
                <w:tcPr>
                  <w:tcW w:w="780" w:type="dxa"/>
                </w:tcPr>
                <w:p w14:paraId="0B1759B1" w14:textId="77777777" w:rsidR="005E30AF" w:rsidRDefault="005E30AF" w:rsidP="00EB37BA">
                  <w:pPr>
                    <w:pStyle w:val="Compact"/>
                  </w:pPr>
                </w:p>
              </w:tc>
              <w:tc>
                <w:tcPr>
                  <w:tcW w:w="636" w:type="dxa"/>
                </w:tcPr>
                <w:p w14:paraId="19D88440" w14:textId="77777777" w:rsidR="005E30AF" w:rsidRDefault="005E30AF" w:rsidP="00EB37BA">
                  <w:pPr>
                    <w:pStyle w:val="Compact"/>
                  </w:pPr>
                </w:p>
              </w:tc>
              <w:tc>
                <w:tcPr>
                  <w:tcW w:w="639" w:type="dxa"/>
                </w:tcPr>
                <w:p w14:paraId="22565C23" w14:textId="77777777" w:rsidR="005E30AF" w:rsidRDefault="005E30AF" w:rsidP="00EB37BA">
                  <w:pPr>
                    <w:pStyle w:val="Compact"/>
                    <w:jc w:val="center"/>
                  </w:pPr>
                  <w:r>
                    <w:t>-0.364 ***</w:t>
                  </w:r>
                </w:p>
              </w:tc>
              <w:tc>
                <w:tcPr>
                  <w:tcW w:w="637" w:type="dxa"/>
                </w:tcPr>
                <w:p w14:paraId="6619747B" w14:textId="77777777" w:rsidR="005E30AF" w:rsidRDefault="005E30AF" w:rsidP="00EB37BA">
                  <w:pPr>
                    <w:pStyle w:val="Compact"/>
                    <w:jc w:val="center"/>
                  </w:pPr>
                  <w:r>
                    <w:t>-82.87</w:t>
                  </w:r>
                </w:p>
              </w:tc>
              <w:tc>
                <w:tcPr>
                  <w:tcW w:w="638" w:type="dxa"/>
                </w:tcPr>
                <w:p w14:paraId="799678FF" w14:textId="77777777" w:rsidR="005E30AF" w:rsidRDefault="005E30AF" w:rsidP="00EB37BA">
                  <w:pPr>
                    <w:pStyle w:val="Compact"/>
                    <w:jc w:val="center"/>
                  </w:pPr>
                  <w:r>
                    <w:t>-0.259 ***</w:t>
                  </w:r>
                </w:p>
              </w:tc>
              <w:tc>
                <w:tcPr>
                  <w:tcW w:w="637" w:type="dxa"/>
                </w:tcPr>
                <w:p w14:paraId="1CACBCC9" w14:textId="77777777" w:rsidR="005E30AF" w:rsidRDefault="005E30AF" w:rsidP="00EB37BA">
                  <w:pPr>
                    <w:pStyle w:val="Compact"/>
                    <w:jc w:val="center"/>
                  </w:pPr>
                  <w:r>
                    <w:t>-60.47</w:t>
                  </w:r>
                </w:p>
              </w:tc>
              <w:tc>
                <w:tcPr>
                  <w:tcW w:w="638" w:type="dxa"/>
                </w:tcPr>
                <w:p w14:paraId="29D31F19" w14:textId="77777777" w:rsidR="005E30AF" w:rsidRDefault="005E30AF" w:rsidP="00EB37BA">
                  <w:pPr>
                    <w:pStyle w:val="Compact"/>
                    <w:jc w:val="center"/>
                  </w:pPr>
                  <w:r>
                    <w:t>-0.229 ***</w:t>
                  </w:r>
                </w:p>
              </w:tc>
              <w:tc>
                <w:tcPr>
                  <w:tcW w:w="638" w:type="dxa"/>
                </w:tcPr>
                <w:p w14:paraId="235CBEC7" w14:textId="77777777" w:rsidR="005E30AF" w:rsidRDefault="005E30AF" w:rsidP="00EB37BA">
                  <w:pPr>
                    <w:pStyle w:val="Compact"/>
                    <w:jc w:val="center"/>
                  </w:pPr>
                  <w:r>
                    <w:t>-49.98</w:t>
                  </w:r>
                </w:p>
              </w:tc>
              <w:tc>
                <w:tcPr>
                  <w:tcW w:w="637" w:type="dxa"/>
                </w:tcPr>
                <w:p w14:paraId="380F90B7" w14:textId="77777777" w:rsidR="005E30AF" w:rsidRDefault="005E30AF" w:rsidP="00EB37BA">
                  <w:pPr>
                    <w:pStyle w:val="Compact"/>
                    <w:jc w:val="center"/>
                  </w:pPr>
                  <w:r>
                    <w:t>-0.207 ***</w:t>
                  </w:r>
                </w:p>
              </w:tc>
              <w:tc>
                <w:tcPr>
                  <w:tcW w:w="638" w:type="dxa"/>
                </w:tcPr>
                <w:p w14:paraId="482F8DB4" w14:textId="77777777" w:rsidR="005E30AF" w:rsidRDefault="005E30AF" w:rsidP="00EB37BA">
                  <w:pPr>
                    <w:pStyle w:val="Compact"/>
                    <w:jc w:val="center"/>
                  </w:pPr>
                  <w:r>
                    <w:t>-45.74</w:t>
                  </w:r>
                </w:p>
              </w:tc>
            </w:tr>
            <w:tr w:rsidR="005E30AF" w14:paraId="7707A277" w14:textId="77777777" w:rsidTr="005E30AF">
              <w:tc>
                <w:tcPr>
                  <w:tcW w:w="2265" w:type="dxa"/>
                </w:tcPr>
                <w:p w14:paraId="5CB88BD4" w14:textId="77777777" w:rsidR="005E30AF" w:rsidRPr="002713D7" w:rsidRDefault="005E30AF" w:rsidP="00EB37BA">
                  <w:pPr>
                    <w:pStyle w:val="Compact"/>
                    <w:jc w:val="center"/>
                    <w:rPr>
                      <w:b/>
                      <w:bCs/>
                    </w:rPr>
                  </w:pPr>
                  <w:proofErr w:type="gramStart"/>
                  <w:r w:rsidRPr="002713D7">
                    <w:rPr>
                      <w:b/>
                      <w:bCs/>
                    </w:rPr>
                    <w:t>log(</w:t>
                  </w:r>
                  <w:proofErr w:type="gramEnd"/>
                  <w:r w:rsidRPr="002713D7">
                    <w:rPr>
                      <w:b/>
                      <w:bCs/>
                    </w:rPr>
                    <w:t>% EAL)</w:t>
                  </w:r>
                </w:p>
              </w:tc>
              <w:tc>
                <w:tcPr>
                  <w:tcW w:w="780" w:type="dxa"/>
                </w:tcPr>
                <w:p w14:paraId="2ED933E3" w14:textId="77777777" w:rsidR="005E30AF" w:rsidRDefault="005E30AF" w:rsidP="00EB37BA">
                  <w:pPr>
                    <w:pStyle w:val="Compact"/>
                  </w:pPr>
                </w:p>
              </w:tc>
              <w:tc>
                <w:tcPr>
                  <w:tcW w:w="636" w:type="dxa"/>
                </w:tcPr>
                <w:p w14:paraId="5DA84635" w14:textId="77777777" w:rsidR="005E30AF" w:rsidRDefault="005E30AF" w:rsidP="00EB37BA">
                  <w:pPr>
                    <w:pStyle w:val="Compact"/>
                  </w:pPr>
                </w:p>
              </w:tc>
              <w:tc>
                <w:tcPr>
                  <w:tcW w:w="639" w:type="dxa"/>
                </w:tcPr>
                <w:p w14:paraId="1B9A48AE" w14:textId="77777777" w:rsidR="005E30AF" w:rsidRDefault="005E30AF" w:rsidP="00EB37BA">
                  <w:pPr>
                    <w:pStyle w:val="Compact"/>
                  </w:pPr>
                </w:p>
              </w:tc>
              <w:tc>
                <w:tcPr>
                  <w:tcW w:w="637" w:type="dxa"/>
                </w:tcPr>
                <w:p w14:paraId="08E3047F" w14:textId="77777777" w:rsidR="005E30AF" w:rsidRDefault="005E30AF" w:rsidP="00EB37BA">
                  <w:pPr>
                    <w:pStyle w:val="Compact"/>
                  </w:pPr>
                </w:p>
              </w:tc>
              <w:tc>
                <w:tcPr>
                  <w:tcW w:w="638" w:type="dxa"/>
                </w:tcPr>
                <w:p w14:paraId="083021FB" w14:textId="77777777" w:rsidR="005E30AF" w:rsidRDefault="005E30AF" w:rsidP="00EB37BA">
                  <w:pPr>
                    <w:pStyle w:val="Compact"/>
                  </w:pPr>
                </w:p>
              </w:tc>
              <w:tc>
                <w:tcPr>
                  <w:tcW w:w="637" w:type="dxa"/>
                </w:tcPr>
                <w:p w14:paraId="3994433F" w14:textId="77777777" w:rsidR="005E30AF" w:rsidRDefault="005E30AF" w:rsidP="00EB37BA">
                  <w:pPr>
                    <w:pStyle w:val="Compact"/>
                  </w:pPr>
                </w:p>
              </w:tc>
              <w:tc>
                <w:tcPr>
                  <w:tcW w:w="638" w:type="dxa"/>
                </w:tcPr>
                <w:p w14:paraId="07E4900C" w14:textId="77777777" w:rsidR="005E30AF" w:rsidRDefault="005E30AF" w:rsidP="00EB37BA">
                  <w:pPr>
                    <w:pStyle w:val="Compact"/>
                    <w:jc w:val="center"/>
                  </w:pPr>
                  <w:r>
                    <w:t>0.013 ***</w:t>
                  </w:r>
                </w:p>
              </w:tc>
              <w:tc>
                <w:tcPr>
                  <w:tcW w:w="638" w:type="dxa"/>
                </w:tcPr>
                <w:p w14:paraId="6676CCC3" w14:textId="77777777" w:rsidR="005E30AF" w:rsidRDefault="005E30AF" w:rsidP="00EB37BA">
                  <w:pPr>
                    <w:pStyle w:val="Compact"/>
                    <w:jc w:val="center"/>
                  </w:pPr>
                  <w:r>
                    <w:t>12.83</w:t>
                  </w:r>
                </w:p>
              </w:tc>
              <w:tc>
                <w:tcPr>
                  <w:tcW w:w="637" w:type="dxa"/>
                </w:tcPr>
                <w:p w14:paraId="769A3BB7" w14:textId="77777777" w:rsidR="005E30AF" w:rsidRDefault="005E30AF" w:rsidP="00EB37BA">
                  <w:pPr>
                    <w:pStyle w:val="Compact"/>
                    <w:jc w:val="center"/>
                  </w:pPr>
                  <w:r>
                    <w:t>0.007 ***</w:t>
                  </w:r>
                </w:p>
              </w:tc>
              <w:tc>
                <w:tcPr>
                  <w:tcW w:w="638" w:type="dxa"/>
                </w:tcPr>
                <w:p w14:paraId="15F1C462" w14:textId="77777777" w:rsidR="005E30AF" w:rsidRDefault="005E30AF" w:rsidP="00EB37BA">
                  <w:pPr>
                    <w:pStyle w:val="Compact"/>
                    <w:jc w:val="center"/>
                  </w:pPr>
                  <w:r>
                    <w:t>6.09</w:t>
                  </w:r>
                </w:p>
              </w:tc>
            </w:tr>
            <w:tr w:rsidR="005E30AF" w14:paraId="53A6A837" w14:textId="77777777" w:rsidTr="005E30AF">
              <w:tc>
                <w:tcPr>
                  <w:tcW w:w="2265" w:type="dxa"/>
                </w:tcPr>
                <w:p w14:paraId="7AF09847" w14:textId="77777777" w:rsidR="005E30AF" w:rsidRPr="002713D7" w:rsidRDefault="005E30AF" w:rsidP="00EB37BA">
                  <w:pPr>
                    <w:pStyle w:val="Compact"/>
                    <w:jc w:val="center"/>
                    <w:rPr>
                      <w:b/>
                      <w:bCs/>
                    </w:rPr>
                  </w:pPr>
                  <w:r w:rsidRPr="002713D7">
                    <w:rPr>
                      <w:b/>
                      <w:bCs/>
                    </w:rPr>
                    <w:t>Mean KS2 Prior Attainment</w:t>
                  </w:r>
                </w:p>
              </w:tc>
              <w:tc>
                <w:tcPr>
                  <w:tcW w:w="780" w:type="dxa"/>
                </w:tcPr>
                <w:p w14:paraId="7B0ECF1B" w14:textId="77777777" w:rsidR="005E30AF" w:rsidRDefault="005E30AF" w:rsidP="00EB37BA">
                  <w:pPr>
                    <w:pStyle w:val="Compact"/>
                  </w:pPr>
                </w:p>
              </w:tc>
              <w:tc>
                <w:tcPr>
                  <w:tcW w:w="636" w:type="dxa"/>
                </w:tcPr>
                <w:p w14:paraId="022C2DA2" w14:textId="77777777" w:rsidR="005E30AF" w:rsidRDefault="005E30AF" w:rsidP="00EB37BA">
                  <w:pPr>
                    <w:pStyle w:val="Compact"/>
                  </w:pPr>
                </w:p>
              </w:tc>
              <w:tc>
                <w:tcPr>
                  <w:tcW w:w="639" w:type="dxa"/>
                </w:tcPr>
                <w:p w14:paraId="73DF45D6" w14:textId="77777777" w:rsidR="005E30AF" w:rsidRDefault="005E30AF" w:rsidP="00EB37BA">
                  <w:pPr>
                    <w:pStyle w:val="Compact"/>
                  </w:pPr>
                </w:p>
              </w:tc>
              <w:tc>
                <w:tcPr>
                  <w:tcW w:w="637" w:type="dxa"/>
                </w:tcPr>
                <w:p w14:paraId="57872678" w14:textId="77777777" w:rsidR="005E30AF" w:rsidRDefault="005E30AF" w:rsidP="00EB37BA">
                  <w:pPr>
                    <w:pStyle w:val="Compact"/>
                  </w:pPr>
                </w:p>
              </w:tc>
              <w:tc>
                <w:tcPr>
                  <w:tcW w:w="638" w:type="dxa"/>
                </w:tcPr>
                <w:p w14:paraId="76DBA095" w14:textId="77777777" w:rsidR="005E30AF" w:rsidRDefault="005E30AF" w:rsidP="00EB37BA">
                  <w:pPr>
                    <w:pStyle w:val="Compact"/>
                    <w:jc w:val="center"/>
                  </w:pPr>
                  <w:r>
                    <w:t>0.031 ***</w:t>
                  </w:r>
                </w:p>
              </w:tc>
              <w:tc>
                <w:tcPr>
                  <w:tcW w:w="637" w:type="dxa"/>
                </w:tcPr>
                <w:p w14:paraId="62AC6FE9" w14:textId="77777777" w:rsidR="005E30AF" w:rsidRDefault="005E30AF" w:rsidP="00EB37BA">
                  <w:pPr>
                    <w:pStyle w:val="Compact"/>
                    <w:jc w:val="center"/>
                  </w:pPr>
                  <w:r>
                    <w:t>58.18</w:t>
                  </w:r>
                </w:p>
              </w:tc>
              <w:tc>
                <w:tcPr>
                  <w:tcW w:w="638" w:type="dxa"/>
                </w:tcPr>
                <w:p w14:paraId="0C4E1A2F" w14:textId="77777777" w:rsidR="005E30AF" w:rsidRDefault="005E30AF" w:rsidP="00EB37BA">
                  <w:pPr>
                    <w:pStyle w:val="Compact"/>
                    <w:jc w:val="center"/>
                  </w:pPr>
                  <w:r>
                    <w:t>0.030 ***</w:t>
                  </w:r>
                </w:p>
              </w:tc>
              <w:tc>
                <w:tcPr>
                  <w:tcW w:w="638" w:type="dxa"/>
                </w:tcPr>
                <w:p w14:paraId="2B4F3D11" w14:textId="77777777" w:rsidR="005E30AF" w:rsidRDefault="005E30AF" w:rsidP="00EB37BA">
                  <w:pPr>
                    <w:pStyle w:val="Compact"/>
                    <w:jc w:val="center"/>
                  </w:pPr>
                  <w:r>
                    <w:t>46.70</w:t>
                  </w:r>
                </w:p>
              </w:tc>
              <w:tc>
                <w:tcPr>
                  <w:tcW w:w="637" w:type="dxa"/>
                </w:tcPr>
                <w:p w14:paraId="19E66D4D" w14:textId="77777777" w:rsidR="005E30AF" w:rsidRDefault="005E30AF" w:rsidP="00EB37BA">
                  <w:pPr>
                    <w:pStyle w:val="Compact"/>
                    <w:jc w:val="center"/>
                  </w:pPr>
                  <w:r>
                    <w:t>0.032 ***</w:t>
                  </w:r>
                </w:p>
              </w:tc>
              <w:tc>
                <w:tcPr>
                  <w:tcW w:w="638" w:type="dxa"/>
                </w:tcPr>
                <w:p w14:paraId="37FBD853" w14:textId="77777777" w:rsidR="005E30AF" w:rsidRDefault="005E30AF" w:rsidP="00EB37BA">
                  <w:pPr>
                    <w:pStyle w:val="Compact"/>
                    <w:jc w:val="center"/>
                  </w:pPr>
                  <w:r>
                    <w:t>48.46</w:t>
                  </w:r>
                </w:p>
              </w:tc>
            </w:tr>
            <w:tr w:rsidR="005E30AF" w14:paraId="55262F15" w14:textId="77777777" w:rsidTr="005E30AF">
              <w:tc>
                <w:tcPr>
                  <w:tcW w:w="2265" w:type="dxa"/>
                </w:tcPr>
                <w:p w14:paraId="3B902B6F" w14:textId="77777777" w:rsidR="005E30AF" w:rsidRPr="002713D7" w:rsidRDefault="005E30AF" w:rsidP="00EB37BA">
                  <w:pPr>
                    <w:pStyle w:val="Compact"/>
                    <w:jc w:val="center"/>
                    <w:rPr>
                      <w:b/>
                      <w:bCs/>
                    </w:rPr>
                  </w:pPr>
                  <w:r w:rsidRPr="002713D7">
                    <w:rPr>
                      <w:b/>
                      <w:bCs/>
                    </w:rPr>
                    <w:t>Admissions: Other non-selective</w:t>
                  </w:r>
                </w:p>
              </w:tc>
              <w:tc>
                <w:tcPr>
                  <w:tcW w:w="780" w:type="dxa"/>
                </w:tcPr>
                <w:p w14:paraId="24DF18EB" w14:textId="77777777" w:rsidR="005E30AF" w:rsidRDefault="005E30AF" w:rsidP="00EB37BA">
                  <w:pPr>
                    <w:pStyle w:val="Compact"/>
                  </w:pPr>
                </w:p>
              </w:tc>
              <w:tc>
                <w:tcPr>
                  <w:tcW w:w="636" w:type="dxa"/>
                </w:tcPr>
                <w:p w14:paraId="1DCBAFD0" w14:textId="77777777" w:rsidR="005E30AF" w:rsidRDefault="005E30AF" w:rsidP="00EB37BA">
                  <w:pPr>
                    <w:pStyle w:val="Compact"/>
                  </w:pPr>
                </w:p>
              </w:tc>
              <w:tc>
                <w:tcPr>
                  <w:tcW w:w="639" w:type="dxa"/>
                </w:tcPr>
                <w:p w14:paraId="2A247A22" w14:textId="77777777" w:rsidR="005E30AF" w:rsidRDefault="005E30AF" w:rsidP="00EB37BA">
                  <w:pPr>
                    <w:pStyle w:val="Compact"/>
                  </w:pPr>
                </w:p>
              </w:tc>
              <w:tc>
                <w:tcPr>
                  <w:tcW w:w="637" w:type="dxa"/>
                </w:tcPr>
                <w:p w14:paraId="546E2D56" w14:textId="77777777" w:rsidR="005E30AF" w:rsidRDefault="005E30AF" w:rsidP="00EB37BA">
                  <w:pPr>
                    <w:pStyle w:val="Compact"/>
                  </w:pPr>
                </w:p>
              </w:tc>
              <w:tc>
                <w:tcPr>
                  <w:tcW w:w="638" w:type="dxa"/>
                </w:tcPr>
                <w:p w14:paraId="21CE24EB" w14:textId="77777777" w:rsidR="005E30AF" w:rsidRDefault="005E30AF" w:rsidP="00EB37BA">
                  <w:pPr>
                    <w:pStyle w:val="Compact"/>
                  </w:pPr>
                </w:p>
              </w:tc>
              <w:tc>
                <w:tcPr>
                  <w:tcW w:w="637" w:type="dxa"/>
                </w:tcPr>
                <w:p w14:paraId="7C6B1BB1" w14:textId="77777777" w:rsidR="005E30AF" w:rsidRDefault="005E30AF" w:rsidP="00EB37BA">
                  <w:pPr>
                    <w:pStyle w:val="Compact"/>
                  </w:pPr>
                </w:p>
              </w:tc>
              <w:tc>
                <w:tcPr>
                  <w:tcW w:w="638" w:type="dxa"/>
                </w:tcPr>
                <w:p w14:paraId="34124AB7" w14:textId="77777777" w:rsidR="005E30AF" w:rsidRDefault="005E30AF" w:rsidP="00EB37BA">
                  <w:pPr>
                    <w:pStyle w:val="Compact"/>
                    <w:jc w:val="center"/>
                  </w:pPr>
                  <w:r>
                    <w:t>0.039 ***</w:t>
                  </w:r>
                </w:p>
              </w:tc>
              <w:tc>
                <w:tcPr>
                  <w:tcW w:w="638" w:type="dxa"/>
                </w:tcPr>
                <w:p w14:paraId="3CC91A3C" w14:textId="77777777" w:rsidR="005E30AF" w:rsidRDefault="005E30AF" w:rsidP="00EB37BA">
                  <w:pPr>
                    <w:pStyle w:val="Compact"/>
                    <w:jc w:val="center"/>
                  </w:pPr>
                  <w:r>
                    <w:t>8.73</w:t>
                  </w:r>
                </w:p>
              </w:tc>
              <w:tc>
                <w:tcPr>
                  <w:tcW w:w="637" w:type="dxa"/>
                </w:tcPr>
                <w:p w14:paraId="0A003BC7" w14:textId="77777777" w:rsidR="005E30AF" w:rsidRDefault="005E30AF" w:rsidP="00EB37BA">
                  <w:pPr>
                    <w:pStyle w:val="Compact"/>
                    <w:jc w:val="center"/>
                  </w:pPr>
                  <w:r>
                    <w:t>0.028 ***</w:t>
                  </w:r>
                </w:p>
              </w:tc>
              <w:tc>
                <w:tcPr>
                  <w:tcW w:w="638" w:type="dxa"/>
                </w:tcPr>
                <w:p w14:paraId="4601FBD0" w14:textId="77777777" w:rsidR="005E30AF" w:rsidRDefault="005E30AF" w:rsidP="00EB37BA">
                  <w:pPr>
                    <w:pStyle w:val="Compact"/>
                    <w:jc w:val="center"/>
                  </w:pPr>
                  <w:r>
                    <w:t>4.06</w:t>
                  </w:r>
                </w:p>
              </w:tc>
            </w:tr>
            <w:tr w:rsidR="005E30AF" w14:paraId="215F500E" w14:textId="77777777" w:rsidTr="005E30AF">
              <w:tc>
                <w:tcPr>
                  <w:tcW w:w="2265" w:type="dxa"/>
                </w:tcPr>
                <w:p w14:paraId="34E90E46" w14:textId="77777777" w:rsidR="005E30AF" w:rsidRPr="002713D7" w:rsidRDefault="005E30AF" w:rsidP="00EB37BA">
                  <w:pPr>
                    <w:pStyle w:val="Compact"/>
                    <w:jc w:val="center"/>
                    <w:rPr>
                      <w:b/>
                      <w:bCs/>
                    </w:rPr>
                  </w:pPr>
                  <w:r w:rsidRPr="002713D7">
                    <w:rPr>
                      <w:b/>
                      <w:bCs/>
                    </w:rPr>
                    <w:t>Admissions: Selective</w:t>
                  </w:r>
                </w:p>
              </w:tc>
              <w:tc>
                <w:tcPr>
                  <w:tcW w:w="780" w:type="dxa"/>
                </w:tcPr>
                <w:p w14:paraId="6BD55E81" w14:textId="77777777" w:rsidR="005E30AF" w:rsidRDefault="005E30AF" w:rsidP="00EB37BA">
                  <w:pPr>
                    <w:pStyle w:val="Compact"/>
                  </w:pPr>
                </w:p>
              </w:tc>
              <w:tc>
                <w:tcPr>
                  <w:tcW w:w="636" w:type="dxa"/>
                </w:tcPr>
                <w:p w14:paraId="73977B36" w14:textId="77777777" w:rsidR="005E30AF" w:rsidRDefault="005E30AF" w:rsidP="00EB37BA">
                  <w:pPr>
                    <w:pStyle w:val="Compact"/>
                  </w:pPr>
                </w:p>
              </w:tc>
              <w:tc>
                <w:tcPr>
                  <w:tcW w:w="639" w:type="dxa"/>
                </w:tcPr>
                <w:p w14:paraId="155ECCAB" w14:textId="77777777" w:rsidR="005E30AF" w:rsidRDefault="005E30AF" w:rsidP="00EB37BA">
                  <w:pPr>
                    <w:pStyle w:val="Compact"/>
                  </w:pPr>
                </w:p>
              </w:tc>
              <w:tc>
                <w:tcPr>
                  <w:tcW w:w="637" w:type="dxa"/>
                </w:tcPr>
                <w:p w14:paraId="70DE6DF2" w14:textId="77777777" w:rsidR="005E30AF" w:rsidRDefault="005E30AF" w:rsidP="00EB37BA">
                  <w:pPr>
                    <w:pStyle w:val="Compact"/>
                  </w:pPr>
                </w:p>
              </w:tc>
              <w:tc>
                <w:tcPr>
                  <w:tcW w:w="638" w:type="dxa"/>
                </w:tcPr>
                <w:p w14:paraId="202CD51A" w14:textId="77777777" w:rsidR="005E30AF" w:rsidRDefault="005E30AF" w:rsidP="00EB37BA">
                  <w:pPr>
                    <w:pStyle w:val="Compact"/>
                  </w:pPr>
                </w:p>
              </w:tc>
              <w:tc>
                <w:tcPr>
                  <w:tcW w:w="637" w:type="dxa"/>
                </w:tcPr>
                <w:p w14:paraId="72F80768" w14:textId="77777777" w:rsidR="005E30AF" w:rsidRDefault="005E30AF" w:rsidP="00EB37BA">
                  <w:pPr>
                    <w:pStyle w:val="Compact"/>
                  </w:pPr>
                </w:p>
              </w:tc>
              <w:tc>
                <w:tcPr>
                  <w:tcW w:w="638" w:type="dxa"/>
                </w:tcPr>
                <w:p w14:paraId="30410D21" w14:textId="77777777" w:rsidR="005E30AF" w:rsidRDefault="005E30AF" w:rsidP="00EB37BA">
                  <w:pPr>
                    <w:pStyle w:val="Compact"/>
                    <w:jc w:val="center"/>
                  </w:pPr>
                  <w:r>
                    <w:t>0.019 *</w:t>
                  </w:r>
                </w:p>
              </w:tc>
              <w:tc>
                <w:tcPr>
                  <w:tcW w:w="638" w:type="dxa"/>
                </w:tcPr>
                <w:p w14:paraId="4AA177A4" w14:textId="77777777" w:rsidR="005E30AF" w:rsidRDefault="005E30AF" w:rsidP="00EB37BA">
                  <w:pPr>
                    <w:pStyle w:val="Compact"/>
                    <w:jc w:val="center"/>
                  </w:pPr>
                  <w:r>
                    <w:t>2.44</w:t>
                  </w:r>
                </w:p>
              </w:tc>
              <w:tc>
                <w:tcPr>
                  <w:tcW w:w="637" w:type="dxa"/>
                </w:tcPr>
                <w:p w14:paraId="2F77A173" w14:textId="77777777" w:rsidR="005E30AF" w:rsidRDefault="005E30AF" w:rsidP="00EB37BA">
                  <w:pPr>
                    <w:pStyle w:val="Compact"/>
                    <w:jc w:val="center"/>
                  </w:pPr>
                  <w:r>
                    <w:t>-0.004</w:t>
                  </w:r>
                </w:p>
              </w:tc>
              <w:tc>
                <w:tcPr>
                  <w:tcW w:w="638" w:type="dxa"/>
                </w:tcPr>
                <w:p w14:paraId="1B798E93" w14:textId="77777777" w:rsidR="005E30AF" w:rsidRDefault="005E30AF" w:rsidP="00EB37BA">
                  <w:pPr>
                    <w:pStyle w:val="Compact"/>
                    <w:jc w:val="center"/>
                  </w:pPr>
                  <w:r>
                    <w:t>-0.55</w:t>
                  </w:r>
                </w:p>
              </w:tc>
            </w:tr>
            <w:tr w:rsidR="005E30AF" w14:paraId="6A7FB856" w14:textId="77777777" w:rsidTr="005E30AF">
              <w:tc>
                <w:tcPr>
                  <w:tcW w:w="2265" w:type="dxa"/>
                </w:tcPr>
                <w:p w14:paraId="608EFAD5" w14:textId="77777777" w:rsidR="005E30AF" w:rsidRPr="002713D7" w:rsidRDefault="005E30AF" w:rsidP="00EB37BA">
                  <w:pPr>
                    <w:pStyle w:val="Compact"/>
                    <w:jc w:val="center"/>
                    <w:rPr>
                      <w:b/>
                      <w:bCs/>
                    </w:rPr>
                  </w:pPr>
                  <w:proofErr w:type="spellStart"/>
                  <w:r w:rsidRPr="002713D7">
                    <w:rPr>
                      <w:b/>
                      <w:bCs/>
                    </w:rPr>
                    <w:t>Gorard</w:t>
                  </w:r>
                  <w:proofErr w:type="spellEnd"/>
                  <w:r w:rsidRPr="002713D7">
                    <w:rPr>
                      <w:b/>
                      <w:bCs/>
                    </w:rPr>
                    <w:t xml:space="preserve"> Segregation</w:t>
                  </w:r>
                </w:p>
              </w:tc>
              <w:tc>
                <w:tcPr>
                  <w:tcW w:w="780" w:type="dxa"/>
                </w:tcPr>
                <w:p w14:paraId="68399DBC" w14:textId="77777777" w:rsidR="005E30AF" w:rsidRDefault="005E30AF" w:rsidP="00EB37BA">
                  <w:pPr>
                    <w:pStyle w:val="Compact"/>
                  </w:pPr>
                </w:p>
              </w:tc>
              <w:tc>
                <w:tcPr>
                  <w:tcW w:w="636" w:type="dxa"/>
                </w:tcPr>
                <w:p w14:paraId="056525C5" w14:textId="77777777" w:rsidR="005E30AF" w:rsidRDefault="005E30AF" w:rsidP="00EB37BA">
                  <w:pPr>
                    <w:pStyle w:val="Compact"/>
                  </w:pPr>
                </w:p>
              </w:tc>
              <w:tc>
                <w:tcPr>
                  <w:tcW w:w="639" w:type="dxa"/>
                </w:tcPr>
                <w:p w14:paraId="14669C55" w14:textId="77777777" w:rsidR="005E30AF" w:rsidRDefault="005E30AF" w:rsidP="00EB37BA">
                  <w:pPr>
                    <w:pStyle w:val="Compact"/>
                  </w:pPr>
                </w:p>
              </w:tc>
              <w:tc>
                <w:tcPr>
                  <w:tcW w:w="637" w:type="dxa"/>
                </w:tcPr>
                <w:p w14:paraId="3F883156" w14:textId="77777777" w:rsidR="005E30AF" w:rsidRDefault="005E30AF" w:rsidP="00EB37BA">
                  <w:pPr>
                    <w:pStyle w:val="Compact"/>
                  </w:pPr>
                </w:p>
              </w:tc>
              <w:tc>
                <w:tcPr>
                  <w:tcW w:w="638" w:type="dxa"/>
                </w:tcPr>
                <w:p w14:paraId="66D97C84" w14:textId="77777777" w:rsidR="005E30AF" w:rsidRDefault="005E30AF" w:rsidP="00EB37BA">
                  <w:pPr>
                    <w:pStyle w:val="Compact"/>
                  </w:pPr>
                </w:p>
              </w:tc>
              <w:tc>
                <w:tcPr>
                  <w:tcW w:w="637" w:type="dxa"/>
                </w:tcPr>
                <w:p w14:paraId="408AD0B6" w14:textId="77777777" w:rsidR="005E30AF" w:rsidRDefault="005E30AF" w:rsidP="00EB37BA">
                  <w:pPr>
                    <w:pStyle w:val="Compact"/>
                  </w:pPr>
                </w:p>
              </w:tc>
              <w:tc>
                <w:tcPr>
                  <w:tcW w:w="638" w:type="dxa"/>
                </w:tcPr>
                <w:p w14:paraId="28759A27" w14:textId="77777777" w:rsidR="005E30AF" w:rsidRDefault="005E30AF" w:rsidP="00EB37BA">
                  <w:pPr>
                    <w:pStyle w:val="Compact"/>
                    <w:jc w:val="center"/>
                  </w:pPr>
                  <w:r>
                    <w:t>0.075 **</w:t>
                  </w:r>
                </w:p>
              </w:tc>
              <w:tc>
                <w:tcPr>
                  <w:tcW w:w="638" w:type="dxa"/>
                </w:tcPr>
                <w:p w14:paraId="42A7A14F" w14:textId="77777777" w:rsidR="005E30AF" w:rsidRDefault="005E30AF" w:rsidP="00EB37BA">
                  <w:pPr>
                    <w:pStyle w:val="Compact"/>
                    <w:jc w:val="center"/>
                  </w:pPr>
                  <w:r>
                    <w:t>2.84</w:t>
                  </w:r>
                </w:p>
              </w:tc>
              <w:tc>
                <w:tcPr>
                  <w:tcW w:w="637" w:type="dxa"/>
                </w:tcPr>
                <w:p w14:paraId="33E4370E" w14:textId="77777777" w:rsidR="005E30AF" w:rsidRDefault="005E30AF" w:rsidP="00EB37BA">
                  <w:pPr>
                    <w:pStyle w:val="Compact"/>
                    <w:jc w:val="center"/>
                  </w:pPr>
                  <w:r>
                    <w:t>0.026</w:t>
                  </w:r>
                </w:p>
              </w:tc>
              <w:tc>
                <w:tcPr>
                  <w:tcW w:w="638" w:type="dxa"/>
                </w:tcPr>
                <w:p w14:paraId="5520E861" w14:textId="77777777" w:rsidR="005E30AF" w:rsidRDefault="005E30AF" w:rsidP="00EB37BA">
                  <w:pPr>
                    <w:pStyle w:val="Compact"/>
                    <w:jc w:val="center"/>
                  </w:pPr>
                  <w:r>
                    <w:t>0.58</w:t>
                  </w:r>
                </w:p>
              </w:tc>
            </w:tr>
            <w:tr w:rsidR="005E30AF" w14:paraId="0AA1FC7A" w14:textId="77777777" w:rsidTr="005E30AF">
              <w:tc>
                <w:tcPr>
                  <w:tcW w:w="2265" w:type="dxa"/>
                </w:tcPr>
                <w:p w14:paraId="40CFB90C" w14:textId="77777777" w:rsidR="005E30AF" w:rsidRPr="002713D7" w:rsidRDefault="005E30AF" w:rsidP="00EB37BA">
                  <w:pPr>
                    <w:pStyle w:val="Compact"/>
                    <w:jc w:val="center"/>
                    <w:rPr>
                      <w:b/>
                      <w:bCs/>
                    </w:rPr>
                  </w:pPr>
                  <w:r w:rsidRPr="002713D7">
                    <w:rPr>
                      <w:b/>
                      <w:bCs/>
                    </w:rPr>
                    <w:t>Teacher Retention</w:t>
                  </w:r>
                </w:p>
              </w:tc>
              <w:tc>
                <w:tcPr>
                  <w:tcW w:w="780" w:type="dxa"/>
                </w:tcPr>
                <w:p w14:paraId="7BFADA39" w14:textId="77777777" w:rsidR="005E30AF" w:rsidRDefault="005E30AF" w:rsidP="00EB37BA">
                  <w:pPr>
                    <w:pStyle w:val="Compact"/>
                  </w:pPr>
                </w:p>
              </w:tc>
              <w:tc>
                <w:tcPr>
                  <w:tcW w:w="636" w:type="dxa"/>
                </w:tcPr>
                <w:p w14:paraId="6192A6E1" w14:textId="77777777" w:rsidR="005E30AF" w:rsidRDefault="005E30AF" w:rsidP="00EB37BA">
                  <w:pPr>
                    <w:pStyle w:val="Compact"/>
                  </w:pPr>
                </w:p>
              </w:tc>
              <w:tc>
                <w:tcPr>
                  <w:tcW w:w="639" w:type="dxa"/>
                </w:tcPr>
                <w:p w14:paraId="5218EE6A" w14:textId="77777777" w:rsidR="005E30AF" w:rsidRDefault="005E30AF" w:rsidP="00EB37BA">
                  <w:pPr>
                    <w:pStyle w:val="Compact"/>
                  </w:pPr>
                </w:p>
              </w:tc>
              <w:tc>
                <w:tcPr>
                  <w:tcW w:w="637" w:type="dxa"/>
                </w:tcPr>
                <w:p w14:paraId="217F28D5" w14:textId="77777777" w:rsidR="005E30AF" w:rsidRDefault="005E30AF" w:rsidP="00EB37BA">
                  <w:pPr>
                    <w:pStyle w:val="Compact"/>
                  </w:pPr>
                </w:p>
              </w:tc>
              <w:tc>
                <w:tcPr>
                  <w:tcW w:w="638" w:type="dxa"/>
                </w:tcPr>
                <w:p w14:paraId="264E426E" w14:textId="77777777" w:rsidR="005E30AF" w:rsidRDefault="005E30AF" w:rsidP="00EB37BA">
                  <w:pPr>
                    <w:pStyle w:val="Compact"/>
                  </w:pPr>
                </w:p>
              </w:tc>
              <w:tc>
                <w:tcPr>
                  <w:tcW w:w="637" w:type="dxa"/>
                </w:tcPr>
                <w:p w14:paraId="235741A4" w14:textId="77777777" w:rsidR="005E30AF" w:rsidRDefault="005E30AF" w:rsidP="00EB37BA">
                  <w:pPr>
                    <w:pStyle w:val="Compact"/>
                  </w:pPr>
                </w:p>
              </w:tc>
              <w:tc>
                <w:tcPr>
                  <w:tcW w:w="638" w:type="dxa"/>
                </w:tcPr>
                <w:p w14:paraId="657DF596" w14:textId="77777777" w:rsidR="005E30AF" w:rsidRDefault="005E30AF" w:rsidP="00EB37BA">
                  <w:pPr>
                    <w:pStyle w:val="Compact"/>
                    <w:jc w:val="center"/>
                  </w:pPr>
                  <w:r>
                    <w:t>0.001 ***</w:t>
                  </w:r>
                </w:p>
              </w:tc>
              <w:tc>
                <w:tcPr>
                  <w:tcW w:w="638" w:type="dxa"/>
                </w:tcPr>
                <w:p w14:paraId="2C43607F" w14:textId="77777777" w:rsidR="005E30AF" w:rsidRDefault="005E30AF" w:rsidP="00EB37BA">
                  <w:pPr>
                    <w:pStyle w:val="Compact"/>
                    <w:jc w:val="center"/>
                  </w:pPr>
                  <w:r>
                    <w:t>11.66</w:t>
                  </w:r>
                </w:p>
              </w:tc>
              <w:tc>
                <w:tcPr>
                  <w:tcW w:w="637" w:type="dxa"/>
                </w:tcPr>
                <w:p w14:paraId="2FD9BC48" w14:textId="77777777" w:rsidR="005E30AF" w:rsidRDefault="005E30AF" w:rsidP="00EB37BA">
                  <w:pPr>
                    <w:pStyle w:val="Compact"/>
                    <w:jc w:val="center"/>
                  </w:pPr>
                  <w:r>
                    <w:t>0.000 ***</w:t>
                  </w:r>
                </w:p>
              </w:tc>
              <w:tc>
                <w:tcPr>
                  <w:tcW w:w="638" w:type="dxa"/>
                </w:tcPr>
                <w:p w14:paraId="4F18EF52" w14:textId="77777777" w:rsidR="005E30AF" w:rsidRDefault="005E30AF" w:rsidP="00EB37BA">
                  <w:pPr>
                    <w:pStyle w:val="Compact"/>
                    <w:jc w:val="center"/>
                  </w:pPr>
                  <w:r>
                    <w:t>8.99</w:t>
                  </w:r>
                </w:p>
              </w:tc>
            </w:tr>
            <w:tr w:rsidR="005E30AF" w14:paraId="7A9D28ED" w14:textId="77777777" w:rsidTr="005E30AF">
              <w:tc>
                <w:tcPr>
                  <w:tcW w:w="2265" w:type="dxa"/>
                </w:tcPr>
                <w:p w14:paraId="035F8614" w14:textId="77777777" w:rsidR="005E30AF" w:rsidRPr="002713D7" w:rsidRDefault="005E30AF" w:rsidP="00EB37BA">
                  <w:pPr>
                    <w:pStyle w:val="Compact"/>
                    <w:jc w:val="center"/>
                    <w:rPr>
                      <w:b/>
                      <w:bCs/>
                    </w:rPr>
                  </w:pPr>
                  <w:r w:rsidRPr="002713D7">
                    <w:rPr>
                      <w:b/>
                      <w:bCs/>
                    </w:rPr>
                    <w:t>Leadership Pay %</w:t>
                  </w:r>
                </w:p>
              </w:tc>
              <w:tc>
                <w:tcPr>
                  <w:tcW w:w="780" w:type="dxa"/>
                </w:tcPr>
                <w:p w14:paraId="02A751C3" w14:textId="77777777" w:rsidR="005E30AF" w:rsidRDefault="005E30AF" w:rsidP="00EB37BA">
                  <w:pPr>
                    <w:pStyle w:val="Compact"/>
                  </w:pPr>
                </w:p>
              </w:tc>
              <w:tc>
                <w:tcPr>
                  <w:tcW w:w="636" w:type="dxa"/>
                </w:tcPr>
                <w:p w14:paraId="67F8448F" w14:textId="77777777" w:rsidR="005E30AF" w:rsidRDefault="005E30AF" w:rsidP="00EB37BA">
                  <w:pPr>
                    <w:pStyle w:val="Compact"/>
                  </w:pPr>
                </w:p>
              </w:tc>
              <w:tc>
                <w:tcPr>
                  <w:tcW w:w="639" w:type="dxa"/>
                </w:tcPr>
                <w:p w14:paraId="3A6B0DED" w14:textId="77777777" w:rsidR="005E30AF" w:rsidRDefault="005E30AF" w:rsidP="00EB37BA">
                  <w:pPr>
                    <w:pStyle w:val="Compact"/>
                  </w:pPr>
                </w:p>
              </w:tc>
              <w:tc>
                <w:tcPr>
                  <w:tcW w:w="637" w:type="dxa"/>
                </w:tcPr>
                <w:p w14:paraId="3801FDC3" w14:textId="77777777" w:rsidR="005E30AF" w:rsidRDefault="005E30AF" w:rsidP="00EB37BA">
                  <w:pPr>
                    <w:pStyle w:val="Compact"/>
                  </w:pPr>
                </w:p>
              </w:tc>
              <w:tc>
                <w:tcPr>
                  <w:tcW w:w="638" w:type="dxa"/>
                </w:tcPr>
                <w:p w14:paraId="3F70F250" w14:textId="77777777" w:rsidR="005E30AF" w:rsidRDefault="005E30AF" w:rsidP="00EB37BA">
                  <w:pPr>
                    <w:pStyle w:val="Compact"/>
                  </w:pPr>
                </w:p>
              </w:tc>
              <w:tc>
                <w:tcPr>
                  <w:tcW w:w="637" w:type="dxa"/>
                </w:tcPr>
                <w:p w14:paraId="6B0CC40C" w14:textId="77777777" w:rsidR="005E30AF" w:rsidRDefault="005E30AF" w:rsidP="00EB37BA">
                  <w:pPr>
                    <w:pStyle w:val="Compact"/>
                  </w:pPr>
                </w:p>
              </w:tc>
              <w:tc>
                <w:tcPr>
                  <w:tcW w:w="638" w:type="dxa"/>
                </w:tcPr>
                <w:p w14:paraId="63C9EA28" w14:textId="77777777" w:rsidR="005E30AF" w:rsidRDefault="005E30AF" w:rsidP="00EB37BA">
                  <w:pPr>
                    <w:pStyle w:val="Compact"/>
                    <w:jc w:val="center"/>
                  </w:pPr>
                  <w:r>
                    <w:t>-0.001 ***</w:t>
                  </w:r>
                </w:p>
              </w:tc>
              <w:tc>
                <w:tcPr>
                  <w:tcW w:w="638" w:type="dxa"/>
                </w:tcPr>
                <w:p w14:paraId="5428ECA7" w14:textId="77777777" w:rsidR="005E30AF" w:rsidRDefault="005E30AF" w:rsidP="00EB37BA">
                  <w:pPr>
                    <w:pStyle w:val="Compact"/>
                    <w:jc w:val="center"/>
                  </w:pPr>
                  <w:r>
                    <w:t>-5.45</w:t>
                  </w:r>
                </w:p>
              </w:tc>
              <w:tc>
                <w:tcPr>
                  <w:tcW w:w="637" w:type="dxa"/>
                </w:tcPr>
                <w:p w14:paraId="410BA0A1" w14:textId="77777777" w:rsidR="005E30AF" w:rsidRDefault="005E30AF" w:rsidP="00EB37BA">
                  <w:pPr>
                    <w:pStyle w:val="Compact"/>
                    <w:jc w:val="center"/>
                  </w:pPr>
                  <w:r>
                    <w:t>-0.001 ***</w:t>
                  </w:r>
                </w:p>
              </w:tc>
              <w:tc>
                <w:tcPr>
                  <w:tcW w:w="638" w:type="dxa"/>
                </w:tcPr>
                <w:p w14:paraId="761E11C8" w14:textId="77777777" w:rsidR="005E30AF" w:rsidRDefault="005E30AF" w:rsidP="00EB37BA">
                  <w:pPr>
                    <w:pStyle w:val="Compact"/>
                    <w:jc w:val="center"/>
                  </w:pPr>
                  <w:r>
                    <w:t>-4.52</w:t>
                  </w:r>
                </w:p>
              </w:tc>
            </w:tr>
            <w:tr w:rsidR="005E30AF" w14:paraId="602EC508" w14:textId="77777777" w:rsidTr="005E30AF">
              <w:tc>
                <w:tcPr>
                  <w:tcW w:w="2265" w:type="dxa"/>
                </w:tcPr>
                <w:p w14:paraId="7A38154A" w14:textId="77777777" w:rsidR="005E30AF" w:rsidRPr="002713D7" w:rsidRDefault="005E30AF" w:rsidP="00EB37BA">
                  <w:pPr>
                    <w:pStyle w:val="Compact"/>
                    <w:jc w:val="center"/>
                    <w:rPr>
                      <w:b/>
                      <w:bCs/>
                    </w:rPr>
                  </w:pPr>
                  <w:proofErr w:type="gramStart"/>
                  <w:r w:rsidRPr="002713D7">
                    <w:rPr>
                      <w:b/>
                      <w:bCs/>
                    </w:rPr>
                    <w:t>log(</w:t>
                  </w:r>
                  <w:proofErr w:type="gramEnd"/>
                  <w:r w:rsidRPr="002713D7">
                    <w:rPr>
                      <w:b/>
                      <w:bCs/>
                    </w:rPr>
                    <w:t>Teacher Sickness)</w:t>
                  </w:r>
                </w:p>
              </w:tc>
              <w:tc>
                <w:tcPr>
                  <w:tcW w:w="780" w:type="dxa"/>
                </w:tcPr>
                <w:p w14:paraId="5495A833" w14:textId="77777777" w:rsidR="005E30AF" w:rsidRDefault="005E30AF" w:rsidP="00EB37BA">
                  <w:pPr>
                    <w:pStyle w:val="Compact"/>
                  </w:pPr>
                </w:p>
              </w:tc>
              <w:tc>
                <w:tcPr>
                  <w:tcW w:w="636" w:type="dxa"/>
                </w:tcPr>
                <w:p w14:paraId="0C629129" w14:textId="77777777" w:rsidR="005E30AF" w:rsidRDefault="005E30AF" w:rsidP="00EB37BA">
                  <w:pPr>
                    <w:pStyle w:val="Compact"/>
                  </w:pPr>
                </w:p>
              </w:tc>
              <w:tc>
                <w:tcPr>
                  <w:tcW w:w="639" w:type="dxa"/>
                </w:tcPr>
                <w:p w14:paraId="3C678333" w14:textId="77777777" w:rsidR="005E30AF" w:rsidRDefault="005E30AF" w:rsidP="00EB37BA">
                  <w:pPr>
                    <w:pStyle w:val="Compact"/>
                  </w:pPr>
                </w:p>
              </w:tc>
              <w:tc>
                <w:tcPr>
                  <w:tcW w:w="637" w:type="dxa"/>
                </w:tcPr>
                <w:p w14:paraId="6A2102EF" w14:textId="77777777" w:rsidR="005E30AF" w:rsidRDefault="005E30AF" w:rsidP="00EB37BA">
                  <w:pPr>
                    <w:pStyle w:val="Compact"/>
                  </w:pPr>
                </w:p>
              </w:tc>
              <w:tc>
                <w:tcPr>
                  <w:tcW w:w="638" w:type="dxa"/>
                </w:tcPr>
                <w:p w14:paraId="0F7A68A3" w14:textId="77777777" w:rsidR="005E30AF" w:rsidRDefault="005E30AF" w:rsidP="00EB37BA">
                  <w:pPr>
                    <w:pStyle w:val="Compact"/>
                  </w:pPr>
                </w:p>
              </w:tc>
              <w:tc>
                <w:tcPr>
                  <w:tcW w:w="637" w:type="dxa"/>
                </w:tcPr>
                <w:p w14:paraId="660CF893" w14:textId="77777777" w:rsidR="005E30AF" w:rsidRDefault="005E30AF" w:rsidP="00EB37BA">
                  <w:pPr>
                    <w:pStyle w:val="Compact"/>
                  </w:pPr>
                </w:p>
              </w:tc>
              <w:tc>
                <w:tcPr>
                  <w:tcW w:w="638" w:type="dxa"/>
                </w:tcPr>
                <w:p w14:paraId="1AA9048F" w14:textId="77777777" w:rsidR="005E30AF" w:rsidRDefault="005E30AF" w:rsidP="00EB37BA">
                  <w:pPr>
                    <w:pStyle w:val="Compact"/>
                    <w:jc w:val="center"/>
                  </w:pPr>
                  <w:r>
                    <w:t>-0.013 ***</w:t>
                  </w:r>
                </w:p>
              </w:tc>
              <w:tc>
                <w:tcPr>
                  <w:tcW w:w="638" w:type="dxa"/>
                </w:tcPr>
                <w:p w14:paraId="61209DAA" w14:textId="77777777" w:rsidR="005E30AF" w:rsidRDefault="005E30AF" w:rsidP="00EB37BA">
                  <w:pPr>
                    <w:pStyle w:val="Compact"/>
                    <w:jc w:val="center"/>
                  </w:pPr>
                  <w:r>
                    <w:t>-5.20</w:t>
                  </w:r>
                </w:p>
              </w:tc>
              <w:tc>
                <w:tcPr>
                  <w:tcW w:w="637" w:type="dxa"/>
                </w:tcPr>
                <w:p w14:paraId="3B4D7A0B" w14:textId="77777777" w:rsidR="005E30AF" w:rsidRDefault="005E30AF" w:rsidP="00EB37BA">
                  <w:pPr>
                    <w:pStyle w:val="Compact"/>
                    <w:jc w:val="center"/>
                  </w:pPr>
                  <w:r>
                    <w:t>-0.013 ***</w:t>
                  </w:r>
                </w:p>
              </w:tc>
              <w:tc>
                <w:tcPr>
                  <w:tcW w:w="638" w:type="dxa"/>
                </w:tcPr>
                <w:p w14:paraId="264FD86E" w14:textId="77777777" w:rsidR="005E30AF" w:rsidRDefault="005E30AF" w:rsidP="00EB37BA">
                  <w:pPr>
                    <w:pStyle w:val="Compact"/>
                    <w:jc w:val="center"/>
                  </w:pPr>
                  <w:r>
                    <w:t>-5.69</w:t>
                  </w:r>
                </w:p>
              </w:tc>
            </w:tr>
            <w:tr w:rsidR="005E30AF" w14:paraId="3FCDD54F" w14:textId="77777777" w:rsidTr="005E30AF">
              <w:tc>
                <w:tcPr>
                  <w:tcW w:w="2265" w:type="dxa"/>
                </w:tcPr>
                <w:p w14:paraId="7D49B246" w14:textId="77777777" w:rsidR="005E30AF" w:rsidRPr="002713D7" w:rsidRDefault="005E30AF" w:rsidP="00EB37BA">
                  <w:pPr>
                    <w:pStyle w:val="Compact"/>
                    <w:jc w:val="center"/>
                    <w:rPr>
                      <w:b/>
                      <w:bCs/>
                    </w:rPr>
                  </w:pPr>
                  <w:r w:rsidRPr="002713D7">
                    <w:rPr>
                      <w:b/>
                      <w:bCs/>
                    </w:rPr>
                    <w:t>Random effects</w:t>
                  </w:r>
                </w:p>
              </w:tc>
              <w:tc>
                <w:tcPr>
                  <w:tcW w:w="780" w:type="dxa"/>
                </w:tcPr>
                <w:p w14:paraId="0F4916A0" w14:textId="77777777" w:rsidR="005E30AF" w:rsidRDefault="005E30AF" w:rsidP="00EB37BA">
                  <w:pPr>
                    <w:pStyle w:val="Compact"/>
                  </w:pPr>
                </w:p>
              </w:tc>
              <w:tc>
                <w:tcPr>
                  <w:tcW w:w="636" w:type="dxa"/>
                </w:tcPr>
                <w:p w14:paraId="01F5C0E2" w14:textId="77777777" w:rsidR="005E30AF" w:rsidRDefault="005E30AF" w:rsidP="00EB37BA">
                  <w:pPr>
                    <w:pStyle w:val="Compact"/>
                  </w:pPr>
                </w:p>
              </w:tc>
              <w:tc>
                <w:tcPr>
                  <w:tcW w:w="639" w:type="dxa"/>
                </w:tcPr>
                <w:p w14:paraId="4BF55FE3" w14:textId="77777777" w:rsidR="005E30AF" w:rsidRDefault="005E30AF" w:rsidP="00EB37BA">
                  <w:pPr>
                    <w:pStyle w:val="Compact"/>
                  </w:pPr>
                </w:p>
              </w:tc>
              <w:tc>
                <w:tcPr>
                  <w:tcW w:w="637" w:type="dxa"/>
                </w:tcPr>
                <w:p w14:paraId="1F6C73BE" w14:textId="77777777" w:rsidR="005E30AF" w:rsidRDefault="005E30AF" w:rsidP="00EB37BA">
                  <w:pPr>
                    <w:pStyle w:val="Compact"/>
                  </w:pPr>
                </w:p>
              </w:tc>
              <w:tc>
                <w:tcPr>
                  <w:tcW w:w="638" w:type="dxa"/>
                </w:tcPr>
                <w:p w14:paraId="1EA0F633" w14:textId="77777777" w:rsidR="005E30AF" w:rsidRDefault="005E30AF" w:rsidP="00EB37BA">
                  <w:pPr>
                    <w:pStyle w:val="Compact"/>
                  </w:pPr>
                </w:p>
              </w:tc>
              <w:tc>
                <w:tcPr>
                  <w:tcW w:w="637" w:type="dxa"/>
                </w:tcPr>
                <w:p w14:paraId="2011C285" w14:textId="77777777" w:rsidR="005E30AF" w:rsidRDefault="005E30AF" w:rsidP="00EB37BA">
                  <w:pPr>
                    <w:pStyle w:val="Compact"/>
                  </w:pPr>
                </w:p>
              </w:tc>
              <w:tc>
                <w:tcPr>
                  <w:tcW w:w="638" w:type="dxa"/>
                </w:tcPr>
                <w:p w14:paraId="64602070" w14:textId="77777777" w:rsidR="005E30AF" w:rsidRDefault="005E30AF" w:rsidP="00EB37BA">
                  <w:pPr>
                    <w:pStyle w:val="Compact"/>
                  </w:pPr>
                </w:p>
              </w:tc>
              <w:tc>
                <w:tcPr>
                  <w:tcW w:w="638" w:type="dxa"/>
                </w:tcPr>
                <w:p w14:paraId="56C94466" w14:textId="77777777" w:rsidR="005E30AF" w:rsidRDefault="005E30AF" w:rsidP="00EB37BA">
                  <w:pPr>
                    <w:pStyle w:val="Compact"/>
                  </w:pPr>
                </w:p>
              </w:tc>
              <w:tc>
                <w:tcPr>
                  <w:tcW w:w="637" w:type="dxa"/>
                </w:tcPr>
                <w:p w14:paraId="0251E37C" w14:textId="77777777" w:rsidR="005E30AF" w:rsidRDefault="005E30AF" w:rsidP="00EB37BA">
                  <w:pPr>
                    <w:pStyle w:val="Compact"/>
                  </w:pPr>
                </w:p>
              </w:tc>
              <w:tc>
                <w:tcPr>
                  <w:tcW w:w="638" w:type="dxa"/>
                </w:tcPr>
                <w:p w14:paraId="1A90CB24" w14:textId="77777777" w:rsidR="005E30AF" w:rsidRDefault="005E30AF" w:rsidP="00EB37BA">
                  <w:pPr>
                    <w:pStyle w:val="Compact"/>
                  </w:pPr>
                </w:p>
              </w:tc>
            </w:tr>
            <w:tr w:rsidR="005E30AF" w14:paraId="0904D026" w14:textId="77777777" w:rsidTr="005E30AF">
              <w:tc>
                <w:tcPr>
                  <w:tcW w:w="2265" w:type="dxa"/>
                </w:tcPr>
                <w:p w14:paraId="567D0F24" w14:textId="77777777" w:rsidR="005E30AF" w:rsidRPr="002713D7" w:rsidRDefault="005E30AF" w:rsidP="00EB37BA">
                  <w:pPr>
                    <w:pStyle w:val="Compact"/>
                    <w:jc w:val="center"/>
                    <w:rPr>
                      <w:b/>
                      <w:bCs/>
                    </w:rPr>
                  </w:pPr>
                  <w:r w:rsidRPr="002713D7">
                    <w:rPr>
                      <w:b/>
                      <w:bCs/>
                    </w:rPr>
                    <w:t>Year</w:t>
                  </w:r>
                </w:p>
              </w:tc>
              <w:tc>
                <w:tcPr>
                  <w:tcW w:w="780" w:type="dxa"/>
                </w:tcPr>
                <w:p w14:paraId="16BAB0F2" w14:textId="77777777" w:rsidR="005E30AF" w:rsidRDefault="005E30AF" w:rsidP="00EB37BA">
                  <w:pPr>
                    <w:pStyle w:val="Compact"/>
                  </w:pPr>
                </w:p>
              </w:tc>
              <w:tc>
                <w:tcPr>
                  <w:tcW w:w="636" w:type="dxa"/>
                </w:tcPr>
                <w:p w14:paraId="1322F7BA" w14:textId="77777777" w:rsidR="005E30AF" w:rsidRDefault="005E30AF" w:rsidP="00EB37BA">
                  <w:pPr>
                    <w:pStyle w:val="Compact"/>
                  </w:pPr>
                </w:p>
              </w:tc>
              <w:tc>
                <w:tcPr>
                  <w:tcW w:w="639" w:type="dxa"/>
                </w:tcPr>
                <w:p w14:paraId="3F865CCF" w14:textId="77777777" w:rsidR="005E30AF" w:rsidRDefault="005E30AF" w:rsidP="00EB37BA">
                  <w:pPr>
                    <w:pStyle w:val="Compact"/>
                  </w:pPr>
                </w:p>
              </w:tc>
              <w:tc>
                <w:tcPr>
                  <w:tcW w:w="637" w:type="dxa"/>
                </w:tcPr>
                <w:p w14:paraId="20A33A8E" w14:textId="77777777" w:rsidR="005E30AF" w:rsidRDefault="005E30AF" w:rsidP="00EB37BA">
                  <w:pPr>
                    <w:pStyle w:val="Compact"/>
                  </w:pPr>
                </w:p>
              </w:tc>
              <w:tc>
                <w:tcPr>
                  <w:tcW w:w="638" w:type="dxa"/>
                </w:tcPr>
                <w:p w14:paraId="310A2CC2" w14:textId="77777777" w:rsidR="005E30AF" w:rsidRDefault="005E30AF" w:rsidP="00EB37BA">
                  <w:pPr>
                    <w:pStyle w:val="Compact"/>
                  </w:pPr>
                </w:p>
              </w:tc>
              <w:tc>
                <w:tcPr>
                  <w:tcW w:w="637" w:type="dxa"/>
                </w:tcPr>
                <w:p w14:paraId="6E63D9C7" w14:textId="77777777" w:rsidR="005E30AF" w:rsidRDefault="005E30AF" w:rsidP="00EB37BA">
                  <w:pPr>
                    <w:pStyle w:val="Compact"/>
                  </w:pPr>
                </w:p>
              </w:tc>
              <w:tc>
                <w:tcPr>
                  <w:tcW w:w="638" w:type="dxa"/>
                </w:tcPr>
                <w:p w14:paraId="07A69631" w14:textId="77777777" w:rsidR="005E30AF" w:rsidRDefault="005E30AF" w:rsidP="00EB37BA">
                  <w:pPr>
                    <w:pStyle w:val="Compact"/>
                  </w:pPr>
                </w:p>
              </w:tc>
              <w:tc>
                <w:tcPr>
                  <w:tcW w:w="638" w:type="dxa"/>
                </w:tcPr>
                <w:p w14:paraId="1CDC82AF" w14:textId="77777777" w:rsidR="005E30AF" w:rsidRDefault="005E30AF" w:rsidP="00EB37BA">
                  <w:pPr>
                    <w:pStyle w:val="Compact"/>
                  </w:pPr>
                </w:p>
              </w:tc>
              <w:tc>
                <w:tcPr>
                  <w:tcW w:w="637" w:type="dxa"/>
                </w:tcPr>
                <w:p w14:paraId="528E45D8" w14:textId="77777777" w:rsidR="005E30AF" w:rsidRDefault="005E30AF" w:rsidP="00EB37BA">
                  <w:pPr>
                    <w:pStyle w:val="Compact"/>
                    <w:jc w:val="center"/>
                  </w:pPr>
                  <w:r>
                    <w:t>0.026</w:t>
                  </w:r>
                </w:p>
              </w:tc>
              <w:tc>
                <w:tcPr>
                  <w:tcW w:w="638" w:type="dxa"/>
                </w:tcPr>
                <w:p w14:paraId="371A5A3E" w14:textId="77777777" w:rsidR="005E30AF" w:rsidRDefault="005E30AF" w:rsidP="00EB37BA">
                  <w:pPr>
                    <w:pStyle w:val="Compact"/>
                    <w:jc w:val="center"/>
                  </w:pPr>
                  <w:r>
                    <w:t>(SD)</w:t>
                  </w:r>
                </w:p>
              </w:tc>
            </w:tr>
            <w:tr w:rsidR="005E30AF" w14:paraId="58A9B056" w14:textId="77777777" w:rsidTr="005E30AF">
              <w:tc>
                <w:tcPr>
                  <w:tcW w:w="2265" w:type="dxa"/>
                </w:tcPr>
                <w:p w14:paraId="18B1EA32" w14:textId="77777777" w:rsidR="005E30AF" w:rsidRPr="002713D7" w:rsidRDefault="005E30AF" w:rsidP="00EB37BA">
                  <w:pPr>
                    <w:pStyle w:val="Compact"/>
                    <w:jc w:val="center"/>
                    <w:rPr>
                      <w:b/>
                      <w:bCs/>
                    </w:rPr>
                  </w:pPr>
                  <w:r w:rsidRPr="002713D7">
                    <w:rPr>
                      <w:b/>
                      <w:bCs/>
                    </w:rPr>
                    <w:t>Ofsted rating</w:t>
                  </w:r>
                </w:p>
              </w:tc>
              <w:tc>
                <w:tcPr>
                  <w:tcW w:w="780" w:type="dxa"/>
                </w:tcPr>
                <w:p w14:paraId="7C722FF7" w14:textId="77777777" w:rsidR="005E30AF" w:rsidRDefault="005E30AF" w:rsidP="00EB37BA">
                  <w:pPr>
                    <w:pStyle w:val="Compact"/>
                  </w:pPr>
                </w:p>
              </w:tc>
              <w:tc>
                <w:tcPr>
                  <w:tcW w:w="636" w:type="dxa"/>
                </w:tcPr>
                <w:p w14:paraId="43A71296" w14:textId="77777777" w:rsidR="005E30AF" w:rsidRDefault="005E30AF" w:rsidP="00EB37BA">
                  <w:pPr>
                    <w:pStyle w:val="Compact"/>
                  </w:pPr>
                </w:p>
              </w:tc>
              <w:tc>
                <w:tcPr>
                  <w:tcW w:w="639" w:type="dxa"/>
                </w:tcPr>
                <w:p w14:paraId="7B80E812" w14:textId="77777777" w:rsidR="005E30AF" w:rsidRDefault="005E30AF" w:rsidP="00EB37BA">
                  <w:pPr>
                    <w:pStyle w:val="Compact"/>
                  </w:pPr>
                </w:p>
              </w:tc>
              <w:tc>
                <w:tcPr>
                  <w:tcW w:w="637" w:type="dxa"/>
                </w:tcPr>
                <w:p w14:paraId="1B53E3BE" w14:textId="77777777" w:rsidR="005E30AF" w:rsidRDefault="005E30AF" w:rsidP="00EB37BA">
                  <w:pPr>
                    <w:pStyle w:val="Compact"/>
                  </w:pPr>
                </w:p>
              </w:tc>
              <w:tc>
                <w:tcPr>
                  <w:tcW w:w="638" w:type="dxa"/>
                </w:tcPr>
                <w:p w14:paraId="7C54A465" w14:textId="77777777" w:rsidR="005E30AF" w:rsidRDefault="005E30AF" w:rsidP="00EB37BA">
                  <w:pPr>
                    <w:pStyle w:val="Compact"/>
                  </w:pPr>
                </w:p>
              </w:tc>
              <w:tc>
                <w:tcPr>
                  <w:tcW w:w="637" w:type="dxa"/>
                </w:tcPr>
                <w:p w14:paraId="5633B59E" w14:textId="77777777" w:rsidR="005E30AF" w:rsidRDefault="005E30AF" w:rsidP="00EB37BA">
                  <w:pPr>
                    <w:pStyle w:val="Compact"/>
                  </w:pPr>
                </w:p>
              </w:tc>
              <w:tc>
                <w:tcPr>
                  <w:tcW w:w="638" w:type="dxa"/>
                </w:tcPr>
                <w:p w14:paraId="18CB6337" w14:textId="77777777" w:rsidR="005E30AF" w:rsidRDefault="005E30AF" w:rsidP="00EB37BA">
                  <w:pPr>
                    <w:pStyle w:val="Compact"/>
                  </w:pPr>
                </w:p>
              </w:tc>
              <w:tc>
                <w:tcPr>
                  <w:tcW w:w="638" w:type="dxa"/>
                </w:tcPr>
                <w:p w14:paraId="4DA9EF46" w14:textId="77777777" w:rsidR="005E30AF" w:rsidRDefault="005E30AF" w:rsidP="00EB37BA">
                  <w:pPr>
                    <w:pStyle w:val="Compact"/>
                  </w:pPr>
                </w:p>
              </w:tc>
              <w:tc>
                <w:tcPr>
                  <w:tcW w:w="637" w:type="dxa"/>
                </w:tcPr>
                <w:p w14:paraId="0B4D3669" w14:textId="77777777" w:rsidR="005E30AF" w:rsidRDefault="005E30AF" w:rsidP="00EB37BA">
                  <w:pPr>
                    <w:pStyle w:val="Compact"/>
                    <w:jc w:val="center"/>
                  </w:pPr>
                  <w:r>
                    <w:t>0.014</w:t>
                  </w:r>
                </w:p>
              </w:tc>
              <w:tc>
                <w:tcPr>
                  <w:tcW w:w="638" w:type="dxa"/>
                </w:tcPr>
                <w:p w14:paraId="2C2D15CA" w14:textId="77777777" w:rsidR="005E30AF" w:rsidRDefault="005E30AF" w:rsidP="00EB37BA">
                  <w:pPr>
                    <w:pStyle w:val="Compact"/>
                    <w:jc w:val="center"/>
                  </w:pPr>
                  <w:r>
                    <w:t>(SD)</w:t>
                  </w:r>
                </w:p>
              </w:tc>
            </w:tr>
            <w:tr w:rsidR="005E30AF" w14:paraId="63C00223" w14:textId="77777777" w:rsidTr="005E30AF">
              <w:tc>
                <w:tcPr>
                  <w:tcW w:w="2265" w:type="dxa"/>
                </w:tcPr>
                <w:p w14:paraId="00DEB7CD" w14:textId="77777777" w:rsidR="005E30AF" w:rsidRPr="002713D7" w:rsidRDefault="005E30AF" w:rsidP="00EB37BA">
                  <w:pPr>
                    <w:pStyle w:val="Compact"/>
                    <w:jc w:val="center"/>
                    <w:rPr>
                      <w:b/>
                      <w:bCs/>
                    </w:rPr>
                  </w:pPr>
                  <w:r w:rsidRPr="002713D7">
                    <w:rPr>
                      <w:b/>
                      <w:bCs/>
                    </w:rPr>
                    <w:t>Region</w:t>
                  </w:r>
                </w:p>
              </w:tc>
              <w:tc>
                <w:tcPr>
                  <w:tcW w:w="780" w:type="dxa"/>
                </w:tcPr>
                <w:p w14:paraId="7B3DDDCE" w14:textId="77777777" w:rsidR="005E30AF" w:rsidRDefault="005E30AF" w:rsidP="00EB37BA">
                  <w:pPr>
                    <w:pStyle w:val="Compact"/>
                  </w:pPr>
                </w:p>
              </w:tc>
              <w:tc>
                <w:tcPr>
                  <w:tcW w:w="636" w:type="dxa"/>
                </w:tcPr>
                <w:p w14:paraId="0F7319BB" w14:textId="77777777" w:rsidR="005E30AF" w:rsidRDefault="005E30AF" w:rsidP="00EB37BA">
                  <w:pPr>
                    <w:pStyle w:val="Compact"/>
                  </w:pPr>
                </w:p>
              </w:tc>
              <w:tc>
                <w:tcPr>
                  <w:tcW w:w="639" w:type="dxa"/>
                </w:tcPr>
                <w:p w14:paraId="4DAEDD8B" w14:textId="77777777" w:rsidR="005E30AF" w:rsidRDefault="005E30AF" w:rsidP="00EB37BA">
                  <w:pPr>
                    <w:pStyle w:val="Compact"/>
                  </w:pPr>
                </w:p>
              </w:tc>
              <w:tc>
                <w:tcPr>
                  <w:tcW w:w="637" w:type="dxa"/>
                </w:tcPr>
                <w:p w14:paraId="487609B1" w14:textId="77777777" w:rsidR="005E30AF" w:rsidRDefault="005E30AF" w:rsidP="00EB37BA">
                  <w:pPr>
                    <w:pStyle w:val="Compact"/>
                  </w:pPr>
                </w:p>
              </w:tc>
              <w:tc>
                <w:tcPr>
                  <w:tcW w:w="638" w:type="dxa"/>
                </w:tcPr>
                <w:p w14:paraId="735EB03A" w14:textId="77777777" w:rsidR="005E30AF" w:rsidRDefault="005E30AF" w:rsidP="00EB37BA">
                  <w:pPr>
                    <w:pStyle w:val="Compact"/>
                  </w:pPr>
                </w:p>
              </w:tc>
              <w:tc>
                <w:tcPr>
                  <w:tcW w:w="637" w:type="dxa"/>
                </w:tcPr>
                <w:p w14:paraId="129B949D" w14:textId="77777777" w:rsidR="005E30AF" w:rsidRDefault="005E30AF" w:rsidP="00EB37BA">
                  <w:pPr>
                    <w:pStyle w:val="Compact"/>
                  </w:pPr>
                </w:p>
              </w:tc>
              <w:tc>
                <w:tcPr>
                  <w:tcW w:w="638" w:type="dxa"/>
                </w:tcPr>
                <w:p w14:paraId="75A1021B" w14:textId="77777777" w:rsidR="005E30AF" w:rsidRDefault="005E30AF" w:rsidP="00EB37BA">
                  <w:pPr>
                    <w:pStyle w:val="Compact"/>
                  </w:pPr>
                </w:p>
              </w:tc>
              <w:tc>
                <w:tcPr>
                  <w:tcW w:w="638" w:type="dxa"/>
                </w:tcPr>
                <w:p w14:paraId="3CDAB30E" w14:textId="77777777" w:rsidR="005E30AF" w:rsidRDefault="005E30AF" w:rsidP="00EB37BA">
                  <w:pPr>
                    <w:pStyle w:val="Compact"/>
                  </w:pPr>
                </w:p>
              </w:tc>
              <w:tc>
                <w:tcPr>
                  <w:tcW w:w="637" w:type="dxa"/>
                </w:tcPr>
                <w:p w14:paraId="2D13F3A2" w14:textId="77777777" w:rsidR="005E30AF" w:rsidRDefault="005E30AF" w:rsidP="00EB37BA">
                  <w:pPr>
                    <w:pStyle w:val="Compact"/>
                    <w:jc w:val="center"/>
                  </w:pPr>
                  <w:r>
                    <w:t>0.045</w:t>
                  </w:r>
                </w:p>
              </w:tc>
              <w:tc>
                <w:tcPr>
                  <w:tcW w:w="638" w:type="dxa"/>
                </w:tcPr>
                <w:p w14:paraId="717655A1" w14:textId="77777777" w:rsidR="005E30AF" w:rsidRDefault="005E30AF" w:rsidP="00EB37BA">
                  <w:pPr>
                    <w:pStyle w:val="Compact"/>
                    <w:jc w:val="center"/>
                  </w:pPr>
                  <w:r>
                    <w:t>(SD)</w:t>
                  </w:r>
                </w:p>
              </w:tc>
            </w:tr>
            <w:tr w:rsidR="005E30AF" w14:paraId="5B3FE4BD" w14:textId="77777777" w:rsidTr="005E30AF">
              <w:tc>
                <w:tcPr>
                  <w:tcW w:w="2265" w:type="dxa"/>
                </w:tcPr>
                <w:p w14:paraId="581EF445" w14:textId="77777777" w:rsidR="005E30AF" w:rsidRPr="002713D7" w:rsidRDefault="005E30AF" w:rsidP="00EB37BA">
                  <w:pPr>
                    <w:pStyle w:val="Compact"/>
                    <w:jc w:val="center"/>
                    <w:rPr>
                      <w:b/>
                      <w:bCs/>
                    </w:rPr>
                  </w:pPr>
                  <w:r w:rsidRPr="002713D7">
                    <w:rPr>
                      <w:b/>
                      <w:bCs/>
                    </w:rPr>
                    <w:t>LA (nested in region)</w:t>
                  </w:r>
                </w:p>
              </w:tc>
              <w:tc>
                <w:tcPr>
                  <w:tcW w:w="780" w:type="dxa"/>
                </w:tcPr>
                <w:p w14:paraId="368DE910" w14:textId="77777777" w:rsidR="005E30AF" w:rsidRDefault="005E30AF" w:rsidP="00EB37BA">
                  <w:pPr>
                    <w:pStyle w:val="Compact"/>
                  </w:pPr>
                </w:p>
              </w:tc>
              <w:tc>
                <w:tcPr>
                  <w:tcW w:w="636" w:type="dxa"/>
                </w:tcPr>
                <w:p w14:paraId="7D32D729" w14:textId="77777777" w:rsidR="005E30AF" w:rsidRDefault="005E30AF" w:rsidP="00EB37BA">
                  <w:pPr>
                    <w:pStyle w:val="Compact"/>
                  </w:pPr>
                </w:p>
              </w:tc>
              <w:tc>
                <w:tcPr>
                  <w:tcW w:w="639" w:type="dxa"/>
                </w:tcPr>
                <w:p w14:paraId="2275439F" w14:textId="77777777" w:rsidR="005E30AF" w:rsidRDefault="005E30AF" w:rsidP="00EB37BA">
                  <w:pPr>
                    <w:pStyle w:val="Compact"/>
                  </w:pPr>
                </w:p>
              </w:tc>
              <w:tc>
                <w:tcPr>
                  <w:tcW w:w="637" w:type="dxa"/>
                </w:tcPr>
                <w:p w14:paraId="07AFEAD4" w14:textId="77777777" w:rsidR="005E30AF" w:rsidRDefault="005E30AF" w:rsidP="00EB37BA">
                  <w:pPr>
                    <w:pStyle w:val="Compact"/>
                  </w:pPr>
                </w:p>
              </w:tc>
              <w:tc>
                <w:tcPr>
                  <w:tcW w:w="638" w:type="dxa"/>
                </w:tcPr>
                <w:p w14:paraId="02D0861C" w14:textId="77777777" w:rsidR="005E30AF" w:rsidRDefault="005E30AF" w:rsidP="00EB37BA">
                  <w:pPr>
                    <w:pStyle w:val="Compact"/>
                  </w:pPr>
                </w:p>
              </w:tc>
              <w:tc>
                <w:tcPr>
                  <w:tcW w:w="637" w:type="dxa"/>
                </w:tcPr>
                <w:p w14:paraId="14B59167" w14:textId="77777777" w:rsidR="005E30AF" w:rsidRDefault="005E30AF" w:rsidP="00EB37BA">
                  <w:pPr>
                    <w:pStyle w:val="Compact"/>
                  </w:pPr>
                </w:p>
              </w:tc>
              <w:tc>
                <w:tcPr>
                  <w:tcW w:w="638" w:type="dxa"/>
                </w:tcPr>
                <w:p w14:paraId="1497DCDD" w14:textId="77777777" w:rsidR="005E30AF" w:rsidRDefault="005E30AF" w:rsidP="00EB37BA">
                  <w:pPr>
                    <w:pStyle w:val="Compact"/>
                  </w:pPr>
                </w:p>
              </w:tc>
              <w:tc>
                <w:tcPr>
                  <w:tcW w:w="638" w:type="dxa"/>
                </w:tcPr>
                <w:p w14:paraId="2100B67F" w14:textId="77777777" w:rsidR="005E30AF" w:rsidRDefault="005E30AF" w:rsidP="00EB37BA">
                  <w:pPr>
                    <w:pStyle w:val="Compact"/>
                  </w:pPr>
                </w:p>
              </w:tc>
              <w:tc>
                <w:tcPr>
                  <w:tcW w:w="637" w:type="dxa"/>
                </w:tcPr>
                <w:p w14:paraId="3365E00F" w14:textId="77777777" w:rsidR="005E30AF" w:rsidRDefault="005E30AF" w:rsidP="00EB37BA">
                  <w:pPr>
                    <w:pStyle w:val="Compact"/>
                    <w:jc w:val="center"/>
                  </w:pPr>
                  <w:r>
                    <w:t>0.045</w:t>
                  </w:r>
                </w:p>
              </w:tc>
              <w:tc>
                <w:tcPr>
                  <w:tcW w:w="638" w:type="dxa"/>
                </w:tcPr>
                <w:p w14:paraId="66516295" w14:textId="77777777" w:rsidR="005E30AF" w:rsidRDefault="005E30AF" w:rsidP="00EB37BA">
                  <w:pPr>
                    <w:pStyle w:val="Compact"/>
                    <w:jc w:val="center"/>
                  </w:pPr>
                  <w:r>
                    <w:t>(SD)</w:t>
                  </w:r>
                </w:p>
              </w:tc>
            </w:tr>
            <w:tr w:rsidR="005E30AF" w14:paraId="0E9C0069" w14:textId="77777777" w:rsidTr="005E30AF">
              <w:tc>
                <w:tcPr>
                  <w:tcW w:w="2265" w:type="dxa"/>
                </w:tcPr>
                <w:p w14:paraId="3D37151B" w14:textId="77777777" w:rsidR="005E30AF" w:rsidRPr="002713D7" w:rsidRDefault="005E30AF" w:rsidP="00EB37BA">
                  <w:pPr>
                    <w:pStyle w:val="Compact"/>
                    <w:jc w:val="center"/>
                    <w:rPr>
                      <w:b/>
                      <w:bCs/>
                    </w:rPr>
                  </w:pPr>
                  <w:r w:rsidRPr="002713D7">
                    <w:rPr>
                      <w:b/>
                      <w:bCs/>
                    </w:rPr>
                    <w:t>Residual</w:t>
                  </w:r>
                </w:p>
              </w:tc>
              <w:tc>
                <w:tcPr>
                  <w:tcW w:w="780" w:type="dxa"/>
                </w:tcPr>
                <w:p w14:paraId="05317C9C" w14:textId="77777777" w:rsidR="005E30AF" w:rsidRDefault="005E30AF" w:rsidP="00EB37BA">
                  <w:pPr>
                    <w:pStyle w:val="Compact"/>
                  </w:pPr>
                </w:p>
              </w:tc>
              <w:tc>
                <w:tcPr>
                  <w:tcW w:w="636" w:type="dxa"/>
                </w:tcPr>
                <w:p w14:paraId="5686314E" w14:textId="77777777" w:rsidR="005E30AF" w:rsidRDefault="005E30AF" w:rsidP="00EB37BA">
                  <w:pPr>
                    <w:pStyle w:val="Compact"/>
                  </w:pPr>
                </w:p>
              </w:tc>
              <w:tc>
                <w:tcPr>
                  <w:tcW w:w="639" w:type="dxa"/>
                </w:tcPr>
                <w:p w14:paraId="751E65DC" w14:textId="77777777" w:rsidR="005E30AF" w:rsidRDefault="005E30AF" w:rsidP="00EB37BA">
                  <w:pPr>
                    <w:pStyle w:val="Compact"/>
                  </w:pPr>
                </w:p>
              </w:tc>
              <w:tc>
                <w:tcPr>
                  <w:tcW w:w="637" w:type="dxa"/>
                </w:tcPr>
                <w:p w14:paraId="2A3691AC" w14:textId="77777777" w:rsidR="005E30AF" w:rsidRDefault="005E30AF" w:rsidP="00EB37BA">
                  <w:pPr>
                    <w:pStyle w:val="Compact"/>
                  </w:pPr>
                </w:p>
              </w:tc>
              <w:tc>
                <w:tcPr>
                  <w:tcW w:w="638" w:type="dxa"/>
                </w:tcPr>
                <w:p w14:paraId="0A7F4AEE" w14:textId="77777777" w:rsidR="005E30AF" w:rsidRDefault="005E30AF" w:rsidP="00EB37BA">
                  <w:pPr>
                    <w:pStyle w:val="Compact"/>
                  </w:pPr>
                </w:p>
              </w:tc>
              <w:tc>
                <w:tcPr>
                  <w:tcW w:w="637" w:type="dxa"/>
                </w:tcPr>
                <w:p w14:paraId="506A3EF6" w14:textId="77777777" w:rsidR="005E30AF" w:rsidRDefault="005E30AF" w:rsidP="00EB37BA">
                  <w:pPr>
                    <w:pStyle w:val="Compact"/>
                  </w:pPr>
                </w:p>
              </w:tc>
              <w:tc>
                <w:tcPr>
                  <w:tcW w:w="638" w:type="dxa"/>
                </w:tcPr>
                <w:p w14:paraId="16FE4D8B" w14:textId="77777777" w:rsidR="005E30AF" w:rsidRDefault="005E30AF" w:rsidP="00EB37BA">
                  <w:pPr>
                    <w:pStyle w:val="Compact"/>
                  </w:pPr>
                </w:p>
              </w:tc>
              <w:tc>
                <w:tcPr>
                  <w:tcW w:w="638" w:type="dxa"/>
                </w:tcPr>
                <w:p w14:paraId="34F18FBC" w14:textId="77777777" w:rsidR="005E30AF" w:rsidRDefault="005E30AF" w:rsidP="00EB37BA">
                  <w:pPr>
                    <w:pStyle w:val="Compact"/>
                  </w:pPr>
                </w:p>
              </w:tc>
              <w:tc>
                <w:tcPr>
                  <w:tcW w:w="637" w:type="dxa"/>
                </w:tcPr>
                <w:p w14:paraId="3223E8A7" w14:textId="77777777" w:rsidR="005E30AF" w:rsidRDefault="005E30AF" w:rsidP="00EB37BA">
                  <w:pPr>
                    <w:pStyle w:val="Compact"/>
                    <w:jc w:val="center"/>
                  </w:pPr>
                  <w:r>
                    <w:t>0.092</w:t>
                  </w:r>
                </w:p>
              </w:tc>
              <w:tc>
                <w:tcPr>
                  <w:tcW w:w="638" w:type="dxa"/>
                </w:tcPr>
                <w:p w14:paraId="26A121D7" w14:textId="77777777" w:rsidR="005E30AF" w:rsidRDefault="005E30AF" w:rsidP="00EB37BA">
                  <w:pPr>
                    <w:pStyle w:val="Compact"/>
                    <w:jc w:val="center"/>
                  </w:pPr>
                  <w:r>
                    <w:t>(SD)</w:t>
                  </w:r>
                </w:p>
              </w:tc>
            </w:tr>
            <w:tr w:rsidR="005E30AF" w14:paraId="5084547C" w14:textId="77777777" w:rsidTr="005E30AF">
              <w:tc>
                <w:tcPr>
                  <w:tcW w:w="2265" w:type="dxa"/>
                </w:tcPr>
                <w:p w14:paraId="11C884AE" w14:textId="77777777" w:rsidR="005E30AF" w:rsidRPr="002713D7" w:rsidRDefault="005E30AF" w:rsidP="00EB37BA">
                  <w:pPr>
                    <w:pStyle w:val="Compact"/>
                    <w:rPr>
                      <w:b/>
                      <w:bCs/>
                    </w:rPr>
                  </w:pPr>
                </w:p>
              </w:tc>
              <w:tc>
                <w:tcPr>
                  <w:tcW w:w="780" w:type="dxa"/>
                </w:tcPr>
                <w:p w14:paraId="5496B418" w14:textId="77777777" w:rsidR="005E30AF" w:rsidRDefault="005E30AF" w:rsidP="00EB37BA">
                  <w:pPr>
                    <w:pStyle w:val="Compact"/>
                  </w:pPr>
                </w:p>
              </w:tc>
              <w:tc>
                <w:tcPr>
                  <w:tcW w:w="636" w:type="dxa"/>
                </w:tcPr>
                <w:p w14:paraId="3487CEFE" w14:textId="77777777" w:rsidR="005E30AF" w:rsidRDefault="005E30AF" w:rsidP="00EB37BA">
                  <w:pPr>
                    <w:pStyle w:val="Compact"/>
                  </w:pPr>
                </w:p>
              </w:tc>
              <w:tc>
                <w:tcPr>
                  <w:tcW w:w="639" w:type="dxa"/>
                </w:tcPr>
                <w:p w14:paraId="591CAAAF" w14:textId="77777777" w:rsidR="005E30AF" w:rsidRDefault="005E30AF" w:rsidP="00EB37BA">
                  <w:pPr>
                    <w:pStyle w:val="Compact"/>
                  </w:pPr>
                </w:p>
              </w:tc>
              <w:tc>
                <w:tcPr>
                  <w:tcW w:w="637" w:type="dxa"/>
                </w:tcPr>
                <w:p w14:paraId="3BCCCF32" w14:textId="77777777" w:rsidR="005E30AF" w:rsidRDefault="005E30AF" w:rsidP="00EB37BA">
                  <w:pPr>
                    <w:pStyle w:val="Compact"/>
                  </w:pPr>
                </w:p>
              </w:tc>
              <w:tc>
                <w:tcPr>
                  <w:tcW w:w="638" w:type="dxa"/>
                </w:tcPr>
                <w:p w14:paraId="3B357FEA" w14:textId="77777777" w:rsidR="005E30AF" w:rsidRDefault="005E30AF" w:rsidP="00EB37BA">
                  <w:pPr>
                    <w:pStyle w:val="Compact"/>
                  </w:pPr>
                </w:p>
              </w:tc>
              <w:tc>
                <w:tcPr>
                  <w:tcW w:w="637" w:type="dxa"/>
                </w:tcPr>
                <w:p w14:paraId="0E790A2E" w14:textId="77777777" w:rsidR="005E30AF" w:rsidRDefault="005E30AF" w:rsidP="00EB37BA">
                  <w:pPr>
                    <w:pStyle w:val="Compact"/>
                  </w:pPr>
                </w:p>
              </w:tc>
              <w:tc>
                <w:tcPr>
                  <w:tcW w:w="638" w:type="dxa"/>
                </w:tcPr>
                <w:p w14:paraId="548835D7" w14:textId="77777777" w:rsidR="005E30AF" w:rsidRDefault="005E30AF" w:rsidP="00EB37BA">
                  <w:pPr>
                    <w:pStyle w:val="Compact"/>
                  </w:pPr>
                </w:p>
              </w:tc>
              <w:tc>
                <w:tcPr>
                  <w:tcW w:w="638" w:type="dxa"/>
                </w:tcPr>
                <w:p w14:paraId="08865C9D" w14:textId="77777777" w:rsidR="005E30AF" w:rsidRDefault="005E30AF" w:rsidP="00EB37BA">
                  <w:pPr>
                    <w:pStyle w:val="Compact"/>
                  </w:pPr>
                </w:p>
              </w:tc>
              <w:tc>
                <w:tcPr>
                  <w:tcW w:w="637" w:type="dxa"/>
                </w:tcPr>
                <w:p w14:paraId="259BAEE8" w14:textId="77777777" w:rsidR="005E30AF" w:rsidRDefault="005E30AF" w:rsidP="00EB37BA">
                  <w:pPr>
                    <w:pStyle w:val="Compact"/>
                  </w:pPr>
                </w:p>
              </w:tc>
              <w:tc>
                <w:tcPr>
                  <w:tcW w:w="638" w:type="dxa"/>
                </w:tcPr>
                <w:p w14:paraId="6091B2C7" w14:textId="77777777" w:rsidR="005E30AF" w:rsidRDefault="005E30AF" w:rsidP="00EB37BA">
                  <w:pPr>
                    <w:pStyle w:val="Compact"/>
                  </w:pPr>
                </w:p>
              </w:tc>
            </w:tr>
            <w:tr w:rsidR="005E30AF" w14:paraId="06401095" w14:textId="77777777" w:rsidTr="005E30AF">
              <w:tc>
                <w:tcPr>
                  <w:tcW w:w="2265" w:type="dxa"/>
                </w:tcPr>
                <w:p w14:paraId="7FA9EADD" w14:textId="77777777" w:rsidR="005E30AF" w:rsidRPr="002713D7" w:rsidRDefault="005E30AF" w:rsidP="00EB37BA">
                  <w:pPr>
                    <w:pStyle w:val="Compact"/>
                    <w:jc w:val="center"/>
                    <w:rPr>
                      <w:b/>
                      <w:bCs/>
                    </w:rPr>
                  </w:pPr>
                  <w:r w:rsidRPr="002713D7">
                    <w:rPr>
                      <w:b/>
                      <w:bCs/>
                    </w:rPr>
                    <w:t>R²</w:t>
                  </w:r>
                </w:p>
              </w:tc>
              <w:tc>
                <w:tcPr>
                  <w:tcW w:w="780" w:type="dxa"/>
                </w:tcPr>
                <w:p w14:paraId="34A42DFA" w14:textId="77777777" w:rsidR="005E30AF" w:rsidRDefault="005E30AF" w:rsidP="00EB37BA">
                  <w:pPr>
                    <w:pStyle w:val="Compact"/>
                    <w:jc w:val="center"/>
                  </w:pPr>
                  <w:r>
                    <w:t>0.393</w:t>
                  </w:r>
                </w:p>
              </w:tc>
              <w:tc>
                <w:tcPr>
                  <w:tcW w:w="636" w:type="dxa"/>
                </w:tcPr>
                <w:p w14:paraId="198495E2" w14:textId="77777777" w:rsidR="005E30AF" w:rsidRDefault="005E30AF" w:rsidP="00EB37BA">
                  <w:pPr>
                    <w:pStyle w:val="Compact"/>
                  </w:pPr>
                </w:p>
              </w:tc>
              <w:tc>
                <w:tcPr>
                  <w:tcW w:w="639" w:type="dxa"/>
                </w:tcPr>
                <w:p w14:paraId="0E76AC36" w14:textId="77777777" w:rsidR="005E30AF" w:rsidRDefault="005E30AF" w:rsidP="00EB37BA">
                  <w:pPr>
                    <w:pStyle w:val="Compact"/>
                    <w:jc w:val="center"/>
                  </w:pPr>
                  <w:r>
                    <w:t>0.612</w:t>
                  </w:r>
                </w:p>
              </w:tc>
              <w:tc>
                <w:tcPr>
                  <w:tcW w:w="637" w:type="dxa"/>
                </w:tcPr>
                <w:p w14:paraId="79B9546D" w14:textId="77777777" w:rsidR="005E30AF" w:rsidRDefault="005E30AF" w:rsidP="00EB37BA">
                  <w:pPr>
                    <w:pStyle w:val="Compact"/>
                  </w:pPr>
                </w:p>
              </w:tc>
              <w:tc>
                <w:tcPr>
                  <w:tcW w:w="638" w:type="dxa"/>
                </w:tcPr>
                <w:p w14:paraId="55E8DE5F" w14:textId="77777777" w:rsidR="005E30AF" w:rsidRDefault="005E30AF" w:rsidP="00EB37BA">
                  <w:pPr>
                    <w:pStyle w:val="Compact"/>
                    <w:jc w:val="center"/>
                  </w:pPr>
                  <w:r>
                    <w:t>0.696</w:t>
                  </w:r>
                </w:p>
              </w:tc>
              <w:tc>
                <w:tcPr>
                  <w:tcW w:w="637" w:type="dxa"/>
                </w:tcPr>
                <w:p w14:paraId="61A7B741" w14:textId="77777777" w:rsidR="005E30AF" w:rsidRDefault="005E30AF" w:rsidP="00EB37BA">
                  <w:pPr>
                    <w:pStyle w:val="Compact"/>
                  </w:pPr>
                </w:p>
              </w:tc>
              <w:tc>
                <w:tcPr>
                  <w:tcW w:w="638" w:type="dxa"/>
                </w:tcPr>
                <w:p w14:paraId="7A2E2328" w14:textId="77777777" w:rsidR="005E30AF" w:rsidRDefault="005E30AF" w:rsidP="00EB37BA">
                  <w:pPr>
                    <w:pStyle w:val="Compact"/>
                    <w:jc w:val="center"/>
                  </w:pPr>
                  <w:r>
                    <w:t>0.709</w:t>
                  </w:r>
                </w:p>
              </w:tc>
              <w:tc>
                <w:tcPr>
                  <w:tcW w:w="638" w:type="dxa"/>
                </w:tcPr>
                <w:p w14:paraId="5707C0F9" w14:textId="77777777" w:rsidR="005E30AF" w:rsidRDefault="005E30AF" w:rsidP="00EB37BA">
                  <w:pPr>
                    <w:pStyle w:val="Compact"/>
                  </w:pPr>
                </w:p>
              </w:tc>
              <w:tc>
                <w:tcPr>
                  <w:tcW w:w="637" w:type="dxa"/>
                </w:tcPr>
                <w:p w14:paraId="5F82EBA5" w14:textId="77777777" w:rsidR="005E30AF" w:rsidRDefault="005E30AF" w:rsidP="00EB37BA">
                  <w:pPr>
                    <w:pStyle w:val="Compact"/>
                    <w:jc w:val="center"/>
                  </w:pPr>
                  <w:r>
                    <w:t>0.651</w:t>
                  </w:r>
                </w:p>
              </w:tc>
              <w:tc>
                <w:tcPr>
                  <w:tcW w:w="638" w:type="dxa"/>
                </w:tcPr>
                <w:p w14:paraId="3C96F4F4" w14:textId="77777777" w:rsidR="005E30AF" w:rsidRDefault="005E30AF" w:rsidP="00EB37BA">
                  <w:pPr>
                    <w:pStyle w:val="Compact"/>
                    <w:jc w:val="center"/>
                  </w:pPr>
                  <w:r>
                    <w:t>(marginal)</w:t>
                  </w:r>
                </w:p>
              </w:tc>
            </w:tr>
            <w:tr w:rsidR="005E30AF" w14:paraId="3A462448" w14:textId="77777777" w:rsidTr="005E30AF">
              <w:tc>
                <w:tcPr>
                  <w:tcW w:w="2265" w:type="dxa"/>
                </w:tcPr>
                <w:p w14:paraId="62C8D2BC" w14:textId="77777777" w:rsidR="005E30AF" w:rsidRPr="002713D7" w:rsidRDefault="005E30AF" w:rsidP="00EB37BA">
                  <w:pPr>
                    <w:pStyle w:val="Compact"/>
                    <w:jc w:val="center"/>
                    <w:rPr>
                      <w:b/>
                      <w:bCs/>
                    </w:rPr>
                  </w:pPr>
                  <w:r w:rsidRPr="002713D7">
                    <w:rPr>
                      <w:b/>
                      <w:bCs/>
                    </w:rPr>
                    <w:t>R² (conditional)</w:t>
                  </w:r>
                </w:p>
              </w:tc>
              <w:tc>
                <w:tcPr>
                  <w:tcW w:w="780" w:type="dxa"/>
                </w:tcPr>
                <w:p w14:paraId="4D494F63" w14:textId="77777777" w:rsidR="005E30AF" w:rsidRDefault="005E30AF" w:rsidP="00EB37BA">
                  <w:pPr>
                    <w:pStyle w:val="Compact"/>
                  </w:pPr>
                </w:p>
              </w:tc>
              <w:tc>
                <w:tcPr>
                  <w:tcW w:w="636" w:type="dxa"/>
                </w:tcPr>
                <w:p w14:paraId="107761AF" w14:textId="77777777" w:rsidR="005E30AF" w:rsidRDefault="005E30AF" w:rsidP="00EB37BA">
                  <w:pPr>
                    <w:pStyle w:val="Compact"/>
                  </w:pPr>
                </w:p>
              </w:tc>
              <w:tc>
                <w:tcPr>
                  <w:tcW w:w="639" w:type="dxa"/>
                </w:tcPr>
                <w:p w14:paraId="4EEB2C72" w14:textId="77777777" w:rsidR="005E30AF" w:rsidRDefault="005E30AF" w:rsidP="00EB37BA">
                  <w:pPr>
                    <w:pStyle w:val="Compact"/>
                  </w:pPr>
                </w:p>
              </w:tc>
              <w:tc>
                <w:tcPr>
                  <w:tcW w:w="637" w:type="dxa"/>
                </w:tcPr>
                <w:p w14:paraId="2F150242" w14:textId="77777777" w:rsidR="005E30AF" w:rsidRDefault="005E30AF" w:rsidP="00EB37BA">
                  <w:pPr>
                    <w:pStyle w:val="Compact"/>
                  </w:pPr>
                </w:p>
              </w:tc>
              <w:tc>
                <w:tcPr>
                  <w:tcW w:w="638" w:type="dxa"/>
                </w:tcPr>
                <w:p w14:paraId="54046695" w14:textId="77777777" w:rsidR="005E30AF" w:rsidRDefault="005E30AF" w:rsidP="00EB37BA">
                  <w:pPr>
                    <w:pStyle w:val="Compact"/>
                  </w:pPr>
                </w:p>
              </w:tc>
              <w:tc>
                <w:tcPr>
                  <w:tcW w:w="637" w:type="dxa"/>
                </w:tcPr>
                <w:p w14:paraId="47E03C58" w14:textId="77777777" w:rsidR="005E30AF" w:rsidRDefault="005E30AF" w:rsidP="00EB37BA">
                  <w:pPr>
                    <w:pStyle w:val="Compact"/>
                  </w:pPr>
                </w:p>
              </w:tc>
              <w:tc>
                <w:tcPr>
                  <w:tcW w:w="638" w:type="dxa"/>
                </w:tcPr>
                <w:p w14:paraId="0077CA20" w14:textId="77777777" w:rsidR="005E30AF" w:rsidRDefault="005E30AF" w:rsidP="00EB37BA">
                  <w:pPr>
                    <w:pStyle w:val="Compact"/>
                  </w:pPr>
                </w:p>
              </w:tc>
              <w:tc>
                <w:tcPr>
                  <w:tcW w:w="638" w:type="dxa"/>
                </w:tcPr>
                <w:p w14:paraId="0E91CC0D" w14:textId="77777777" w:rsidR="005E30AF" w:rsidRDefault="005E30AF" w:rsidP="00EB37BA">
                  <w:pPr>
                    <w:pStyle w:val="Compact"/>
                  </w:pPr>
                </w:p>
              </w:tc>
              <w:tc>
                <w:tcPr>
                  <w:tcW w:w="637" w:type="dxa"/>
                </w:tcPr>
                <w:p w14:paraId="0A4DB876" w14:textId="77777777" w:rsidR="005E30AF" w:rsidRDefault="005E30AF" w:rsidP="00EB37BA">
                  <w:pPr>
                    <w:pStyle w:val="Compact"/>
                    <w:jc w:val="center"/>
                  </w:pPr>
                  <w:r>
                    <w:t>0.779</w:t>
                  </w:r>
                </w:p>
              </w:tc>
              <w:tc>
                <w:tcPr>
                  <w:tcW w:w="638" w:type="dxa"/>
                </w:tcPr>
                <w:p w14:paraId="62AA4C83" w14:textId="77777777" w:rsidR="005E30AF" w:rsidRDefault="005E30AF" w:rsidP="00EB37BA">
                  <w:pPr>
                    <w:pStyle w:val="Compact"/>
                    <w:jc w:val="center"/>
                  </w:pPr>
                  <w:r>
                    <w:t>(fixed + random)</w:t>
                  </w:r>
                </w:p>
              </w:tc>
            </w:tr>
            <w:tr w:rsidR="005E30AF" w14:paraId="19777E4D" w14:textId="77777777" w:rsidTr="005E30AF">
              <w:tc>
                <w:tcPr>
                  <w:tcW w:w="2265" w:type="dxa"/>
                </w:tcPr>
                <w:p w14:paraId="2FEAA27E" w14:textId="77777777" w:rsidR="005E30AF" w:rsidRPr="002713D7" w:rsidRDefault="005E30AF" w:rsidP="00EB37BA">
                  <w:pPr>
                    <w:pStyle w:val="Compact"/>
                    <w:jc w:val="center"/>
                    <w:rPr>
                      <w:b/>
                      <w:bCs/>
                    </w:rPr>
                  </w:pPr>
                  <w:r w:rsidRPr="002713D7">
                    <w:rPr>
                      <w:b/>
                      <w:bCs/>
                    </w:rPr>
                    <w:t>N</w:t>
                  </w:r>
                </w:p>
              </w:tc>
              <w:tc>
                <w:tcPr>
                  <w:tcW w:w="780" w:type="dxa"/>
                </w:tcPr>
                <w:p w14:paraId="5768886D" w14:textId="77777777" w:rsidR="005E30AF" w:rsidRDefault="005E30AF" w:rsidP="00EB37BA">
                  <w:pPr>
                    <w:pStyle w:val="Compact"/>
                    <w:jc w:val="center"/>
                  </w:pPr>
                  <w:r>
                    <w:t>12,210</w:t>
                  </w:r>
                </w:p>
              </w:tc>
              <w:tc>
                <w:tcPr>
                  <w:tcW w:w="636" w:type="dxa"/>
                </w:tcPr>
                <w:p w14:paraId="60469077" w14:textId="77777777" w:rsidR="005E30AF" w:rsidRDefault="005E30AF" w:rsidP="00EB37BA">
                  <w:pPr>
                    <w:pStyle w:val="Compact"/>
                  </w:pPr>
                </w:p>
              </w:tc>
              <w:tc>
                <w:tcPr>
                  <w:tcW w:w="639" w:type="dxa"/>
                </w:tcPr>
                <w:p w14:paraId="0E212164" w14:textId="77777777" w:rsidR="005E30AF" w:rsidRDefault="005E30AF" w:rsidP="00EB37BA">
                  <w:pPr>
                    <w:pStyle w:val="Compact"/>
                    <w:jc w:val="center"/>
                  </w:pPr>
                  <w:r>
                    <w:t>12,210</w:t>
                  </w:r>
                </w:p>
              </w:tc>
              <w:tc>
                <w:tcPr>
                  <w:tcW w:w="637" w:type="dxa"/>
                </w:tcPr>
                <w:p w14:paraId="280AABFB" w14:textId="77777777" w:rsidR="005E30AF" w:rsidRDefault="005E30AF" w:rsidP="00EB37BA">
                  <w:pPr>
                    <w:pStyle w:val="Compact"/>
                  </w:pPr>
                </w:p>
              </w:tc>
              <w:tc>
                <w:tcPr>
                  <w:tcW w:w="638" w:type="dxa"/>
                </w:tcPr>
                <w:p w14:paraId="3C748DEE" w14:textId="77777777" w:rsidR="005E30AF" w:rsidRDefault="005E30AF" w:rsidP="00EB37BA">
                  <w:pPr>
                    <w:pStyle w:val="Compact"/>
                    <w:jc w:val="center"/>
                  </w:pPr>
                  <w:r>
                    <w:t>12,210</w:t>
                  </w:r>
                </w:p>
              </w:tc>
              <w:tc>
                <w:tcPr>
                  <w:tcW w:w="637" w:type="dxa"/>
                </w:tcPr>
                <w:p w14:paraId="5E75C3D1" w14:textId="77777777" w:rsidR="005E30AF" w:rsidRDefault="005E30AF" w:rsidP="00EB37BA">
                  <w:pPr>
                    <w:pStyle w:val="Compact"/>
                  </w:pPr>
                </w:p>
              </w:tc>
              <w:tc>
                <w:tcPr>
                  <w:tcW w:w="638" w:type="dxa"/>
                </w:tcPr>
                <w:p w14:paraId="66E61964" w14:textId="77777777" w:rsidR="005E30AF" w:rsidRDefault="005E30AF" w:rsidP="00EB37BA">
                  <w:pPr>
                    <w:pStyle w:val="Compact"/>
                    <w:jc w:val="center"/>
                  </w:pPr>
                  <w:r>
                    <w:t>12,210</w:t>
                  </w:r>
                </w:p>
              </w:tc>
              <w:tc>
                <w:tcPr>
                  <w:tcW w:w="638" w:type="dxa"/>
                </w:tcPr>
                <w:p w14:paraId="246903D2" w14:textId="77777777" w:rsidR="005E30AF" w:rsidRDefault="005E30AF" w:rsidP="00EB37BA">
                  <w:pPr>
                    <w:pStyle w:val="Compact"/>
                  </w:pPr>
                </w:p>
              </w:tc>
              <w:tc>
                <w:tcPr>
                  <w:tcW w:w="637" w:type="dxa"/>
                </w:tcPr>
                <w:p w14:paraId="6BC457BE" w14:textId="77777777" w:rsidR="005E30AF" w:rsidRDefault="005E30AF" w:rsidP="00EB37BA">
                  <w:pPr>
                    <w:pStyle w:val="Compact"/>
                    <w:jc w:val="center"/>
                  </w:pPr>
                  <w:r>
                    <w:t>12,210</w:t>
                  </w:r>
                </w:p>
              </w:tc>
              <w:tc>
                <w:tcPr>
                  <w:tcW w:w="638" w:type="dxa"/>
                </w:tcPr>
                <w:p w14:paraId="666706A9" w14:textId="77777777" w:rsidR="005E30AF" w:rsidRDefault="005E30AF" w:rsidP="00EB37BA">
                  <w:pPr>
                    <w:pStyle w:val="Compact"/>
                  </w:pPr>
                </w:p>
              </w:tc>
            </w:tr>
            <w:bookmarkEnd w:id="704"/>
          </w:tbl>
          <w:p w14:paraId="183521F2" w14:textId="77777777" w:rsidR="005E30AF" w:rsidRDefault="005E30AF" w:rsidP="00EB37BA"/>
        </w:tc>
      </w:tr>
    </w:tbl>
    <w:p w14:paraId="1EBF82AB" w14:textId="77777777" w:rsidR="005E30AF" w:rsidRDefault="005E30AF" w:rsidP="005E30AF">
      <w:pPr>
        <w:pStyle w:val="BodyText"/>
      </w:pPr>
      <w:r>
        <w:t xml:space="preserve"> </w:t>
      </w:r>
    </w:p>
    <w:tbl>
      <w:tblPr>
        <w:tblStyle w:val="Table"/>
        <w:tblW w:w="5000" w:type="pct"/>
        <w:tblLayout w:type="fixed"/>
        <w:tblLook w:val="0000" w:firstRow="0" w:lastRow="0" w:firstColumn="0" w:lastColumn="0" w:noHBand="0" w:noVBand="0"/>
      </w:tblPr>
      <w:tblGrid>
        <w:gridCol w:w="9446"/>
      </w:tblGrid>
      <w:tr w:rsidR="005E30AF" w14:paraId="5AB6F964" w14:textId="77777777" w:rsidTr="00EB37BA">
        <w:tc>
          <w:tcPr>
            <w:tcW w:w="7920" w:type="dxa"/>
          </w:tcPr>
          <w:p w14:paraId="3404A760" w14:textId="77777777" w:rsidR="005E30AF" w:rsidRDefault="005E30AF" w:rsidP="00EB37BA">
            <w:pPr>
              <w:pStyle w:val="Compact"/>
              <w:jc w:val="center"/>
            </w:pPr>
            <w:bookmarkStart w:id="705" w:name="fig-standardised-coefficients"/>
            <w:r>
              <w:rPr>
                <w:noProof/>
              </w:rPr>
              <w:lastRenderedPageBreak/>
              <w:drawing>
                <wp:inline distT="0" distB="0" distL="0" distR="0" wp14:anchorId="5E510E34" wp14:editId="669AC957">
                  <wp:extent cx="5943600" cy="4245428"/>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RPE_Paper_files/figure-docx/fig-standardised-coefficients-1.png"/>
                          <pic:cNvPicPr>
                            <a:picLocks noChangeAspect="1" noChangeArrowheads="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p w14:paraId="3195CBC4" w14:textId="77777777" w:rsidR="005E30AF" w:rsidRDefault="005E30AF" w:rsidP="00EB37BA">
            <w:pPr>
              <w:pStyle w:val="ImageCaption"/>
              <w:spacing w:before="200"/>
            </w:pPr>
            <w:r>
              <w:t xml:space="preserve">Figure 1: Standardised coefficients showing relative variable importance across pupil groups. Bars show the change in </w:t>
            </w:r>
            <w:proofErr w:type="gramStart"/>
            <w:r>
              <w:t>log(</w:t>
            </w:r>
            <w:proofErr w:type="gramEnd"/>
            <w:r>
              <w:t>ATT8) associated with a one-SD shift in each predictor.</w:t>
            </w:r>
          </w:p>
        </w:tc>
        <w:bookmarkEnd w:id="705"/>
      </w:tr>
    </w:tbl>
    <w:p w14:paraId="388A4D57" w14:textId="77777777" w:rsidR="005E30AF" w:rsidRDefault="005E30AF" w:rsidP="005E30AF">
      <w:pPr>
        <w:pStyle w:val="BodyText"/>
      </w:pPr>
      <w:r>
        <w:t xml:space="preserve"> </w:t>
      </w:r>
    </w:p>
    <w:p w14:paraId="3A9F6C7C" w14:textId="77777777" w:rsidR="002713D7" w:rsidRDefault="002713D7">
      <w:bookmarkStart w:id="706" w:name="fig-catchments"/>
      <w:r>
        <w:br w:type="page"/>
      </w:r>
    </w:p>
    <w:tbl>
      <w:tblPr>
        <w:tblStyle w:val="Table"/>
        <w:tblW w:w="5000" w:type="pct"/>
        <w:tblLayout w:type="fixed"/>
        <w:tblLook w:val="0000" w:firstRow="0" w:lastRow="0" w:firstColumn="0" w:lastColumn="0" w:noHBand="0" w:noVBand="0"/>
      </w:tblPr>
      <w:tblGrid>
        <w:gridCol w:w="9446"/>
      </w:tblGrid>
      <w:tr w:rsidR="005E30AF" w14:paraId="53B06152" w14:textId="77777777" w:rsidTr="00EB37BA">
        <w:tc>
          <w:tcPr>
            <w:tcW w:w="7920" w:type="dxa"/>
          </w:tcPr>
          <w:p w14:paraId="2CC5DE8B" w14:textId="68204FB9" w:rsidR="005E30AF" w:rsidRDefault="005E30AF" w:rsidP="00EB37BA">
            <w:pPr>
              <w:pStyle w:val="Compact"/>
              <w:jc w:val="center"/>
            </w:pPr>
            <w:r>
              <w:rPr>
                <w:noProof/>
              </w:rPr>
              <w:lastRenderedPageBreak/>
              <w:drawing>
                <wp:inline distT="0" distB="0" distL="0" distR="0" wp14:anchorId="5B2AF063" wp14:editId="1954E161">
                  <wp:extent cx="5943600" cy="5094514"/>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RPE_Paper_files/figure-docx/fig-catchments-1.png"/>
                          <pic:cNvPicPr>
                            <a:picLocks noChangeAspect="1" noChangeArrowheads="1"/>
                          </pic:cNvPicPr>
                        </pic:nvPicPr>
                        <pic:blipFill>
                          <a:blip r:embed="rId57"/>
                          <a:stretch>
                            <a:fillRect/>
                          </a:stretch>
                        </pic:blipFill>
                        <pic:spPr bwMode="auto">
                          <a:xfrm>
                            <a:off x="0" y="0"/>
                            <a:ext cx="5943600" cy="5094514"/>
                          </a:xfrm>
                          <a:prstGeom prst="rect">
                            <a:avLst/>
                          </a:prstGeom>
                          <a:noFill/>
                          <a:ln w="9525">
                            <a:noFill/>
                            <a:headEnd/>
                            <a:tailEnd/>
                          </a:ln>
                        </pic:spPr>
                      </pic:pic>
                    </a:graphicData>
                  </a:graphic>
                </wp:inline>
              </w:drawing>
            </w:r>
          </w:p>
          <w:p w14:paraId="3DF74F77" w14:textId="77777777" w:rsidR="005E30AF" w:rsidRDefault="005E30AF" w:rsidP="00EB37BA">
            <w:pPr>
              <w:pStyle w:val="ImageCaption"/>
              <w:spacing w:before="200"/>
            </w:pPr>
            <w:r>
              <w:t>Figure 2: Brighton and Hove secondary schools with 2025/26 catchment boundaries.</w:t>
            </w:r>
          </w:p>
        </w:tc>
        <w:bookmarkEnd w:id="706"/>
      </w:tr>
    </w:tbl>
    <w:p w14:paraId="30925F81" w14:textId="51D3B1DA" w:rsidR="002713D7" w:rsidRDefault="005E30AF" w:rsidP="005E30AF">
      <w:pPr>
        <w:pStyle w:val="BodyText"/>
      </w:pPr>
      <w:r>
        <w:t xml:space="preserve"> </w:t>
      </w:r>
    </w:p>
    <w:p w14:paraId="415AE6DD" w14:textId="77777777" w:rsidR="002713D7" w:rsidRDefault="002713D7">
      <w:pPr>
        <w:spacing w:after="200" w:line="240" w:lineRule="auto"/>
      </w:pPr>
      <w:r>
        <w:br w:type="page"/>
      </w:r>
    </w:p>
    <w:p w14:paraId="6DA79A34" w14:textId="77777777" w:rsidR="005E30AF" w:rsidRDefault="005E30AF" w:rsidP="005E30AF">
      <w:pPr>
        <w:pStyle w:val="BodyText"/>
      </w:pPr>
    </w:p>
    <w:tbl>
      <w:tblPr>
        <w:tblStyle w:val="Table"/>
        <w:tblW w:w="5000" w:type="pct"/>
        <w:tblLayout w:type="fixed"/>
        <w:tblLook w:val="0000" w:firstRow="0" w:lastRow="0" w:firstColumn="0" w:lastColumn="0" w:noHBand="0" w:noVBand="0"/>
      </w:tblPr>
      <w:tblGrid>
        <w:gridCol w:w="9446"/>
      </w:tblGrid>
      <w:tr w:rsidR="005E30AF" w14:paraId="23C133DB" w14:textId="77777777" w:rsidTr="00EB37BA">
        <w:tc>
          <w:tcPr>
            <w:tcW w:w="7920" w:type="dxa"/>
          </w:tcPr>
          <w:p w14:paraId="7A66B419" w14:textId="77777777" w:rsidR="005E30AF" w:rsidRDefault="005E30AF" w:rsidP="00EB37BA">
            <w:pPr>
              <w:pStyle w:val="Compact"/>
              <w:jc w:val="center"/>
            </w:pPr>
            <w:bookmarkStart w:id="707" w:name="fig-caterpillar"/>
            <w:r>
              <w:rPr>
                <w:noProof/>
              </w:rPr>
              <w:drawing>
                <wp:inline distT="0" distB="0" distL="0" distR="0" wp14:anchorId="685710CA" wp14:editId="6F2C0B51">
                  <wp:extent cx="5943600" cy="5094514"/>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RPE_Paper_files/figure-docx/fig-caterpillar-1.png"/>
                          <pic:cNvPicPr>
                            <a:picLocks noChangeAspect="1" noChangeArrowheads="1"/>
                          </pic:cNvPicPr>
                        </pic:nvPicPr>
                        <pic:blipFill>
                          <a:blip r:embed="rId58"/>
                          <a:stretch>
                            <a:fillRect/>
                          </a:stretch>
                        </pic:blipFill>
                        <pic:spPr bwMode="auto">
                          <a:xfrm>
                            <a:off x="0" y="0"/>
                            <a:ext cx="5943600" cy="5094514"/>
                          </a:xfrm>
                          <a:prstGeom prst="rect">
                            <a:avLst/>
                          </a:prstGeom>
                          <a:noFill/>
                          <a:ln w="9525">
                            <a:noFill/>
                            <a:headEnd/>
                            <a:tailEnd/>
                          </a:ln>
                        </pic:spPr>
                      </pic:pic>
                    </a:graphicData>
                  </a:graphic>
                </wp:inline>
              </w:drawing>
            </w:r>
          </w:p>
          <w:p w14:paraId="511813EC" w14:textId="77777777" w:rsidR="005E30AF" w:rsidRDefault="005E30AF" w:rsidP="00EB37BA">
            <w:pPr>
              <w:pStyle w:val="ImageCaption"/>
              <w:spacing w:before="200"/>
            </w:pPr>
            <w:r>
              <w:t>Figure 3: LA random intercepts for disadvantaged-pupil attainment (imputed full panel model). Top and bottom 10 LAs labelled; Brighton and Hove highlighted.</w:t>
            </w:r>
          </w:p>
        </w:tc>
        <w:bookmarkEnd w:id="707"/>
      </w:tr>
    </w:tbl>
    <w:p w14:paraId="45EF1A58" w14:textId="7339BAB3" w:rsidR="002713D7" w:rsidRDefault="005E30AF" w:rsidP="005E30AF">
      <w:pPr>
        <w:pStyle w:val="BodyText"/>
      </w:pPr>
      <w:r>
        <w:t xml:space="preserve"> </w:t>
      </w:r>
    </w:p>
    <w:p w14:paraId="08BC6229" w14:textId="77777777" w:rsidR="002713D7" w:rsidRDefault="002713D7">
      <w:pPr>
        <w:spacing w:after="200" w:line="240" w:lineRule="auto"/>
      </w:pPr>
      <w:r>
        <w:br w:type="page"/>
      </w:r>
    </w:p>
    <w:tbl>
      <w:tblPr>
        <w:tblStyle w:val="Table"/>
        <w:tblW w:w="5000" w:type="pct"/>
        <w:tblLayout w:type="fixed"/>
        <w:tblLook w:val="0000" w:firstRow="0" w:lastRow="0" w:firstColumn="0" w:lastColumn="0" w:noHBand="0" w:noVBand="0"/>
      </w:tblPr>
      <w:tblGrid>
        <w:gridCol w:w="9446"/>
      </w:tblGrid>
      <w:tr w:rsidR="005E30AF" w14:paraId="02557C4E" w14:textId="77777777" w:rsidTr="002713D7">
        <w:tc>
          <w:tcPr>
            <w:tcW w:w="9446" w:type="dxa"/>
          </w:tcPr>
          <w:p w14:paraId="00D28E3F" w14:textId="77777777" w:rsidR="005E30AF" w:rsidRDefault="005E30AF" w:rsidP="00EB37BA">
            <w:pPr>
              <w:pStyle w:val="ImageCaption"/>
              <w:spacing w:before="200"/>
            </w:pPr>
            <w:bookmarkStart w:id="708" w:name="tbl-la-absence"/>
            <w:r>
              <w:lastRenderedPageBreak/>
              <w:t>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GridLight"/>
              <w:tblW w:w="5000" w:type="pct"/>
              <w:tblLayout w:type="fixed"/>
              <w:tblLook w:val="0020" w:firstRow="1" w:lastRow="0" w:firstColumn="0" w:lastColumn="0" w:noHBand="0" w:noVBand="0"/>
            </w:tblPr>
            <w:tblGrid>
              <w:gridCol w:w="3783"/>
              <w:gridCol w:w="1155"/>
              <w:gridCol w:w="1681"/>
              <w:gridCol w:w="1786"/>
              <w:gridCol w:w="945"/>
            </w:tblGrid>
            <w:tr w:rsidR="005E30AF" w:rsidRPr="002713D7" w14:paraId="5493D7A3" w14:textId="77777777" w:rsidTr="002713D7">
              <w:tc>
                <w:tcPr>
                  <w:tcW w:w="3203" w:type="dxa"/>
                </w:tcPr>
                <w:p w14:paraId="28A7A60F" w14:textId="77777777" w:rsidR="005E30AF" w:rsidRPr="002713D7" w:rsidRDefault="005E30AF" w:rsidP="00EB37BA">
                  <w:pPr>
                    <w:pStyle w:val="Compact"/>
                    <w:jc w:val="center"/>
                    <w:rPr>
                      <w:b/>
                      <w:bCs/>
                    </w:rPr>
                  </w:pPr>
                  <w:r w:rsidRPr="002713D7">
                    <w:rPr>
                      <w:b/>
                      <w:bCs/>
                    </w:rPr>
                    <w:t>Specification</w:t>
                  </w:r>
                </w:p>
              </w:tc>
              <w:tc>
                <w:tcPr>
                  <w:tcW w:w="978" w:type="dxa"/>
                </w:tcPr>
                <w:p w14:paraId="429A5681" w14:textId="77777777" w:rsidR="005E30AF" w:rsidRPr="002713D7" w:rsidRDefault="005E30AF" w:rsidP="00EB37BA">
                  <w:pPr>
                    <w:pStyle w:val="Compact"/>
                    <w:jc w:val="center"/>
                    <w:rPr>
                      <w:b/>
                      <w:bCs/>
                    </w:rPr>
                  </w:pPr>
                  <w:r w:rsidRPr="002713D7">
                    <w:rPr>
                      <w:b/>
                      <w:bCs/>
                    </w:rPr>
                    <w:t>B&amp;H effect</w:t>
                  </w:r>
                </w:p>
              </w:tc>
              <w:tc>
                <w:tcPr>
                  <w:tcW w:w="1423" w:type="dxa"/>
                </w:tcPr>
                <w:p w14:paraId="35F57C07" w14:textId="77777777" w:rsidR="005E30AF" w:rsidRPr="002713D7" w:rsidRDefault="005E30AF" w:rsidP="00EB37BA">
                  <w:pPr>
                    <w:pStyle w:val="Compact"/>
                    <w:jc w:val="center"/>
                    <w:rPr>
                      <w:b/>
                      <w:bCs/>
                    </w:rPr>
                  </w:pPr>
                  <w:r w:rsidRPr="002713D7">
                    <w:rPr>
                      <w:b/>
                      <w:bCs/>
                    </w:rPr>
                    <w:t>95% CI</w:t>
                  </w:r>
                </w:p>
              </w:tc>
              <w:tc>
                <w:tcPr>
                  <w:tcW w:w="1512" w:type="dxa"/>
                </w:tcPr>
                <w:p w14:paraId="25A3DC94" w14:textId="77777777" w:rsidR="005E30AF" w:rsidRPr="002713D7" w:rsidRDefault="005E30AF" w:rsidP="00EB37BA">
                  <w:pPr>
                    <w:pStyle w:val="Compact"/>
                    <w:jc w:val="center"/>
                    <w:rPr>
                      <w:b/>
                      <w:bCs/>
                    </w:rPr>
                  </w:pPr>
                  <w:r w:rsidRPr="002713D7">
                    <w:rPr>
                      <w:b/>
                      <w:bCs/>
                    </w:rPr>
                    <w:t>Rank</w:t>
                  </w:r>
                </w:p>
              </w:tc>
              <w:tc>
                <w:tcPr>
                  <w:tcW w:w="800" w:type="dxa"/>
                </w:tcPr>
                <w:p w14:paraId="1A51F0E9" w14:textId="77777777" w:rsidR="005E30AF" w:rsidRPr="002713D7" w:rsidRDefault="005E30AF" w:rsidP="00EB37BA">
                  <w:pPr>
                    <w:pStyle w:val="Compact"/>
                    <w:jc w:val="center"/>
                    <w:rPr>
                      <w:b/>
                      <w:bCs/>
                    </w:rPr>
                  </w:pPr>
                  <w:r w:rsidRPr="002713D7">
                    <w:rPr>
                      <w:b/>
                      <w:bCs/>
                    </w:rPr>
                    <w:t>ATT8 pts</w:t>
                  </w:r>
                </w:p>
              </w:tc>
            </w:tr>
            <w:tr w:rsidR="005E30AF" w14:paraId="4D6AF6A6" w14:textId="77777777" w:rsidTr="002713D7">
              <w:tc>
                <w:tcPr>
                  <w:tcW w:w="3203" w:type="dxa"/>
                </w:tcPr>
                <w:p w14:paraId="46C45C82" w14:textId="77777777" w:rsidR="005E30AF" w:rsidRPr="002713D7" w:rsidRDefault="005E30AF" w:rsidP="00EB37BA">
                  <w:pPr>
                    <w:pStyle w:val="Compact"/>
                    <w:jc w:val="center"/>
                    <w:rPr>
                      <w:b/>
                      <w:bCs/>
                    </w:rPr>
                  </w:pPr>
                  <w:r w:rsidRPr="002713D7">
                    <w:rPr>
                      <w:b/>
                      <w:bCs/>
                    </w:rPr>
                    <w:t>No absence control</w:t>
                  </w:r>
                </w:p>
              </w:tc>
              <w:tc>
                <w:tcPr>
                  <w:tcW w:w="978" w:type="dxa"/>
                </w:tcPr>
                <w:p w14:paraId="761DCE53" w14:textId="77777777" w:rsidR="005E30AF" w:rsidRDefault="005E30AF" w:rsidP="00EB37BA">
                  <w:pPr>
                    <w:pStyle w:val="Compact"/>
                    <w:jc w:val="center"/>
                  </w:pPr>
                  <w:r>
                    <w:t>+0.006</w:t>
                  </w:r>
                </w:p>
              </w:tc>
              <w:tc>
                <w:tcPr>
                  <w:tcW w:w="1423" w:type="dxa"/>
                </w:tcPr>
                <w:p w14:paraId="708143F4" w14:textId="77777777" w:rsidR="005E30AF" w:rsidRDefault="005E30AF" w:rsidP="00EB37BA">
                  <w:pPr>
                    <w:pStyle w:val="Compact"/>
                    <w:jc w:val="center"/>
                  </w:pPr>
                  <w:r>
                    <w:t>-0.034 to 0.046</w:t>
                  </w:r>
                </w:p>
              </w:tc>
              <w:tc>
                <w:tcPr>
                  <w:tcW w:w="1512" w:type="dxa"/>
                </w:tcPr>
                <w:p w14:paraId="2A18E6F2" w14:textId="77777777" w:rsidR="005E30AF" w:rsidRDefault="005E30AF" w:rsidP="00EB37BA">
                  <w:pPr>
                    <w:pStyle w:val="Compact"/>
                    <w:jc w:val="center"/>
                  </w:pPr>
                  <w:r>
                    <w:t>69 of 151 (</w:t>
                  </w:r>
                  <w:proofErr w:type="spellStart"/>
                  <w:r>
                    <w:t>n.s</w:t>
                  </w:r>
                  <w:proofErr w:type="spellEnd"/>
                  <w:r>
                    <w:t>.)</w:t>
                  </w:r>
                </w:p>
              </w:tc>
              <w:tc>
                <w:tcPr>
                  <w:tcW w:w="800" w:type="dxa"/>
                </w:tcPr>
                <w:p w14:paraId="18609CC5" w14:textId="77777777" w:rsidR="005E30AF" w:rsidRDefault="005E30AF" w:rsidP="00EB37BA">
                  <w:pPr>
                    <w:pStyle w:val="Compact"/>
                    <w:jc w:val="center"/>
                  </w:pPr>
                  <w:r>
                    <w:t>+0.2</w:t>
                  </w:r>
                </w:p>
              </w:tc>
            </w:tr>
            <w:tr w:rsidR="005E30AF" w14:paraId="541FBA9E" w14:textId="77777777" w:rsidTr="002713D7">
              <w:tc>
                <w:tcPr>
                  <w:tcW w:w="3203" w:type="dxa"/>
                </w:tcPr>
                <w:p w14:paraId="1B852A47" w14:textId="77777777" w:rsidR="005E30AF" w:rsidRPr="002713D7" w:rsidRDefault="005E30AF" w:rsidP="00EB37BA">
                  <w:pPr>
                    <w:pStyle w:val="Compact"/>
                    <w:jc w:val="center"/>
                    <w:rPr>
                      <w:b/>
                      <w:bCs/>
                    </w:rPr>
                  </w:pPr>
                  <w:r w:rsidRPr="002713D7">
                    <w:rPr>
                      <w:b/>
                      <w:bCs/>
                    </w:rPr>
                    <w:t>Absence controlled (main model)</w:t>
                  </w:r>
                </w:p>
              </w:tc>
              <w:tc>
                <w:tcPr>
                  <w:tcW w:w="978" w:type="dxa"/>
                </w:tcPr>
                <w:p w14:paraId="5EB3B5D1" w14:textId="77777777" w:rsidR="005E30AF" w:rsidRDefault="005E30AF" w:rsidP="00EB37BA">
                  <w:pPr>
                    <w:pStyle w:val="Compact"/>
                    <w:jc w:val="center"/>
                  </w:pPr>
                  <w:r>
                    <w:t>+0.041</w:t>
                  </w:r>
                </w:p>
              </w:tc>
              <w:tc>
                <w:tcPr>
                  <w:tcW w:w="1423" w:type="dxa"/>
                </w:tcPr>
                <w:p w14:paraId="2F52EC77" w14:textId="77777777" w:rsidR="005E30AF" w:rsidRDefault="005E30AF" w:rsidP="00EB37BA">
                  <w:pPr>
                    <w:pStyle w:val="Compact"/>
                    <w:jc w:val="center"/>
                  </w:pPr>
                  <w:r>
                    <w:t>0.006 to 0.076</w:t>
                  </w:r>
                </w:p>
              </w:tc>
              <w:tc>
                <w:tcPr>
                  <w:tcW w:w="1512" w:type="dxa"/>
                </w:tcPr>
                <w:p w14:paraId="1B466D65" w14:textId="77777777" w:rsidR="005E30AF" w:rsidRDefault="005E30AF" w:rsidP="00EB37BA">
                  <w:pPr>
                    <w:pStyle w:val="Compact"/>
                    <w:jc w:val="center"/>
                  </w:pPr>
                  <w:r>
                    <w:t>15 of 151</w:t>
                  </w:r>
                </w:p>
              </w:tc>
              <w:tc>
                <w:tcPr>
                  <w:tcW w:w="800" w:type="dxa"/>
                </w:tcPr>
                <w:p w14:paraId="77DF7F33" w14:textId="77777777" w:rsidR="005E30AF" w:rsidRDefault="005E30AF" w:rsidP="00EB37BA">
                  <w:pPr>
                    <w:pStyle w:val="Compact"/>
                    <w:jc w:val="center"/>
                  </w:pPr>
                  <w:r>
                    <w:t>+1.6</w:t>
                  </w:r>
                </w:p>
              </w:tc>
            </w:tr>
            <w:tr w:rsidR="005E30AF" w14:paraId="5A2D1E8D" w14:textId="77777777" w:rsidTr="002713D7">
              <w:tc>
                <w:tcPr>
                  <w:tcW w:w="3203" w:type="dxa"/>
                </w:tcPr>
                <w:p w14:paraId="6047193C" w14:textId="77777777" w:rsidR="005E30AF" w:rsidRPr="002713D7" w:rsidRDefault="005E30AF" w:rsidP="00EB37BA">
                  <w:pPr>
                    <w:pStyle w:val="Compact"/>
                    <w:jc w:val="center"/>
                    <w:rPr>
                      <w:b/>
                      <w:bCs/>
                    </w:rPr>
                  </w:pPr>
                  <w:r w:rsidRPr="002713D7">
                    <w:rPr>
                      <w:b/>
                      <w:bCs/>
                    </w:rPr>
                    <w:t>Intake-predicted absence controlled</w:t>
                  </w:r>
                </w:p>
              </w:tc>
              <w:tc>
                <w:tcPr>
                  <w:tcW w:w="978" w:type="dxa"/>
                </w:tcPr>
                <w:p w14:paraId="22A00AD6" w14:textId="77777777" w:rsidR="005E30AF" w:rsidRDefault="005E30AF" w:rsidP="00EB37BA">
                  <w:pPr>
                    <w:pStyle w:val="Compact"/>
                    <w:jc w:val="center"/>
                  </w:pPr>
                  <w:r>
                    <w:t>+0.005</w:t>
                  </w:r>
                </w:p>
              </w:tc>
              <w:tc>
                <w:tcPr>
                  <w:tcW w:w="1423" w:type="dxa"/>
                </w:tcPr>
                <w:p w14:paraId="70CC66C4" w14:textId="77777777" w:rsidR="005E30AF" w:rsidRDefault="005E30AF" w:rsidP="00EB37BA">
                  <w:pPr>
                    <w:pStyle w:val="Compact"/>
                    <w:jc w:val="center"/>
                  </w:pPr>
                  <w:r>
                    <w:t>-0.035 to 0.044</w:t>
                  </w:r>
                </w:p>
              </w:tc>
              <w:tc>
                <w:tcPr>
                  <w:tcW w:w="1512" w:type="dxa"/>
                </w:tcPr>
                <w:p w14:paraId="6C8F61CA" w14:textId="77777777" w:rsidR="005E30AF" w:rsidRDefault="005E30AF" w:rsidP="00EB37BA">
                  <w:pPr>
                    <w:pStyle w:val="Compact"/>
                    <w:jc w:val="center"/>
                  </w:pPr>
                  <w:r>
                    <w:t>71 of 151 (</w:t>
                  </w:r>
                  <w:proofErr w:type="spellStart"/>
                  <w:r>
                    <w:t>n.s</w:t>
                  </w:r>
                  <w:proofErr w:type="spellEnd"/>
                  <w:r>
                    <w:t>.)</w:t>
                  </w:r>
                </w:p>
              </w:tc>
              <w:tc>
                <w:tcPr>
                  <w:tcW w:w="800" w:type="dxa"/>
                </w:tcPr>
                <w:p w14:paraId="53A7747F" w14:textId="77777777" w:rsidR="005E30AF" w:rsidRDefault="005E30AF" w:rsidP="00EB37BA">
                  <w:pPr>
                    <w:pStyle w:val="Compact"/>
                    <w:jc w:val="center"/>
                  </w:pPr>
                  <w:r>
                    <w:t>+0.2</w:t>
                  </w:r>
                </w:p>
              </w:tc>
            </w:tr>
            <w:bookmarkEnd w:id="708"/>
          </w:tbl>
          <w:p w14:paraId="0FF9EF14" w14:textId="77777777" w:rsidR="005E30AF" w:rsidRDefault="005E30AF" w:rsidP="00EB37BA"/>
        </w:tc>
      </w:tr>
    </w:tbl>
    <w:p w14:paraId="248E6BFE" w14:textId="77FF34EC" w:rsidR="002713D7" w:rsidRDefault="005E30AF" w:rsidP="005E30AF">
      <w:pPr>
        <w:pStyle w:val="BodyText"/>
      </w:pPr>
      <w:r>
        <w:t xml:space="preserve"> </w:t>
      </w:r>
    </w:p>
    <w:p w14:paraId="149E416A" w14:textId="77777777" w:rsidR="002713D7" w:rsidRDefault="002713D7">
      <w:pPr>
        <w:spacing w:after="200" w:line="240" w:lineRule="auto"/>
      </w:pPr>
      <w:r>
        <w:br w:type="page"/>
      </w:r>
    </w:p>
    <w:tbl>
      <w:tblPr>
        <w:tblStyle w:val="Table"/>
        <w:tblW w:w="5000" w:type="pct"/>
        <w:tblLayout w:type="fixed"/>
        <w:tblLook w:val="0000" w:firstRow="0" w:lastRow="0" w:firstColumn="0" w:lastColumn="0" w:noHBand="0" w:noVBand="0"/>
      </w:tblPr>
      <w:tblGrid>
        <w:gridCol w:w="9446"/>
      </w:tblGrid>
      <w:tr w:rsidR="005E30AF" w14:paraId="17FE689F" w14:textId="77777777" w:rsidTr="002713D7">
        <w:tc>
          <w:tcPr>
            <w:tcW w:w="9446" w:type="dxa"/>
          </w:tcPr>
          <w:p w14:paraId="06D1B6D6" w14:textId="77777777" w:rsidR="005E30AF" w:rsidRDefault="005E30AF" w:rsidP="00EB37BA">
            <w:pPr>
              <w:pStyle w:val="Compact"/>
              <w:jc w:val="center"/>
            </w:pPr>
            <w:bookmarkStart w:id="709" w:name="fig-accelerating-returns"/>
            <w:r>
              <w:rPr>
                <w:noProof/>
              </w:rPr>
              <w:lastRenderedPageBreak/>
              <w:drawing>
                <wp:inline distT="0" distB="0" distL="0" distR="0" wp14:anchorId="07BB1EE3" wp14:editId="309C92B4">
                  <wp:extent cx="5943600" cy="3820885"/>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RPE_Paper_files/figure-docx/fig-accelerating-returns-1.png"/>
                          <pic:cNvPicPr>
                            <a:picLocks noChangeAspect="1" noChangeArrowheads="1"/>
                          </pic:cNvPicPr>
                        </pic:nvPicPr>
                        <pic:blipFill>
                          <a:blip r:embed="rId59"/>
                          <a:stretch>
                            <a:fillRect/>
                          </a:stretch>
                        </pic:blipFill>
                        <pic:spPr bwMode="auto">
                          <a:xfrm>
                            <a:off x="0" y="0"/>
                            <a:ext cx="5943600" cy="3820885"/>
                          </a:xfrm>
                          <a:prstGeom prst="rect">
                            <a:avLst/>
                          </a:prstGeom>
                          <a:noFill/>
                          <a:ln w="9525">
                            <a:noFill/>
                            <a:headEnd/>
                            <a:tailEnd/>
                          </a:ln>
                        </pic:spPr>
                      </pic:pic>
                    </a:graphicData>
                  </a:graphic>
                </wp:inline>
              </w:drawing>
            </w:r>
          </w:p>
          <w:p w14:paraId="365FE5C4" w14:textId="77777777" w:rsidR="005E30AF" w:rsidRDefault="005E30AF" w:rsidP="00EB37BA">
            <w:pPr>
              <w:pStyle w:val="ImageCaption"/>
              <w:spacing w:before="200"/>
            </w:pPr>
            <w:r>
              <w:t>Figure 4: Accelerating returns: each percentage-point reduction buys a progressively larger ATT8 gain (reading right to left). Absence delivers substantially larger gains than FSM at every level. Brighton and Hove schools marked on each curve.</w:t>
            </w:r>
          </w:p>
        </w:tc>
        <w:bookmarkEnd w:id="709"/>
      </w:tr>
    </w:tbl>
    <w:p w14:paraId="16005C21" w14:textId="77777777" w:rsidR="005E30AF" w:rsidRDefault="005E30AF" w:rsidP="005E30AF">
      <w:pPr>
        <w:pStyle w:val="BodyText"/>
      </w:pPr>
      <w:r>
        <w:t xml:space="preserve"> </w:t>
      </w:r>
    </w:p>
    <w:tbl>
      <w:tblPr>
        <w:tblStyle w:val="Table"/>
        <w:tblW w:w="5000" w:type="pct"/>
        <w:tblLayout w:type="fixed"/>
        <w:tblLook w:val="0000" w:firstRow="0" w:lastRow="0" w:firstColumn="0" w:lastColumn="0" w:noHBand="0" w:noVBand="0"/>
      </w:tblPr>
      <w:tblGrid>
        <w:gridCol w:w="9446"/>
      </w:tblGrid>
      <w:tr w:rsidR="005E30AF" w14:paraId="64A352AA" w14:textId="77777777" w:rsidTr="00EB37BA">
        <w:tc>
          <w:tcPr>
            <w:tcW w:w="7920" w:type="dxa"/>
          </w:tcPr>
          <w:p w14:paraId="26DB1297" w14:textId="77777777" w:rsidR="005E30AF" w:rsidRDefault="005E30AF" w:rsidP="00EB37BA">
            <w:pPr>
              <w:pStyle w:val="Compact"/>
              <w:jc w:val="center"/>
            </w:pPr>
            <w:bookmarkStart w:id="710" w:name="fig-obs-vs-pred"/>
            <w:r>
              <w:rPr>
                <w:noProof/>
              </w:rPr>
              <w:lastRenderedPageBreak/>
              <w:drawing>
                <wp:inline distT="0" distB="0" distL="0" distR="0" wp14:anchorId="01B4CBA0" wp14:editId="7B24F06B">
                  <wp:extent cx="5372100" cy="7115175"/>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RPE_Paper_files/figure-docx/fig-obs-vs-pred-1.png"/>
                          <pic:cNvPicPr>
                            <a:picLocks noChangeAspect="1" noChangeArrowheads="1"/>
                          </pic:cNvPicPr>
                        </pic:nvPicPr>
                        <pic:blipFill>
                          <a:blip r:embed="rId60"/>
                          <a:stretch>
                            <a:fillRect/>
                          </a:stretch>
                        </pic:blipFill>
                        <pic:spPr bwMode="auto">
                          <a:xfrm>
                            <a:off x="0" y="0"/>
                            <a:ext cx="5372234" cy="7115352"/>
                          </a:xfrm>
                          <a:prstGeom prst="rect">
                            <a:avLst/>
                          </a:prstGeom>
                          <a:noFill/>
                          <a:ln w="9525">
                            <a:noFill/>
                            <a:headEnd/>
                            <a:tailEnd/>
                          </a:ln>
                        </pic:spPr>
                      </pic:pic>
                    </a:graphicData>
                  </a:graphic>
                </wp:inline>
              </w:drawing>
            </w:r>
          </w:p>
          <w:p w14:paraId="3D64F1F7" w14:textId="77777777" w:rsidR="005E30AF" w:rsidRDefault="005E30AF" w:rsidP="00EB37BA">
            <w:pPr>
              <w:pStyle w:val="ImageCaption"/>
              <w:spacing w:before="200"/>
            </w:pPr>
            <w:r>
              <w:t>Figure 5: Observed versus predicted Attainment 8 for Brighton and Hove schools (highlighted) against all schools nationally, 2024–25.</w:t>
            </w:r>
          </w:p>
        </w:tc>
        <w:bookmarkEnd w:id="710"/>
      </w:tr>
    </w:tbl>
    <w:p w14:paraId="68A73DF7" w14:textId="77777777" w:rsidR="005E30AF" w:rsidRDefault="005E30AF" w:rsidP="005E30AF">
      <w:pPr>
        <w:pStyle w:val="BodyText"/>
      </w:pPr>
      <w:r>
        <w:lastRenderedPageBreak/>
        <w:t xml:space="preserve"> </w:t>
      </w:r>
    </w:p>
    <w:tbl>
      <w:tblPr>
        <w:tblStyle w:val="Table"/>
        <w:tblW w:w="5000" w:type="pct"/>
        <w:tblLayout w:type="fixed"/>
        <w:tblLook w:val="0000" w:firstRow="0" w:lastRow="0" w:firstColumn="0" w:lastColumn="0" w:noHBand="0" w:noVBand="0"/>
      </w:tblPr>
      <w:tblGrid>
        <w:gridCol w:w="9446"/>
      </w:tblGrid>
      <w:tr w:rsidR="005E30AF" w14:paraId="1272AF43" w14:textId="77777777" w:rsidTr="00EB37BA">
        <w:tc>
          <w:tcPr>
            <w:tcW w:w="7920" w:type="dxa"/>
          </w:tcPr>
          <w:p w14:paraId="73011062" w14:textId="77777777" w:rsidR="005E30AF" w:rsidRDefault="005E30AF" w:rsidP="00EB37BA">
            <w:pPr>
              <w:pStyle w:val="Compact"/>
              <w:jc w:val="center"/>
            </w:pPr>
            <w:bookmarkStart w:id="711" w:name="fig-quadrant"/>
            <w:r>
              <w:rPr>
                <w:noProof/>
              </w:rPr>
              <w:drawing>
                <wp:inline distT="0" distB="0" distL="0" distR="0" wp14:anchorId="2F8C9AE5" wp14:editId="401F1D1B">
                  <wp:extent cx="5943600" cy="4245428"/>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208" name="Picture" descr="RPE_Paper_files/figure-docx/fig-quadrant-1.png"/>
                          <pic:cNvPicPr>
                            <a:picLocks noChangeAspect="1" noChangeArrowheads="1"/>
                          </pic:cNvPicPr>
                        </pic:nvPicPr>
                        <pic:blipFill>
                          <a:blip r:embed="rId61"/>
                          <a:stretch>
                            <a:fillRect/>
                          </a:stretch>
                        </pic:blipFill>
                        <pic:spPr bwMode="auto">
                          <a:xfrm>
                            <a:off x="0" y="0"/>
                            <a:ext cx="5943600" cy="4245428"/>
                          </a:xfrm>
                          <a:prstGeom prst="rect">
                            <a:avLst/>
                          </a:prstGeom>
                          <a:noFill/>
                          <a:ln w="9525">
                            <a:noFill/>
                            <a:headEnd/>
                            <a:tailEnd/>
                          </a:ln>
                        </pic:spPr>
                      </pic:pic>
                    </a:graphicData>
                  </a:graphic>
                </wp:inline>
              </w:drawing>
            </w:r>
          </w:p>
          <w:p w14:paraId="0ADE6FC6" w14:textId="77777777" w:rsidR="005E30AF" w:rsidRDefault="005E30AF" w:rsidP="00EB37BA">
            <w:pPr>
              <w:pStyle w:val="ImageCaption"/>
              <w:spacing w:before="200"/>
            </w:pPr>
            <w:r>
              <w:t>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tc>
        <w:bookmarkEnd w:id="711"/>
      </w:tr>
    </w:tbl>
    <w:p w14:paraId="54BA56E2" w14:textId="742E58A0" w:rsidR="002713D7" w:rsidRDefault="005E30AF" w:rsidP="005E30AF">
      <w:pPr>
        <w:pStyle w:val="BodyText"/>
      </w:pPr>
      <w:r>
        <w:t xml:space="preserve"> </w:t>
      </w:r>
    </w:p>
    <w:p w14:paraId="310AEA3C" w14:textId="77777777" w:rsidR="002713D7" w:rsidRDefault="002713D7">
      <w:pPr>
        <w:spacing w:after="200" w:line="240" w:lineRule="auto"/>
      </w:pPr>
      <w:r>
        <w:br w:type="page"/>
      </w:r>
    </w:p>
    <w:tbl>
      <w:tblPr>
        <w:tblStyle w:val="Table"/>
        <w:tblW w:w="5000" w:type="pct"/>
        <w:tblLayout w:type="fixed"/>
        <w:tblLook w:val="0000" w:firstRow="0" w:lastRow="0" w:firstColumn="0" w:lastColumn="0" w:noHBand="0" w:noVBand="0"/>
      </w:tblPr>
      <w:tblGrid>
        <w:gridCol w:w="9446"/>
      </w:tblGrid>
      <w:tr w:rsidR="005E30AF" w14:paraId="10B5F85B" w14:textId="77777777" w:rsidTr="002713D7">
        <w:tc>
          <w:tcPr>
            <w:tcW w:w="9446" w:type="dxa"/>
          </w:tcPr>
          <w:p w14:paraId="0BA40920" w14:textId="77777777" w:rsidR="005E30AF" w:rsidRDefault="005E30AF" w:rsidP="00EB37BA">
            <w:pPr>
              <w:pStyle w:val="ImageCaption"/>
              <w:spacing w:before="200"/>
            </w:pPr>
            <w:bookmarkStart w:id="712" w:name="tbl-league"/>
            <w:r>
              <w:lastRenderedPageBreak/>
              <w:t>Table 3: Value-added rankings for Brighton and Hove schools (panel model residuals by year, in Attainment 8 points).</w:t>
            </w:r>
          </w:p>
          <w:tbl>
            <w:tblPr>
              <w:tblStyle w:val="Table"/>
              <w:tblW w:w="5000" w:type="pct"/>
              <w:tblLayout w:type="fixed"/>
              <w:tblLook w:val="0020" w:firstRow="1" w:lastRow="0" w:firstColumn="0" w:lastColumn="0" w:noHBand="0" w:noVBand="0"/>
            </w:tblPr>
            <w:tblGrid>
              <w:gridCol w:w="576"/>
              <w:gridCol w:w="4507"/>
              <w:gridCol w:w="925"/>
              <w:gridCol w:w="925"/>
              <w:gridCol w:w="925"/>
              <w:gridCol w:w="925"/>
              <w:gridCol w:w="577"/>
            </w:tblGrid>
            <w:tr w:rsidR="005E30AF" w14:paraId="20E30C72" w14:textId="77777777" w:rsidTr="002713D7">
              <w:trPr>
                <w:cnfStyle w:val="100000000000" w:firstRow="1" w:lastRow="0" w:firstColumn="0" w:lastColumn="0" w:oddVBand="0" w:evenVBand="0" w:oddHBand="0" w:evenHBand="0" w:firstRowFirstColumn="0" w:firstRowLastColumn="0" w:lastRowFirstColumn="0" w:lastRowLastColumn="0"/>
                <w:tblHeader/>
              </w:trPr>
              <w:tc>
                <w:tcPr>
                  <w:tcW w:w="576" w:type="dxa"/>
                </w:tcPr>
                <w:p w14:paraId="2EFECF1E" w14:textId="77777777" w:rsidR="005E30AF" w:rsidRPr="002713D7" w:rsidRDefault="005E30AF" w:rsidP="00EB37BA">
                  <w:pPr>
                    <w:pStyle w:val="Compact"/>
                    <w:jc w:val="center"/>
                    <w:rPr>
                      <w:b/>
                      <w:bCs/>
                    </w:rPr>
                  </w:pPr>
                  <w:r w:rsidRPr="002713D7">
                    <w:rPr>
                      <w:b/>
                      <w:bCs/>
                    </w:rPr>
                    <w:t>Rank</w:t>
                  </w:r>
                </w:p>
              </w:tc>
              <w:tc>
                <w:tcPr>
                  <w:tcW w:w="4507" w:type="dxa"/>
                </w:tcPr>
                <w:p w14:paraId="005C781C" w14:textId="77777777" w:rsidR="005E30AF" w:rsidRPr="002713D7" w:rsidRDefault="005E30AF" w:rsidP="00EB37BA">
                  <w:pPr>
                    <w:pStyle w:val="Compact"/>
                    <w:jc w:val="center"/>
                    <w:rPr>
                      <w:b/>
                      <w:bCs/>
                    </w:rPr>
                  </w:pPr>
                  <w:r w:rsidRPr="002713D7">
                    <w:rPr>
                      <w:b/>
                      <w:bCs/>
                    </w:rPr>
                    <w:t>School</w:t>
                  </w:r>
                </w:p>
              </w:tc>
              <w:tc>
                <w:tcPr>
                  <w:tcW w:w="925" w:type="dxa"/>
                </w:tcPr>
                <w:p w14:paraId="76788536" w14:textId="77777777" w:rsidR="005E30AF" w:rsidRPr="002713D7" w:rsidRDefault="005E30AF" w:rsidP="00EB37BA">
                  <w:pPr>
                    <w:pStyle w:val="Compact"/>
                    <w:jc w:val="center"/>
                    <w:rPr>
                      <w:b/>
                      <w:bCs/>
                    </w:rPr>
                  </w:pPr>
                  <w:r w:rsidRPr="002713D7">
                    <w:rPr>
                      <w:b/>
                      <w:bCs/>
                    </w:rPr>
                    <w:t>2021-22</w:t>
                  </w:r>
                </w:p>
              </w:tc>
              <w:tc>
                <w:tcPr>
                  <w:tcW w:w="925" w:type="dxa"/>
                </w:tcPr>
                <w:p w14:paraId="089B6DEB" w14:textId="77777777" w:rsidR="005E30AF" w:rsidRPr="002713D7" w:rsidRDefault="005E30AF" w:rsidP="00EB37BA">
                  <w:pPr>
                    <w:pStyle w:val="Compact"/>
                    <w:jc w:val="center"/>
                    <w:rPr>
                      <w:b/>
                      <w:bCs/>
                    </w:rPr>
                  </w:pPr>
                  <w:r w:rsidRPr="002713D7">
                    <w:rPr>
                      <w:b/>
                      <w:bCs/>
                    </w:rPr>
                    <w:t>2022-23</w:t>
                  </w:r>
                </w:p>
              </w:tc>
              <w:tc>
                <w:tcPr>
                  <w:tcW w:w="925" w:type="dxa"/>
                </w:tcPr>
                <w:p w14:paraId="4DD497A1" w14:textId="77777777" w:rsidR="005E30AF" w:rsidRPr="002713D7" w:rsidRDefault="005E30AF" w:rsidP="00EB37BA">
                  <w:pPr>
                    <w:pStyle w:val="Compact"/>
                    <w:jc w:val="center"/>
                    <w:rPr>
                      <w:b/>
                      <w:bCs/>
                    </w:rPr>
                  </w:pPr>
                  <w:r w:rsidRPr="002713D7">
                    <w:rPr>
                      <w:b/>
                      <w:bCs/>
                    </w:rPr>
                    <w:t>2023-24</w:t>
                  </w:r>
                </w:p>
              </w:tc>
              <w:tc>
                <w:tcPr>
                  <w:tcW w:w="925" w:type="dxa"/>
                </w:tcPr>
                <w:p w14:paraId="6FC9CB5C" w14:textId="77777777" w:rsidR="005E30AF" w:rsidRPr="002713D7" w:rsidRDefault="005E30AF" w:rsidP="00EB37BA">
                  <w:pPr>
                    <w:pStyle w:val="Compact"/>
                    <w:jc w:val="center"/>
                    <w:rPr>
                      <w:b/>
                      <w:bCs/>
                    </w:rPr>
                  </w:pPr>
                  <w:r w:rsidRPr="002713D7">
                    <w:rPr>
                      <w:b/>
                      <w:bCs/>
                    </w:rPr>
                    <w:t>2024-25</w:t>
                  </w:r>
                </w:p>
              </w:tc>
              <w:tc>
                <w:tcPr>
                  <w:tcW w:w="577" w:type="dxa"/>
                </w:tcPr>
                <w:p w14:paraId="2B8B7A64" w14:textId="77777777" w:rsidR="005E30AF" w:rsidRPr="002713D7" w:rsidRDefault="005E30AF" w:rsidP="00EB37BA">
                  <w:pPr>
                    <w:pStyle w:val="Compact"/>
                    <w:jc w:val="center"/>
                    <w:rPr>
                      <w:b/>
                      <w:bCs/>
                    </w:rPr>
                  </w:pPr>
                  <w:r w:rsidRPr="002713D7">
                    <w:rPr>
                      <w:b/>
                      <w:bCs/>
                    </w:rPr>
                    <w:t>Mean</w:t>
                  </w:r>
                </w:p>
              </w:tc>
            </w:tr>
            <w:tr w:rsidR="002713D7" w14:paraId="59B312D1" w14:textId="77777777" w:rsidTr="00136FAD">
              <w:tc>
                <w:tcPr>
                  <w:tcW w:w="9360" w:type="dxa"/>
                  <w:gridSpan w:val="7"/>
                </w:tcPr>
                <w:p w14:paraId="69E03736" w14:textId="47D3C46C" w:rsidR="002713D7" w:rsidRDefault="002713D7" w:rsidP="002713D7">
                  <w:pPr>
                    <w:pStyle w:val="Compact"/>
                  </w:pPr>
                  <w:r w:rsidRPr="00440721">
                    <w:rPr>
                      <w:b/>
                      <w:bCs/>
                      <w:i/>
                      <w:iCs/>
                    </w:rPr>
                    <w:t>All Pupils</w:t>
                  </w:r>
                </w:p>
              </w:tc>
            </w:tr>
            <w:tr w:rsidR="005E30AF" w14:paraId="3C7A2E45" w14:textId="77777777" w:rsidTr="002713D7">
              <w:tc>
                <w:tcPr>
                  <w:tcW w:w="576" w:type="dxa"/>
                </w:tcPr>
                <w:p w14:paraId="41613B25" w14:textId="77777777" w:rsidR="005E30AF" w:rsidRDefault="005E30AF" w:rsidP="00EB37BA">
                  <w:pPr>
                    <w:pStyle w:val="Compact"/>
                    <w:jc w:val="center"/>
                  </w:pPr>
                  <w:r>
                    <w:t>1</w:t>
                  </w:r>
                </w:p>
              </w:tc>
              <w:tc>
                <w:tcPr>
                  <w:tcW w:w="4507" w:type="dxa"/>
                </w:tcPr>
                <w:p w14:paraId="4A26CA17" w14:textId="77777777" w:rsidR="005E30AF" w:rsidRDefault="005E30AF" w:rsidP="00EB37BA">
                  <w:pPr>
                    <w:pStyle w:val="Compact"/>
                    <w:jc w:val="center"/>
                  </w:pPr>
                  <w:r>
                    <w:t>Dorothy Stringer School</w:t>
                  </w:r>
                </w:p>
              </w:tc>
              <w:tc>
                <w:tcPr>
                  <w:tcW w:w="925" w:type="dxa"/>
                </w:tcPr>
                <w:p w14:paraId="4D23B16A" w14:textId="77777777" w:rsidR="005E30AF" w:rsidRDefault="005E30AF" w:rsidP="00EB37BA">
                  <w:pPr>
                    <w:pStyle w:val="Compact"/>
                    <w:jc w:val="center"/>
                  </w:pPr>
                  <w:r>
                    <w:t>+2.5</w:t>
                  </w:r>
                </w:p>
              </w:tc>
              <w:tc>
                <w:tcPr>
                  <w:tcW w:w="925" w:type="dxa"/>
                </w:tcPr>
                <w:p w14:paraId="6D5A2046" w14:textId="77777777" w:rsidR="005E30AF" w:rsidRDefault="005E30AF" w:rsidP="00EB37BA">
                  <w:pPr>
                    <w:pStyle w:val="Compact"/>
                    <w:jc w:val="center"/>
                  </w:pPr>
                  <w:r>
                    <w:t>+3.1</w:t>
                  </w:r>
                </w:p>
              </w:tc>
              <w:tc>
                <w:tcPr>
                  <w:tcW w:w="925" w:type="dxa"/>
                </w:tcPr>
                <w:p w14:paraId="3595056E" w14:textId="77777777" w:rsidR="005E30AF" w:rsidRDefault="005E30AF" w:rsidP="00EB37BA">
                  <w:pPr>
                    <w:pStyle w:val="Compact"/>
                    <w:jc w:val="center"/>
                  </w:pPr>
                  <w:r>
                    <w:t>+2.2</w:t>
                  </w:r>
                </w:p>
              </w:tc>
              <w:tc>
                <w:tcPr>
                  <w:tcW w:w="925" w:type="dxa"/>
                </w:tcPr>
                <w:p w14:paraId="30FE2B4C" w14:textId="77777777" w:rsidR="005E30AF" w:rsidRDefault="005E30AF" w:rsidP="00EB37BA">
                  <w:pPr>
                    <w:pStyle w:val="Compact"/>
                    <w:jc w:val="center"/>
                  </w:pPr>
                  <w:r>
                    <w:t>+4.8</w:t>
                  </w:r>
                </w:p>
              </w:tc>
              <w:tc>
                <w:tcPr>
                  <w:tcW w:w="577" w:type="dxa"/>
                </w:tcPr>
                <w:p w14:paraId="21CFD063" w14:textId="77777777" w:rsidR="005E30AF" w:rsidRDefault="005E30AF" w:rsidP="00EB37BA">
                  <w:pPr>
                    <w:pStyle w:val="Compact"/>
                    <w:jc w:val="center"/>
                  </w:pPr>
                  <w:r>
                    <w:t>+3.1</w:t>
                  </w:r>
                </w:p>
              </w:tc>
            </w:tr>
            <w:tr w:rsidR="005E30AF" w14:paraId="7876A849" w14:textId="77777777" w:rsidTr="002713D7">
              <w:tc>
                <w:tcPr>
                  <w:tcW w:w="576" w:type="dxa"/>
                </w:tcPr>
                <w:p w14:paraId="364DF1C5" w14:textId="77777777" w:rsidR="005E30AF" w:rsidRDefault="005E30AF" w:rsidP="00EB37BA">
                  <w:pPr>
                    <w:pStyle w:val="Compact"/>
                    <w:jc w:val="center"/>
                  </w:pPr>
                  <w:r>
                    <w:t>2</w:t>
                  </w:r>
                </w:p>
              </w:tc>
              <w:tc>
                <w:tcPr>
                  <w:tcW w:w="4507" w:type="dxa"/>
                </w:tcPr>
                <w:p w14:paraId="6740F133" w14:textId="77777777" w:rsidR="005E30AF" w:rsidRDefault="005E30AF" w:rsidP="00EB37BA">
                  <w:pPr>
                    <w:pStyle w:val="Compact"/>
                    <w:jc w:val="center"/>
                  </w:pPr>
                  <w:proofErr w:type="spellStart"/>
                  <w:r>
                    <w:t>Varndean</w:t>
                  </w:r>
                  <w:proofErr w:type="spellEnd"/>
                  <w:r>
                    <w:t xml:space="preserve"> School</w:t>
                  </w:r>
                </w:p>
              </w:tc>
              <w:tc>
                <w:tcPr>
                  <w:tcW w:w="925" w:type="dxa"/>
                </w:tcPr>
                <w:p w14:paraId="41721B2D" w14:textId="77777777" w:rsidR="005E30AF" w:rsidRDefault="005E30AF" w:rsidP="00EB37BA">
                  <w:pPr>
                    <w:pStyle w:val="Compact"/>
                    <w:jc w:val="center"/>
                  </w:pPr>
                  <w:r>
                    <w:t>+2.7</w:t>
                  </w:r>
                </w:p>
              </w:tc>
              <w:tc>
                <w:tcPr>
                  <w:tcW w:w="925" w:type="dxa"/>
                </w:tcPr>
                <w:p w14:paraId="51896B88" w14:textId="77777777" w:rsidR="005E30AF" w:rsidRDefault="005E30AF" w:rsidP="00EB37BA">
                  <w:pPr>
                    <w:pStyle w:val="Compact"/>
                    <w:jc w:val="center"/>
                  </w:pPr>
                  <w:r>
                    <w:t>+2.6</w:t>
                  </w:r>
                </w:p>
              </w:tc>
              <w:tc>
                <w:tcPr>
                  <w:tcW w:w="925" w:type="dxa"/>
                </w:tcPr>
                <w:p w14:paraId="1FEF269C" w14:textId="77777777" w:rsidR="005E30AF" w:rsidRDefault="005E30AF" w:rsidP="00EB37BA">
                  <w:pPr>
                    <w:pStyle w:val="Compact"/>
                    <w:jc w:val="center"/>
                  </w:pPr>
                  <w:r>
                    <w:t>+5.3</w:t>
                  </w:r>
                </w:p>
              </w:tc>
              <w:tc>
                <w:tcPr>
                  <w:tcW w:w="925" w:type="dxa"/>
                </w:tcPr>
                <w:p w14:paraId="34A8FF39" w14:textId="77777777" w:rsidR="005E30AF" w:rsidRDefault="005E30AF" w:rsidP="00EB37BA">
                  <w:pPr>
                    <w:pStyle w:val="Compact"/>
                    <w:jc w:val="center"/>
                  </w:pPr>
                  <w:r>
                    <w:t>+0.5</w:t>
                  </w:r>
                </w:p>
              </w:tc>
              <w:tc>
                <w:tcPr>
                  <w:tcW w:w="577" w:type="dxa"/>
                </w:tcPr>
                <w:p w14:paraId="5253EB4C" w14:textId="77777777" w:rsidR="005E30AF" w:rsidRDefault="005E30AF" w:rsidP="00EB37BA">
                  <w:pPr>
                    <w:pStyle w:val="Compact"/>
                    <w:jc w:val="center"/>
                  </w:pPr>
                  <w:r>
                    <w:t>+2.8</w:t>
                  </w:r>
                </w:p>
              </w:tc>
            </w:tr>
            <w:tr w:rsidR="005E30AF" w14:paraId="675B47B6" w14:textId="77777777" w:rsidTr="002713D7">
              <w:tc>
                <w:tcPr>
                  <w:tcW w:w="576" w:type="dxa"/>
                </w:tcPr>
                <w:p w14:paraId="7B22E503" w14:textId="77777777" w:rsidR="005E30AF" w:rsidRDefault="005E30AF" w:rsidP="00EB37BA">
                  <w:pPr>
                    <w:pStyle w:val="Compact"/>
                    <w:jc w:val="center"/>
                  </w:pPr>
                  <w:r>
                    <w:t>3</w:t>
                  </w:r>
                </w:p>
              </w:tc>
              <w:tc>
                <w:tcPr>
                  <w:tcW w:w="4507" w:type="dxa"/>
                </w:tcPr>
                <w:p w14:paraId="04B8A4E5" w14:textId="77777777" w:rsidR="005E30AF" w:rsidRDefault="005E30AF" w:rsidP="00EB37BA">
                  <w:pPr>
                    <w:pStyle w:val="Compact"/>
                    <w:jc w:val="center"/>
                  </w:pPr>
                  <w:r>
                    <w:t>King’s School</w:t>
                  </w:r>
                </w:p>
              </w:tc>
              <w:tc>
                <w:tcPr>
                  <w:tcW w:w="925" w:type="dxa"/>
                </w:tcPr>
                <w:p w14:paraId="3A9AA1F5" w14:textId="77777777" w:rsidR="005E30AF" w:rsidRDefault="005E30AF" w:rsidP="00EB37BA">
                  <w:pPr>
                    <w:pStyle w:val="Compact"/>
                    <w:jc w:val="center"/>
                  </w:pPr>
                  <w:r>
                    <w:t>+3.5</w:t>
                  </w:r>
                </w:p>
              </w:tc>
              <w:tc>
                <w:tcPr>
                  <w:tcW w:w="925" w:type="dxa"/>
                </w:tcPr>
                <w:p w14:paraId="594419C1" w14:textId="77777777" w:rsidR="005E30AF" w:rsidRDefault="005E30AF" w:rsidP="00EB37BA">
                  <w:pPr>
                    <w:pStyle w:val="Compact"/>
                    <w:jc w:val="center"/>
                  </w:pPr>
                  <w:r>
                    <w:t>+0.9</w:t>
                  </w:r>
                </w:p>
              </w:tc>
              <w:tc>
                <w:tcPr>
                  <w:tcW w:w="925" w:type="dxa"/>
                </w:tcPr>
                <w:p w14:paraId="249CF494" w14:textId="77777777" w:rsidR="005E30AF" w:rsidRDefault="005E30AF" w:rsidP="00EB37BA">
                  <w:pPr>
                    <w:pStyle w:val="Compact"/>
                    <w:jc w:val="center"/>
                  </w:pPr>
                  <w:r>
                    <w:t>+5.0</w:t>
                  </w:r>
                </w:p>
              </w:tc>
              <w:tc>
                <w:tcPr>
                  <w:tcW w:w="925" w:type="dxa"/>
                </w:tcPr>
                <w:p w14:paraId="345FA816" w14:textId="77777777" w:rsidR="005E30AF" w:rsidRDefault="005E30AF" w:rsidP="00EB37BA">
                  <w:pPr>
                    <w:pStyle w:val="Compact"/>
                    <w:jc w:val="center"/>
                  </w:pPr>
                  <w:r>
                    <w:t>-0.5</w:t>
                  </w:r>
                </w:p>
              </w:tc>
              <w:tc>
                <w:tcPr>
                  <w:tcW w:w="577" w:type="dxa"/>
                </w:tcPr>
                <w:p w14:paraId="54C0110F" w14:textId="77777777" w:rsidR="005E30AF" w:rsidRDefault="005E30AF" w:rsidP="00EB37BA">
                  <w:pPr>
                    <w:pStyle w:val="Compact"/>
                    <w:jc w:val="center"/>
                  </w:pPr>
                  <w:r>
                    <w:t>+2.2</w:t>
                  </w:r>
                </w:p>
              </w:tc>
            </w:tr>
            <w:tr w:rsidR="005E30AF" w14:paraId="2D004E7E" w14:textId="77777777" w:rsidTr="002713D7">
              <w:tc>
                <w:tcPr>
                  <w:tcW w:w="576" w:type="dxa"/>
                </w:tcPr>
                <w:p w14:paraId="33DAF419" w14:textId="77777777" w:rsidR="005E30AF" w:rsidRDefault="005E30AF" w:rsidP="00EB37BA">
                  <w:pPr>
                    <w:pStyle w:val="Compact"/>
                    <w:jc w:val="center"/>
                  </w:pPr>
                  <w:r>
                    <w:t>4</w:t>
                  </w:r>
                </w:p>
              </w:tc>
              <w:tc>
                <w:tcPr>
                  <w:tcW w:w="4507" w:type="dxa"/>
                </w:tcPr>
                <w:p w14:paraId="71D33AE5" w14:textId="77777777" w:rsidR="005E30AF" w:rsidRDefault="005E30AF" w:rsidP="00EB37BA">
                  <w:pPr>
                    <w:pStyle w:val="Compact"/>
                    <w:jc w:val="center"/>
                  </w:pPr>
                  <w:r>
                    <w:t>Brighton Aldridge Community Academy</w:t>
                  </w:r>
                </w:p>
              </w:tc>
              <w:tc>
                <w:tcPr>
                  <w:tcW w:w="925" w:type="dxa"/>
                </w:tcPr>
                <w:p w14:paraId="4F875EE6" w14:textId="77777777" w:rsidR="005E30AF" w:rsidRDefault="005E30AF" w:rsidP="00EB37BA">
                  <w:pPr>
                    <w:pStyle w:val="Compact"/>
                    <w:jc w:val="center"/>
                  </w:pPr>
                  <w:r>
                    <w:t>+2.0</w:t>
                  </w:r>
                </w:p>
              </w:tc>
              <w:tc>
                <w:tcPr>
                  <w:tcW w:w="925" w:type="dxa"/>
                </w:tcPr>
                <w:p w14:paraId="17507333" w14:textId="77777777" w:rsidR="005E30AF" w:rsidRDefault="005E30AF" w:rsidP="00EB37BA">
                  <w:pPr>
                    <w:pStyle w:val="Compact"/>
                    <w:jc w:val="center"/>
                  </w:pPr>
                  <w:r>
                    <w:t>+1.4</w:t>
                  </w:r>
                </w:p>
              </w:tc>
              <w:tc>
                <w:tcPr>
                  <w:tcW w:w="925" w:type="dxa"/>
                </w:tcPr>
                <w:p w14:paraId="0460369C" w14:textId="77777777" w:rsidR="005E30AF" w:rsidRDefault="005E30AF" w:rsidP="00EB37BA">
                  <w:pPr>
                    <w:pStyle w:val="Compact"/>
                    <w:jc w:val="center"/>
                  </w:pPr>
                  <w:r>
                    <w:t>+1.2</w:t>
                  </w:r>
                </w:p>
              </w:tc>
              <w:tc>
                <w:tcPr>
                  <w:tcW w:w="925" w:type="dxa"/>
                </w:tcPr>
                <w:p w14:paraId="7A1BB24B" w14:textId="77777777" w:rsidR="005E30AF" w:rsidRDefault="005E30AF" w:rsidP="00EB37BA">
                  <w:pPr>
                    <w:pStyle w:val="Compact"/>
                    <w:jc w:val="center"/>
                  </w:pPr>
                  <w:r>
                    <w:t>+0.8</w:t>
                  </w:r>
                </w:p>
              </w:tc>
              <w:tc>
                <w:tcPr>
                  <w:tcW w:w="577" w:type="dxa"/>
                </w:tcPr>
                <w:p w14:paraId="1393ED39" w14:textId="77777777" w:rsidR="005E30AF" w:rsidRDefault="005E30AF" w:rsidP="00EB37BA">
                  <w:pPr>
                    <w:pStyle w:val="Compact"/>
                    <w:jc w:val="center"/>
                  </w:pPr>
                  <w:r>
                    <w:t>+1.4</w:t>
                  </w:r>
                </w:p>
              </w:tc>
            </w:tr>
            <w:tr w:rsidR="005E30AF" w14:paraId="43766357" w14:textId="77777777" w:rsidTr="002713D7">
              <w:tc>
                <w:tcPr>
                  <w:tcW w:w="576" w:type="dxa"/>
                </w:tcPr>
                <w:p w14:paraId="7FD006BF" w14:textId="77777777" w:rsidR="005E30AF" w:rsidRDefault="005E30AF" w:rsidP="00EB37BA">
                  <w:pPr>
                    <w:pStyle w:val="Compact"/>
                    <w:jc w:val="center"/>
                  </w:pPr>
                  <w:r>
                    <w:t>5</w:t>
                  </w:r>
                </w:p>
              </w:tc>
              <w:tc>
                <w:tcPr>
                  <w:tcW w:w="4507" w:type="dxa"/>
                </w:tcPr>
                <w:p w14:paraId="6A9FB875" w14:textId="77777777" w:rsidR="005E30AF" w:rsidRDefault="005E30AF" w:rsidP="00EB37BA">
                  <w:pPr>
                    <w:pStyle w:val="Compact"/>
                    <w:jc w:val="center"/>
                  </w:pPr>
                  <w:r>
                    <w:t>Portslade Aldridge Community Academy</w:t>
                  </w:r>
                </w:p>
              </w:tc>
              <w:tc>
                <w:tcPr>
                  <w:tcW w:w="925" w:type="dxa"/>
                </w:tcPr>
                <w:p w14:paraId="0C745013" w14:textId="77777777" w:rsidR="005E30AF" w:rsidRDefault="005E30AF" w:rsidP="00EB37BA">
                  <w:pPr>
                    <w:pStyle w:val="Compact"/>
                    <w:jc w:val="center"/>
                  </w:pPr>
                  <w:r>
                    <w:t>+3.8</w:t>
                  </w:r>
                </w:p>
              </w:tc>
              <w:tc>
                <w:tcPr>
                  <w:tcW w:w="925" w:type="dxa"/>
                </w:tcPr>
                <w:p w14:paraId="6530AE22" w14:textId="77777777" w:rsidR="005E30AF" w:rsidRDefault="005E30AF" w:rsidP="00EB37BA">
                  <w:pPr>
                    <w:pStyle w:val="Compact"/>
                    <w:jc w:val="center"/>
                  </w:pPr>
                  <w:r>
                    <w:t>+0.6</w:t>
                  </w:r>
                </w:p>
              </w:tc>
              <w:tc>
                <w:tcPr>
                  <w:tcW w:w="925" w:type="dxa"/>
                </w:tcPr>
                <w:p w14:paraId="17954843" w14:textId="77777777" w:rsidR="005E30AF" w:rsidRDefault="005E30AF" w:rsidP="00EB37BA">
                  <w:pPr>
                    <w:pStyle w:val="Compact"/>
                    <w:jc w:val="center"/>
                  </w:pPr>
                  <w:r>
                    <w:t>+2.3</w:t>
                  </w:r>
                </w:p>
              </w:tc>
              <w:tc>
                <w:tcPr>
                  <w:tcW w:w="925" w:type="dxa"/>
                </w:tcPr>
                <w:p w14:paraId="5501FA1F" w14:textId="77777777" w:rsidR="005E30AF" w:rsidRDefault="005E30AF" w:rsidP="00EB37BA">
                  <w:pPr>
                    <w:pStyle w:val="Compact"/>
                    <w:jc w:val="center"/>
                  </w:pPr>
                  <w:r>
                    <w:t>-1.3</w:t>
                  </w:r>
                </w:p>
              </w:tc>
              <w:tc>
                <w:tcPr>
                  <w:tcW w:w="577" w:type="dxa"/>
                </w:tcPr>
                <w:p w14:paraId="47E5518D" w14:textId="77777777" w:rsidR="005E30AF" w:rsidRDefault="005E30AF" w:rsidP="00EB37BA">
                  <w:pPr>
                    <w:pStyle w:val="Compact"/>
                    <w:jc w:val="center"/>
                  </w:pPr>
                  <w:r>
                    <w:t>+1.4</w:t>
                  </w:r>
                </w:p>
              </w:tc>
            </w:tr>
            <w:tr w:rsidR="005E30AF" w14:paraId="6203294C" w14:textId="77777777" w:rsidTr="002713D7">
              <w:tc>
                <w:tcPr>
                  <w:tcW w:w="576" w:type="dxa"/>
                </w:tcPr>
                <w:p w14:paraId="2FCDE7A2" w14:textId="77777777" w:rsidR="005E30AF" w:rsidRDefault="005E30AF" w:rsidP="00EB37BA">
                  <w:pPr>
                    <w:pStyle w:val="Compact"/>
                    <w:jc w:val="center"/>
                  </w:pPr>
                  <w:r>
                    <w:t>6</w:t>
                  </w:r>
                </w:p>
              </w:tc>
              <w:tc>
                <w:tcPr>
                  <w:tcW w:w="4507" w:type="dxa"/>
                </w:tcPr>
                <w:p w14:paraId="093C0254" w14:textId="77777777" w:rsidR="005E30AF" w:rsidRDefault="005E30AF" w:rsidP="00EB37BA">
                  <w:pPr>
                    <w:pStyle w:val="Compact"/>
                    <w:jc w:val="center"/>
                  </w:pPr>
                  <w:r>
                    <w:t>Hove Park School and Sixth Form Centre</w:t>
                  </w:r>
                </w:p>
              </w:tc>
              <w:tc>
                <w:tcPr>
                  <w:tcW w:w="925" w:type="dxa"/>
                </w:tcPr>
                <w:p w14:paraId="5E320723" w14:textId="77777777" w:rsidR="005E30AF" w:rsidRDefault="005E30AF" w:rsidP="00EB37BA">
                  <w:pPr>
                    <w:pStyle w:val="Compact"/>
                    <w:jc w:val="center"/>
                  </w:pPr>
                  <w:r>
                    <w:t>+1.5</w:t>
                  </w:r>
                </w:p>
              </w:tc>
              <w:tc>
                <w:tcPr>
                  <w:tcW w:w="925" w:type="dxa"/>
                </w:tcPr>
                <w:p w14:paraId="4048B384" w14:textId="77777777" w:rsidR="005E30AF" w:rsidRDefault="005E30AF" w:rsidP="00EB37BA">
                  <w:pPr>
                    <w:pStyle w:val="Compact"/>
                    <w:jc w:val="center"/>
                  </w:pPr>
                  <w:r>
                    <w:t>+0.9</w:t>
                  </w:r>
                </w:p>
              </w:tc>
              <w:tc>
                <w:tcPr>
                  <w:tcW w:w="925" w:type="dxa"/>
                </w:tcPr>
                <w:p w14:paraId="401B94B6" w14:textId="77777777" w:rsidR="005E30AF" w:rsidRDefault="005E30AF" w:rsidP="00EB37BA">
                  <w:pPr>
                    <w:pStyle w:val="Compact"/>
                    <w:jc w:val="center"/>
                  </w:pPr>
                  <w:r>
                    <w:t>+1.4</w:t>
                  </w:r>
                </w:p>
              </w:tc>
              <w:tc>
                <w:tcPr>
                  <w:tcW w:w="925" w:type="dxa"/>
                </w:tcPr>
                <w:p w14:paraId="7D24E813" w14:textId="77777777" w:rsidR="005E30AF" w:rsidRDefault="005E30AF" w:rsidP="00EB37BA">
                  <w:pPr>
                    <w:pStyle w:val="Compact"/>
                    <w:jc w:val="center"/>
                  </w:pPr>
                  <w:r>
                    <w:t>+0.4</w:t>
                  </w:r>
                </w:p>
              </w:tc>
              <w:tc>
                <w:tcPr>
                  <w:tcW w:w="577" w:type="dxa"/>
                </w:tcPr>
                <w:p w14:paraId="0BE81891" w14:textId="77777777" w:rsidR="005E30AF" w:rsidRDefault="005E30AF" w:rsidP="00EB37BA">
                  <w:pPr>
                    <w:pStyle w:val="Compact"/>
                    <w:jc w:val="center"/>
                  </w:pPr>
                  <w:r>
                    <w:t>+1.0</w:t>
                  </w:r>
                </w:p>
              </w:tc>
            </w:tr>
            <w:tr w:rsidR="005E30AF" w14:paraId="45576560" w14:textId="77777777" w:rsidTr="002713D7">
              <w:tc>
                <w:tcPr>
                  <w:tcW w:w="576" w:type="dxa"/>
                </w:tcPr>
                <w:p w14:paraId="2E543269" w14:textId="77777777" w:rsidR="005E30AF" w:rsidRDefault="005E30AF" w:rsidP="00EB37BA">
                  <w:pPr>
                    <w:pStyle w:val="Compact"/>
                    <w:jc w:val="center"/>
                  </w:pPr>
                  <w:r>
                    <w:t>7</w:t>
                  </w:r>
                </w:p>
              </w:tc>
              <w:tc>
                <w:tcPr>
                  <w:tcW w:w="4507" w:type="dxa"/>
                </w:tcPr>
                <w:p w14:paraId="6F1EABE6" w14:textId="77777777" w:rsidR="005E30AF" w:rsidRDefault="005E30AF" w:rsidP="00EB37BA">
                  <w:pPr>
                    <w:pStyle w:val="Compact"/>
                    <w:jc w:val="center"/>
                  </w:pPr>
                  <w:r>
                    <w:t>Blatchington Mill School</w:t>
                  </w:r>
                </w:p>
              </w:tc>
              <w:tc>
                <w:tcPr>
                  <w:tcW w:w="925" w:type="dxa"/>
                </w:tcPr>
                <w:p w14:paraId="06B59AE2" w14:textId="77777777" w:rsidR="005E30AF" w:rsidRDefault="005E30AF" w:rsidP="00EB37BA">
                  <w:pPr>
                    <w:pStyle w:val="Compact"/>
                    <w:jc w:val="center"/>
                  </w:pPr>
                  <w:r>
                    <w:t>-1.5</w:t>
                  </w:r>
                </w:p>
              </w:tc>
              <w:tc>
                <w:tcPr>
                  <w:tcW w:w="925" w:type="dxa"/>
                </w:tcPr>
                <w:p w14:paraId="00037B31" w14:textId="77777777" w:rsidR="005E30AF" w:rsidRDefault="005E30AF" w:rsidP="00EB37BA">
                  <w:pPr>
                    <w:pStyle w:val="Compact"/>
                    <w:jc w:val="center"/>
                  </w:pPr>
                  <w:r>
                    <w:t>-1.0</w:t>
                  </w:r>
                </w:p>
              </w:tc>
              <w:tc>
                <w:tcPr>
                  <w:tcW w:w="925" w:type="dxa"/>
                </w:tcPr>
                <w:p w14:paraId="2099A4ED" w14:textId="77777777" w:rsidR="005E30AF" w:rsidRDefault="005E30AF" w:rsidP="00EB37BA">
                  <w:pPr>
                    <w:pStyle w:val="Compact"/>
                    <w:jc w:val="center"/>
                  </w:pPr>
                  <w:r>
                    <w:t>+2.0</w:t>
                  </w:r>
                </w:p>
              </w:tc>
              <w:tc>
                <w:tcPr>
                  <w:tcW w:w="925" w:type="dxa"/>
                </w:tcPr>
                <w:p w14:paraId="4158CC53" w14:textId="77777777" w:rsidR="005E30AF" w:rsidRDefault="005E30AF" w:rsidP="00EB37BA">
                  <w:pPr>
                    <w:pStyle w:val="Compact"/>
                    <w:jc w:val="center"/>
                  </w:pPr>
                  <w:r>
                    <w:t>+2.4</w:t>
                  </w:r>
                </w:p>
              </w:tc>
              <w:tc>
                <w:tcPr>
                  <w:tcW w:w="577" w:type="dxa"/>
                </w:tcPr>
                <w:p w14:paraId="06A3649C" w14:textId="77777777" w:rsidR="005E30AF" w:rsidRDefault="005E30AF" w:rsidP="00EB37BA">
                  <w:pPr>
                    <w:pStyle w:val="Compact"/>
                    <w:jc w:val="center"/>
                  </w:pPr>
                  <w:r>
                    <w:t>+0.5</w:t>
                  </w:r>
                </w:p>
              </w:tc>
            </w:tr>
            <w:tr w:rsidR="005E30AF" w14:paraId="13AC1DCE" w14:textId="77777777" w:rsidTr="002713D7">
              <w:tc>
                <w:tcPr>
                  <w:tcW w:w="576" w:type="dxa"/>
                </w:tcPr>
                <w:p w14:paraId="44D8F043" w14:textId="77777777" w:rsidR="005E30AF" w:rsidRDefault="005E30AF" w:rsidP="00EB37BA">
                  <w:pPr>
                    <w:pStyle w:val="Compact"/>
                    <w:jc w:val="center"/>
                  </w:pPr>
                  <w:r>
                    <w:t>8</w:t>
                  </w:r>
                </w:p>
              </w:tc>
              <w:tc>
                <w:tcPr>
                  <w:tcW w:w="4507" w:type="dxa"/>
                </w:tcPr>
                <w:p w14:paraId="518612C1" w14:textId="77777777" w:rsidR="005E30AF" w:rsidRDefault="005E30AF" w:rsidP="00EB37BA">
                  <w:pPr>
                    <w:pStyle w:val="Compact"/>
                    <w:jc w:val="center"/>
                  </w:pPr>
                  <w:r>
                    <w:t>Cardinal Newman Catholic School</w:t>
                  </w:r>
                </w:p>
              </w:tc>
              <w:tc>
                <w:tcPr>
                  <w:tcW w:w="925" w:type="dxa"/>
                </w:tcPr>
                <w:p w14:paraId="1F8A5CD8" w14:textId="77777777" w:rsidR="005E30AF" w:rsidRDefault="005E30AF" w:rsidP="00EB37BA">
                  <w:pPr>
                    <w:pStyle w:val="Compact"/>
                    <w:jc w:val="center"/>
                  </w:pPr>
                  <w:r>
                    <w:t>+1.3</w:t>
                  </w:r>
                </w:p>
              </w:tc>
              <w:tc>
                <w:tcPr>
                  <w:tcW w:w="925" w:type="dxa"/>
                </w:tcPr>
                <w:p w14:paraId="1A187F12" w14:textId="77777777" w:rsidR="005E30AF" w:rsidRDefault="005E30AF" w:rsidP="00EB37BA">
                  <w:pPr>
                    <w:pStyle w:val="Compact"/>
                    <w:jc w:val="center"/>
                  </w:pPr>
                  <w:r>
                    <w:t>-2.2</w:t>
                  </w:r>
                </w:p>
              </w:tc>
              <w:tc>
                <w:tcPr>
                  <w:tcW w:w="925" w:type="dxa"/>
                </w:tcPr>
                <w:p w14:paraId="38CF9CA6" w14:textId="77777777" w:rsidR="005E30AF" w:rsidRDefault="005E30AF" w:rsidP="00EB37BA">
                  <w:pPr>
                    <w:pStyle w:val="Compact"/>
                    <w:jc w:val="center"/>
                  </w:pPr>
                  <w:r>
                    <w:t>+1.3</w:t>
                  </w:r>
                </w:p>
              </w:tc>
              <w:tc>
                <w:tcPr>
                  <w:tcW w:w="925" w:type="dxa"/>
                </w:tcPr>
                <w:p w14:paraId="0FB94E3F" w14:textId="77777777" w:rsidR="005E30AF" w:rsidRDefault="005E30AF" w:rsidP="00EB37BA">
                  <w:pPr>
                    <w:pStyle w:val="Compact"/>
                    <w:jc w:val="center"/>
                  </w:pPr>
                  <w:r>
                    <w:t>-1.5</w:t>
                  </w:r>
                </w:p>
              </w:tc>
              <w:tc>
                <w:tcPr>
                  <w:tcW w:w="577" w:type="dxa"/>
                </w:tcPr>
                <w:p w14:paraId="52FB745E" w14:textId="77777777" w:rsidR="005E30AF" w:rsidRDefault="005E30AF" w:rsidP="00EB37BA">
                  <w:pPr>
                    <w:pStyle w:val="Compact"/>
                    <w:jc w:val="center"/>
                  </w:pPr>
                  <w:r>
                    <w:t>-0.3</w:t>
                  </w:r>
                </w:p>
              </w:tc>
            </w:tr>
            <w:tr w:rsidR="005E30AF" w14:paraId="0B9F660F" w14:textId="77777777" w:rsidTr="002713D7">
              <w:tc>
                <w:tcPr>
                  <w:tcW w:w="576" w:type="dxa"/>
                </w:tcPr>
                <w:p w14:paraId="4D0031A4" w14:textId="77777777" w:rsidR="005E30AF" w:rsidRDefault="005E30AF" w:rsidP="00EB37BA">
                  <w:pPr>
                    <w:pStyle w:val="Compact"/>
                    <w:jc w:val="center"/>
                  </w:pPr>
                  <w:r>
                    <w:t>9</w:t>
                  </w:r>
                </w:p>
              </w:tc>
              <w:tc>
                <w:tcPr>
                  <w:tcW w:w="4507" w:type="dxa"/>
                </w:tcPr>
                <w:p w14:paraId="1B7D3733" w14:textId="77777777" w:rsidR="005E30AF" w:rsidRDefault="005E30AF" w:rsidP="00EB37BA">
                  <w:pPr>
                    <w:pStyle w:val="Compact"/>
                    <w:jc w:val="center"/>
                  </w:pPr>
                  <w:r>
                    <w:t>Longhill High School</w:t>
                  </w:r>
                </w:p>
              </w:tc>
              <w:tc>
                <w:tcPr>
                  <w:tcW w:w="925" w:type="dxa"/>
                </w:tcPr>
                <w:p w14:paraId="2DBB521B" w14:textId="77777777" w:rsidR="005E30AF" w:rsidRDefault="005E30AF" w:rsidP="00EB37BA">
                  <w:pPr>
                    <w:pStyle w:val="Compact"/>
                    <w:jc w:val="center"/>
                  </w:pPr>
                  <w:r>
                    <w:t>-0.2</w:t>
                  </w:r>
                </w:p>
              </w:tc>
              <w:tc>
                <w:tcPr>
                  <w:tcW w:w="925" w:type="dxa"/>
                </w:tcPr>
                <w:p w14:paraId="0649A097" w14:textId="77777777" w:rsidR="005E30AF" w:rsidRDefault="005E30AF" w:rsidP="00EB37BA">
                  <w:pPr>
                    <w:pStyle w:val="Compact"/>
                    <w:jc w:val="center"/>
                  </w:pPr>
                  <w:r>
                    <w:t>-2.3</w:t>
                  </w:r>
                </w:p>
              </w:tc>
              <w:tc>
                <w:tcPr>
                  <w:tcW w:w="925" w:type="dxa"/>
                </w:tcPr>
                <w:p w14:paraId="51A27EF8" w14:textId="77777777" w:rsidR="005E30AF" w:rsidRDefault="005E30AF" w:rsidP="00EB37BA">
                  <w:pPr>
                    <w:pStyle w:val="Compact"/>
                    <w:jc w:val="center"/>
                  </w:pPr>
                  <w:r>
                    <w:t>-1.1</w:t>
                  </w:r>
                </w:p>
              </w:tc>
              <w:tc>
                <w:tcPr>
                  <w:tcW w:w="925" w:type="dxa"/>
                </w:tcPr>
                <w:p w14:paraId="61EDE02F" w14:textId="77777777" w:rsidR="005E30AF" w:rsidRDefault="005E30AF" w:rsidP="00EB37BA">
                  <w:pPr>
                    <w:pStyle w:val="Compact"/>
                    <w:jc w:val="center"/>
                  </w:pPr>
                  <w:r>
                    <w:t>-2.5</w:t>
                  </w:r>
                </w:p>
              </w:tc>
              <w:tc>
                <w:tcPr>
                  <w:tcW w:w="577" w:type="dxa"/>
                </w:tcPr>
                <w:p w14:paraId="7DBE6115" w14:textId="77777777" w:rsidR="005E30AF" w:rsidRDefault="005E30AF" w:rsidP="00EB37BA">
                  <w:pPr>
                    <w:pStyle w:val="Compact"/>
                    <w:jc w:val="center"/>
                  </w:pPr>
                  <w:r>
                    <w:t>-1.5</w:t>
                  </w:r>
                </w:p>
              </w:tc>
            </w:tr>
            <w:tr w:rsidR="005E30AF" w14:paraId="24D7C942" w14:textId="77777777" w:rsidTr="002713D7">
              <w:tc>
                <w:tcPr>
                  <w:tcW w:w="576" w:type="dxa"/>
                </w:tcPr>
                <w:p w14:paraId="7D1AF1A3" w14:textId="77777777" w:rsidR="005E30AF" w:rsidRDefault="005E30AF" w:rsidP="00EB37BA">
                  <w:pPr>
                    <w:pStyle w:val="Compact"/>
                    <w:jc w:val="center"/>
                  </w:pPr>
                  <w:r>
                    <w:t>10</w:t>
                  </w:r>
                </w:p>
              </w:tc>
              <w:tc>
                <w:tcPr>
                  <w:tcW w:w="4507" w:type="dxa"/>
                </w:tcPr>
                <w:p w14:paraId="0DB4F028" w14:textId="77777777" w:rsidR="005E30AF" w:rsidRDefault="005E30AF" w:rsidP="00EB37BA">
                  <w:pPr>
                    <w:pStyle w:val="Compact"/>
                    <w:jc w:val="center"/>
                  </w:pPr>
                  <w:r>
                    <w:t>Patcham High School</w:t>
                  </w:r>
                </w:p>
              </w:tc>
              <w:tc>
                <w:tcPr>
                  <w:tcW w:w="925" w:type="dxa"/>
                </w:tcPr>
                <w:p w14:paraId="716DDE68" w14:textId="77777777" w:rsidR="005E30AF" w:rsidRDefault="005E30AF" w:rsidP="00EB37BA">
                  <w:pPr>
                    <w:pStyle w:val="Compact"/>
                    <w:jc w:val="center"/>
                  </w:pPr>
                  <w:r>
                    <w:t>-2.7</w:t>
                  </w:r>
                </w:p>
              </w:tc>
              <w:tc>
                <w:tcPr>
                  <w:tcW w:w="925" w:type="dxa"/>
                </w:tcPr>
                <w:p w14:paraId="1EFA3E9C" w14:textId="77777777" w:rsidR="005E30AF" w:rsidRDefault="005E30AF" w:rsidP="00EB37BA">
                  <w:pPr>
                    <w:pStyle w:val="Compact"/>
                    <w:jc w:val="center"/>
                  </w:pPr>
                  <w:r>
                    <w:t>-2.8</w:t>
                  </w:r>
                </w:p>
              </w:tc>
              <w:tc>
                <w:tcPr>
                  <w:tcW w:w="925" w:type="dxa"/>
                </w:tcPr>
                <w:p w14:paraId="01409FD9" w14:textId="77777777" w:rsidR="005E30AF" w:rsidRDefault="005E30AF" w:rsidP="00EB37BA">
                  <w:pPr>
                    <w:pStyle w:val="Compact"/>
                    <w:jc w:val="center"/>
                  </w:pPr>
                  <w:r>
                    <w:t>-4.4</w:t>
                  </w:r>
                </w:p>
              </w:tc>
              <w:tc>
                <w:tcPr>
                  <w:tcW w:w="925" w:type="dxa"/>
                </w:tcPr>
                <w:p w14:paraId="2740EBA6" w14:textId="77777777" w:rsidR="005E30AF" w:rsidRDefault="005E30AF" w:rsidP="00EB37BA">
                  <w:pPr>
                    <w:pStyle w:val="Compact"/>
                    <w:jc w:val="center"/>
                  </w:pPr>
                  <w:r>
                    <w:t>-2.9</w:t>
                  </w:r>
                </w:p>
              </w:tc>
              <w:tc>
                <w:tcPr>
                  <w:tcW w:w="577" w:type="dxa"/>
                </w:tcPr>
                <w:p w14:paraId="009D1268" w14:textId="77777777" w:rsidR="005E30AF" w:rsidRDefault="005E30AF" w:rsidP="00EB37BA">
                  <w:pPr>
                    <w:pStyle w:val="Compact"/>
                    <w:jc w:val="center"/>
                  </w:pPr>
                  <w:r>
                    <w:t>-3.2</w:t>
                  </w:r>
                </w:p>
              </w:tc>
            </w:tr>
            <w:tr w:rsidR="002713D7" w14:paraId="44A7157B" w14:textId="77777777" w:rsidTr="00F1493B">
              <w:tc>
                <w:tcPr>
                  <w:tcW w:w="9360" w:type="dxa"/>
                  <w:gridSpan w:val="7"/>
                </w:tcPr>
                <w:p w14:paraId="16D00045" w14:textId="18061BB6" w:rsidR="002713D7" w:rsidRDefault="002713D7" w:rsidP="002713D7">
                  <w:pPr>
                    <w:pStyle w:val="Compact"/>
                  </w:pPr>
                  <w:r w:rsidRPr="00440721">
                    <w:rPr>
                      <w:b/>
                      <w:bCs/>
                      <w:i/>
                      <w:iCs/>
                    </w:rPr>
                    <w:t>Disadvantaged Pupils</w:t>
                  </w:r>
                </w:p>
              </w:tc>
            </w:tr>
            <w:tr w:rsidR="005E30AF" w14:paraId="29F2ABF4" w14:textId="77777777" w:rsidTr="002713D7">
              <w:tc>
                <w:tcPr>
                  <w:tcW w:w="576" w:type="dxa"/>
                </w:tcPr>
                <w:p w14:paraId="05509DEB" w14:textId="77777777" w:rsidR="005E30AF" w:rsidRDefault="005E30AF" w:rsidP="00EB37BA">
                  <w:pPr>
                    <w:pStyle w:val="Compact"/>
                    <w:jc w:val="center"/>
                  </w:pPr>
                  <w:r>
                    <w:t>1</w:t>
                  </w:r>
                </w:p>
              </w:tc>
              <w:tc>
                <w:tcPr>
                  <w:tcW w:w="4507" w:type="dxa"/>
                </w:tcPr>
                <w:p w14:paraId="00C6F8CC" w14:textId="77777777" w:rsidR="005E30AF" w:rsidRDefault="005E30AF" w:rsidP="00EB37BA">
                  <w:pPr>
                    <w:pStyle w:val="Compact"/>
                    <w:jc w:val="center"/>
                  </w:pPr>
                  <w:r>
                    <w:t>Brighton Aldridge Community Academy</w:t>
                  </w:r>
                </w:p>
              </w:tc>
              <w:tc>
                <w:tcPr>
                  <w:tcW w:w="925" w:type="dxa"/>
                </w:tcPr>
                <w:p w14:paraId="6C4354F7" w14:textId="77777777" w:rsidR="005E30AF" w:rsidRDefault="005E30AF" w:rsidP="00EB37BA">
                  <w:pPr>
                    <w:pStyle w:val="Compact"/>
                    <w:jc w:val="center"/>
                  </w:pPr>
                  <w:r>
                    <w:t>+3.1</w:t>
                  </w:r>
                </w:p>
              </w:tc>
              <w:tc>
                <w:tcPr>
                  <w:tcW w:w="925" w:type="dxa"/>
                </w:tcPr>
                <w:p w14:paraId="6E1F8409" w14:textId="77777777" w:rsidR="005E30AF" w:rsidRDefault="005E30AF" w:rsidP="00EB37BA">
                  <w:pPr>
                    <w:pStyle w:val="Compact"/>
                    <w:jc w:val="center"/>
                  </w:pPr>
                  <w:r>
                    <w:t>-1.3</w:t>
                  </w:r>
                </w:p>
              </w:tc>
              <w:tc>
                <w:tcPr>
                  <w:tcW w:w="925" w:type="dxa"/>
                </w:tcPr>
                <w:p w14:paraId="4A193FD6" w14:textId="77777777" w:rsidR="005E30AF" w:rsidRDefault="005E30AF" w:rsidP="00EB37BA">
                  <w:pPr>
                    <w:pStyle w:val="Compact"/>
                    <w:jc w:val="center"/>
                  </w:pPr>
                  <w:r>
                    <w:t>+4.6</w:t>
                  </w:r>
                </w:p>
              </w:tc>
              <w:tc>
                <w:tcPr>
                  <w:tcW w:w="925" w:type="dxa"/>
                </w:tcPr>
                <w:p w14:paraId="45B2C43E" w14:textId="77777777" w:rsidR="005E30AF" w:rsidRDefault="005E30AF" w:rsidP="00EB37BA">
                  <w:pPr>
                    <w:pStyle w:val="Compact"/>
                    <w:jc w:val="center"/>
                  </w:pPr>
                  <w:r>
                    <w:t>+5.7</w:t>
                  </w:r>
                </w:p>
              </w:tc>
              <w:tc>
                <w:tcPr>
                  <w:tcW w:w="577" w:type="dxa"/>
                </w:tcPr>
                <w:p w14:paraId="761F4DA5" w14:textId="77777777" w:rsidR="005E30AF" w:rsidRDefault="005E30AF" w:rsidP="00EB37BA">
                  <w:pPr>
                    <w:pStyle w:val="Compact"/>
                    <w:jc w:val="center"/>
                  </w:pPr>
                  <w:r>
                    <w:t>+3.1</w:t>
                  </w:r>
                </w:p>
              </w:tc>
            </w:tr>
            <w:tr w:rsidR="005E30AF" w14:paraId="088EDE45" w14:textId="77777777" w:rsidTr="002713D7">
              <w:tc>
                <w:tcPr>
                  <w:tcW w:w="576" w:type="dxa"/>
                </w:tcPr>
                <w:p w14:paraId="5DBB709A" w14:textId="77777777" w:rsidR="005E30AF" w:rsidRDefault="005E30AF" w:rsidP="00EB37BA">
                  <w:pPr>
                    <w:pStyle w:val="Compact"/>
                    <w:jc w:val="center"/>
                  </w:pPr>
                  <w:r>
                    <w:t>2</w:t>
                  </w:r>
                </w:p>
              </w:tc>
              <w:tc>
                <w:tcPr>
                  <w:tcW w:w="4507" w:type="dxa"/>
                </w:tcPr>
                <w:p w14:paraId="7ADBB04A" w14:textId="77777777" w:rsidR="005E30AF" w:rsidRDefault="005E30AF" w:rsidP="00EB37BA">
                  <w:pPr>
                    <w:pStyle w:val="Compact"/>
                    <w:jc w:val="center"/>
                  </w:pPr>
                  <w:proofErr w:type="spellStart"/>
                  <w:r>
                    <w:t>Varndean</w:t>
                  </w:r>
                  <w:proofErr w:type="spellEnd"/>
                  <w:r>
                    <w:t xml:space="preserve"> School</w:t>
                  </w:r>
                </w:p>
              </w:tc>
              <w:tc>
                <w:tcPr>
                  <w:tcW w:w="925" w:type="dxa"/>
                </w:tcPr>
                <w:p w14:paraId="5906F9BF" w14:textId="77777777" w:rsidR="005E30AF" w:rsidRDefault="005E30AF" w:rsidP="00EB37BA">
                  <w:pPr>
                    <w:pStyle w:val="Compact"/>
                    <w:jc w:val="center"/>
                  </w:pPr>
                  <w:r>
                    <w:t>+2.2</w:t>
                  </w:r>
                </w:p>
              </w:tc>
              <w:tc>
                <w:tcPr>
                  <w:tcW w:w="925" w:type="dxa"/>
                </w:tcPr>
                <w:p w14:paraId="7BA7FFC1" w14:textId="77777777" w:rsidR="005E30AF" w:rsidRDefault="005E30AF" w:rsidP="00EB37BA">
                  <w:pPr>
                    <w:pStyle w:val="Compact"/>
                    <w:jc w:val="center"/>
                  </w:pPr>
                  <w:r>
                    <w:t>+3.2</w:t>
                  </w:r>
                </w:p>
              </w:tc>
              <w:tc>
                <w:tcPr>
                  <w:tcW w:w="925" w:type="dxa"/>
                </w:tcPr>
                <w:p w14:paraId="770B9A7A" w14:textId="77777777" w:rsidR="005E30AF" w:rsidRDefault="005E30AF" w:rsidP="00EB37BA">
                  <w:pPr>
                    <w:pStyle w:val="Compact"/>
                    <w:jc w:val="center"/>
                  </w:pPr>
                  <w:r>
                    <w:t>+3.9</w:t>
                  </w:r>
                </w:p>
              </w:tc>
              <w:tc>
                <w:tcPr>
                  <w:tcW w:w="925" w:type="dxa"/>
                </w:tcPr>
                <w:p w14:paraId="133234D5" w14:textId="77777777" w:rsidR="005E30AF" w:rsidRDefault="005E30AF" w:rsidP="00EB37BA">
                  <w:pPr>
                    <w:pStyle w:val="Compact"/>
                    <w:jc w:val="center"/>
                  </w:pPr>
                  <w:r>
                    <w:t>-2.4</w:t>
                  </w:r>
                </w:p>
              </w:tc>
              <w:tc>
                <w:tcPr>
                  <w:tcW w:w="577" w:type="dxa"/>
                </w:tcPr>
                <w:p w14:paraId="08218242" w14:textId="77777777" w:rsidR="005E30AF" w:rsidRDefault="005E30AF" w:rsidP="00EB37BA">
                  <w:pPr>
                    <w:pStyle w:val="Compact"/>
                    <w:jc w:val="center"/>
                  </w:pPr>
                  <w:r>
                    <w:t>+1.7</w:t>
                  </w:r>
                </w:p>
              </w:tc>
            </w:tr>
            <w:tr w:rsidR="005E30AF" w14:paraId="73F7DDCE" w14:textId="77777777" w:rsidTr="002713D7">
              <w:tc>
                <w:tcPr>
                  <w:tcW w:w="576" w:type="dxa"/>
                </w:tcPr>
                <w:p w14:paraId="6BF1AAB2" w14:textId="77777777" w:rsidR="005E30AF" w:rsidRDefault="005E30AF" w:rsidP="00EB37BA">
                  <w:pPr>
                    <w:pStyle w:val="Compact"/>
                    <w:jc w:val="center"/>
                  </w:pPr>
                  <w:r>
                    <w:t>3</w:t>
                  </w:r>
                </w:p>
              </w:tc>
              <w:tc>
                <w:tcPr>
                  <w:tcW w:w="4507" w:type="dxa"/>
                </w:tcPr>
                <w:p w14:paraId="312E6042" w14:textId="77777777" w:rsidR="005E30AF" w:rsidRDefault="005E30AF" w:rsidP="00EB37BA">
                  <w:pPr>
                    <w:pStyle w:val="Compact"/>
                    <w:jc w:val="center"/>
                  </w:pPr>
                  <w:r>
                    <w:t>Cardinal Newman Catholic School</w:t>
                  </w:r>
                </w:p>
              </w:tc>
              <w:tc>
                <w:tcPr>
                  <w:tcW w:w="925" w:type="dxa"/>
                </w:tcPr>
                <w:p w14:paraId="5B2F858A" w14:textId="77777777" w:rsidR="005E30AF" w:rsidRDefault="005E30AF" w:rsidP="00EB37BA">
                  <w:pPr>
                    <w:pStyle w:val="Compact"/>
                    <w:jc w:val="center"/>
                  </w:pPr>
                  <w:r>
                    <w:t>+2.9</w:t>
                  </w:r>
                </w:p>
              </w:tc>
              <w:tc>
                <w:tcPr>
                  <w:tcW w:w="925" w:type="dxa"/>
                </w:tcPr>
                <w:p w14:paraId="4922D680" w14:textId="77777777" w:rsidR="005E30AF" w:rsidRDefault="005E30AF" w:rsidP="00EB37BA">
                  <w:pPr>
                    <w:pStyle w:val="Compact"/>
                    <w:jc w:val="center"/>
                  </w:pPr>
                  <w:r>
                    <w:t>-5.4</w:t>
                  </w:r>
                </w:p>
              </w:tc>
              <w:tc>
                <w:tcPr>
                  <w:tcW w:w="925" w:type="dxa"/>
                </w:tcPr>
                <w:p w14:paraId="588BBE65" w14:textId="77777777" w:rsidR="005E30AF" w:rsidRDefault="005E30AF" w:rsidP="00EB37BA">
                  <w:pPr>
                    <w:pStyle w:val="Compact"/>
                    <w:jc w:val="center"/>
                  </w:pPr>
                  <w:r>
                    <w:t>+6.5</w:t>
                  </w:r>
                </w:p>
              </w:tc>
              <w:tc>
                <w:tcPr>
                  <w:tcW w:w="925" w:type="dxa"/>
                </w:tcPr>
                <w:p w14:paraId="041416FD" w14:textId="77777777" w:rsidR="005E30AF" w:rsidRDefault="005E30AF" w:rsidP="00EB37BA">
                  <w:pPr>
                    <w:pStyle w:val="Compact"/>
                    <w:jc w:val="center"/>
                  </w:pPr>
                  <w:r>
                    <w:t>+2.3</w:t>
                  </w:r>
                </w:p>
              </w:tc>
              <w:tc>
                <w:tcPr>
                  <w:tcW w:w="577" w:type="dxa"/>
                </w:tcPr>
                <w:p w14:paraId="11C2A9C6" w14:textId="77777777" w:rsidR="005E30AF" w:rsidRDefault="005E30AF" w:rsidP="00EB37BA">
                  <w:pPr>
                    <w:pStyle w:val="Compact"/>
                    <w:jc w:val="center"/>
                  </w:pPr>
                  <w:r>
                    <w:t>+1.6</w:t>
                  </w:r>
                </w:p>
              </w:tc>
            </w:tr>
            <w:tr w:rsidR="005E30AF" w14:paraId="08D8F753" w14:textId="77777777" w:rsidTr="002713D7">
              <w:tc>
                <w:tcPr>
                  <w:tcW w:w="576" w:type="dxa"/>
                </w:tcPr>
                <w:p w14:paraId="07050F9E" w14:textId="77777777" w:rsidR="005E30AF" w:rsidRDefault="005E30AF" w:rsidP="00EB37BA">
                  <w:pPr>
                    <w:pStyle w:val="Compact"/>
                    <w:jc w:val="center"/>
                  </w:pPr>
                  <w:r>
                    <w:t>4</w:t>
                  </w:r>
                </w:p>
              </w:tc>
              <w:tc>
                <w:tcPr>
                  <w:tcW w:w="4507" w:type="dxa"/>
                </w:tcPr>
                <w:p w14:paraId="6834C38A" w14:textId="77777777" w:rsidR="005E30AF" w:rsidRDefault="005E30AF" w:rsidP="00EB37BA">
                  <w:pPr>
                    <w:pStyle w:val="Compact"/>
                    <w:jc w:val="center"/>
                  </w:pPr>
                  <w:r>
                    <w:t>Dorothy Stringer School</w:t>
                  </w:r>
                </w:p>
              </w:tc>
              <w:tc>
                <w:tcPr>
                  <w:tcW w:w="925" w:type="dxa"/>
                </w:tcPr>
                <w:p w14:paraId="4B3E663D" w14:textId="77777777" w:rsidR="005E30AF" w:rsidRDefault="005E30AF" w:rsidP="00EB37BA">
                  <w:pPr>
                    <w:pStyle w:val="Compact"/>
                    <w:jc w:val="center"/>
                  </w:pPr>
                  <w:r>
                    <w:t>+2.2</w:t>
                  </w:r>
                </w:p>
              </w:tc>
              <w:tc>
                <w:tcPr>
                  <w:tcW w:w="925" w:type="dxa"/>
                </w:tcPr>
                <w:p w14:paraId="33E51B96" w14:textId="77777777" w:rsidR="005E30AF" w:rsidRDefault="005E30AF" w:rsidP="00EB37BA">
                  <w:pPr>
                    <w:pStyle w:val="Compact"/>
                    <w:jc w:val="center"/>
                  </w:pPr>
                  <w:r>
                    <w:t>+2.6</w:t>
                  </w:r>
                </w:p>
              </w:tc>
              <w:tc>
                <w:tcPr>
                  <w:tcW w:w="925" w:type="dxa"/>
                </w:tcPr>
                <w:p w14:paraId="776012C5" w14:textId="77777777" w:rsidR="005E30AF" w:rsidRDefault="005E30AF" w:rsidP="00EB37BA">
                  <w:pPr>
                    <w:pStyle w:val="Compact"/>
                    <w:jc w:val="center"/>
                  </w:pPr>
                  <w:r>
                    <w:t>-0.2</w:t>
                  </w:r>
                </w:p>
              </w:tc>
              <w:tc>
                <w:tcPr>
                  <w:tcW w:w="925" w:type="dxa"/>
                </w:tcPr>
                <w:p w14:paraId="3BBD0222" w14:textId="77777777" w:rsidR="005E30AF" w:rsidRDefault="005E30AF" w:rsidP="00EB37BA">
                  <w:pPr>
                    <w:pStyle w:val="Compact"/>
                    <w:jc w:val="center"/>
                  </w:pPr>
                  <w:r>
                    <w:t>+1.4</w:t>
                  </w:r>
                </w:p>
              </w:tc>
              <w:tc>
                <w:tcPr>
                  <w:tcW w:w="577" w:type="dxa"/>
                </w:tcPr>
                <w:p w14:paraId="5D07A1D9" w14:textId="77777777" w:rsidR="005E30AF" w:rsidRDefault="005E30AF" w:rsidP="00EB37BA">
                  <w:pPr>
                    <w:pStyle w:val="Compact"/>
                    <w:jc w:val="center"/>
                  </w:pPr>
                  <w:r>
                    <w:t>+1.5</w:t>
                  </w:r>
                </w:p>
              </w:tc>
            </w:tr>
            <w:tr w:rsidR="005E30AF" w14:paraId="487946FF" w14:textId="77777777" w:rsidTr="002713D7">
              <w:tc>
                <w:tcPr>
                  <w:tcW w:w="576" w:type="dxa"/>
                </w:tcPr>
                <w:p w14:paraId="0694D770" w14:textId="77777777" w:rsidR="005E30AF" w:rsidRDefault="005E30AF" w:rsidP="00EB37BA">
                  <w:pPr>
                    <w:pStyle w:val="Compact"/>
                    <w:jc w:val="center"/>
                  </w:pPr>
                  <w:r>
                    <w:t>5</w:t>
                  </w:r>
                </w:p>
              </w:tc>
              <w:tc>
                <w:tcPr>
                  <w:tcW w:w="4507" w:type="dxa"/>
                </w:tcPr>
                <w:p w14:paraId="1719A494" w14:textId="77777777" w:rsidR="005E30AF" w:rsidRDefault="005E30AF" w:rsidP="00EB37BA">
                  <w:pPr>
                    <w:pStyle w:val="Compact"/>
                    <w:jc w:val="center"/>
                  </w:pPr>
                  <w:r>
                    <w:t>Blatchington Mill School</w:t>
                  </w:r>
                </w:p>
              </w:tc>
              <w:tc>
                <w:tcPr>
                  <w:tcW w:w="925" w:type="dxa"/>
                </w:tcPr>
                <w:p w14:paraId="4DCB80C8" w14:textId="77777777" w:rsidR="005E30AF" w:rsidRDefault="005E30AF" w:rsidP="00EB37BA">
                  <w:pPr>
                    <w:pStyle w:val="Compact"/>
                    <w:jc w:val="center"/>
                  </w:pPr>
                  <w:r>
                    <w:t>-5.0</w:t>
                  </w:r>
                </w:p>
              </w:tc>
              <w:tc>
                <w:tcPr>
                  <w:tcW w:w="925" w:type="dxa"/>
                </w:tcPr>
                <w:p w14:paraId="13184948" w14:textId="77777777" w:rsidR="005E30AF" w:rsidRDefault="005E30AF" w:rsidP="00EB37BA">
                  <w:pPr>
                    <w:pStyle w:val="Compact"/>
                    <w:jc w:val="center"/>
                  </w:pPr>
                  <w:r>
                    <w:t>+1.1</w:t>
                  </w:r>
                </w:p>
              </w:tc>
              <w:tc>
                <w:tcPr>
                  <w:tcW w:w="925" w:type="dxa"/>
                </w:tcPr>
                <w:p w14:paraId="25C013B8" w14:textId="77777777" w:rsidR="005E30AF" w:rsidRDefault="005E30AF" w:rsidP="00EB37BA">
                  <w:pPr>
                    <w:pStyle w:val="Compact"/>
                    <w:jc w:val="center"/>
                  </w:pPr>
                  <w:r>
                    <w:t>+4.7</w:t>
                  </w:r>
                </w:p>
              </w:tc>
              <w:tc>
                <w:tcPr>
                  <w:tcW w:w="925" w:type="dxa"/>
                </w:tcPr>
                <w:p w14:paraId="54C13509" w14:textId="77777777" w:rsidR="005E30AF" w:rsidRDefault="005E30AF" w:rsidP="00EB37BA">
                  <w:pPr>
                    <w:pStyle w:val="Compact"/>
                    <w:jc w:val="center"/>
                  </w:pPr>
                  <w:r>
                    <w:t>+2.9</w:t>
                  </w:r>
                </w:p>
              </w:tc>
              <w:tc>
                <w:tcPr>
                  <w:tcW w:w="577" w:type="dxa"/>
                </w:tcPr>
                <w:p w14:paraId="131C8725" w14:textId="77777777" w:rsidR="005E30AF" w:rsidRDefault="005E30AF" w:rsidP="00EB37BA">
                  <w:pPr>
                    <w:pStyle w:val="Compact"/>
                    <w:jc w:val="center"/>
                  </w:pPr>
                  <w:r>
                    <w:t>+0.9</w:t>
                  </w:r>
                </w:p>
              </w:tc>
            </w:tr>
            <w:tr w:rsidR="005E30AF" w14:paraId="61A1AD52" w14:textId="77777777" w:rsidTr="002713D7">
              <w:tc>
                <w:tcPr>
                  <w:tcW w:w="576" w:type="dxa"/>
                </w:tcPr>
                <w:p w14:paraId="6FA57316" w14:textId="77777777" w:rsidR="005E30AF" w:rsidRDefault="005E30AF" w:rsidP="00EB37BA">
                  <w:pPr>
                    <w:pStyle w:val="Compact"/>
                    <w:jc w:val="center"/>
                  </w:pPr>
                  <w:r>
                    <w:t>6</w:t>
                  </w:r>
                </w:p>
              </w:tc>
              <w:tc>
                <w:tcPr>
                  <w:tcW w:w="4507" w:type="dxa"/>
                </w:tcPr>
                <w:p w14:paraId="393CF3A7" w14:textId="77777777" w:rsidR="005E30AF" w:rsidRDefault="005E30AF" w:rsidP="00EB37BA">
                  <w:pPr>
                    <w:pStyle w:val="Compact"/>
                    <w:jc w:val="center"/>
                  </w:pPr>
                  <w:r>
                    <w:t>King’s School</w:t>
                  </w:r>
                </w:p>
              </w:tc>
              <w:tc>
                <w:tcPr>
                  <w:tcW w:w="925" w:type="dxa"/>
                </w:tcPr>
                <w:p w14:paraId="725C0D6E" w14:textId="77777777" w:rsidR="005E30AF" w:rsidRDefault="005E30AF" w:rsidP="00EB37BA">
                  <w:pPr>
                    <w:pStyle w:val="Compact"/>
                    <w:jc w:val="center"/>
                  </w:pPr>
                  <w:r>
                    <w:t>+4.8</w:t>
                  </w:r>
                </w:p>
              </w:tc>
              <w:tc>
                <w:tcPr>
                  <w:tcW w:w="925" w:type="dxa"/>
                </w:tcPr>
                <w:p w14:paraId="507C24E7" w14:textId="77777777" w:rsidR="005E30AF" w:rsidRDefault="005E30AF" w:rsidP="00EB37BA">
                  <w:pPr>
                    <w:pStyle w:val="Compact"/>
                    <w:jc w:val="center"/>
                  </w:pPr>
                  <w:r>
                    <w:t>+1.4</w:t>
                  </w:r>
                </w:p>
              </w:tc>
              <w:tc>
                <w:tcPr>
                  <w:tcW w:w="925" w:type="dxa"/>
                </w:tcPr>
                <w:p w14:paraId="45A09A25" w14:textId="77777777" w:rsidR="005E30AF" w:rsidRDefault="005E30AF" w:rsidP="00EB37BA">
                  <w:pPr>
                    <w:pStyle w:val="Compact"/>
                    <w:jc w:val="center"/>
                  </w:pPr>
                  <w:r>
                    <w:t>+3.8</w:t>
                  </w:r>
                </w:p>
              </w:tc>
              <w:tc>
                <w:tcPr>
                  <w:tcW w:w="925" w:type="dxa"/>
                </w:tcPr>
                <w:p w14:paraId="3D464A51" w14:textId="77777777" w:rsidR="005E30AF" w:rsidRDefault="005E30AF" w:rsidP="00EB37BA">
                  <w:pPr>
                    <w:pStyle w:val="Compact"/>
                    <w:jc w:val="center"/>
                  </w:pPr>
                  <w:r>
                    <w:t>-6.2</w:t>
                  </w:r>
                </w:p>
              </w:tc>
              <w:tc>
                <w:tcPr>
                  <w:tcW w:w="577" w:type="dxa"/>
                </w:tcPr>
                <w:p w14:paraId="4C9DED33" w14:textId="77777777" w:rsidR="005E30AF" w:rsidRDefault="005E30AF" w:rsidP="00EB37BA">
                  <w:pPr>
                    <w:pStyle w:val="Compact"/>
                    <w:jc w:val="center"/>
                  </w:pPr>
                  <w:r>
                    <w:t>+0.9</w:t>
                  </w:r>
                </w:p>
              </w:tc>
            </w:tr>
            <w:tr w:rsidR="005E30AF" w14:paraId="1063494F" w14:textId="77777777" w:rsidTr="002713D7">
              <w:tc>
                <w:tcPr>
                  <w:tcW w:w="576" w:type="dxa"/>
                </w:tcPr>
                <w:p w14:paraId="1282FCEE" w14:textId="77777777" w:rsidR="005E30AF" w:rsidRDefault="005E30AF" w:rsidP="00EB37BA">
                  <w:pPr>
                    <w:pStyle w:val="Compact"/>
                    <w:jc w:val="center"/>
                  </w:pPr>
                  <w:r>
                    <w:t>7</w:t>
                  </w:r>
                </w:p>
              </w:tc>
              <w:tc>
                <w:tcPr>
                  <w:tcW w:w="4507" w:type="dxa"/>
                </w:tcPr>
                <w:p w14:paraId="462DFDA5" w14:textId="77777777" w:rsidR="005E30AF" w:rsidRDefault="005E30AF" w:rsidP="00EB37BA">
                  <w:pPr>
                    <w:pStyle w:val="Compact"/>
                    <w:jc w:val="center"/>
                  </w:pPr>
                  <w:r>
                    <w:t>Hove Park School and Sixth Form Centre</w:t>
                  </w:r>
                </w:p>
              </w:tc>
              <w:tc>
                <w:tcPr>
                  <w:tcW w:w="925" w:type="dxa"/>
                </w:tcPr>
                <w:p w14:paraId="6D686BD8" w14:textId="77777777" w:rsidR="005E30AF" w:rsidRDefault="005E30AF" w:rsidP="00EB37BA">
                  <w:pPr>
                    <w:pStyle w:val="Compact"/>
                    <w:jc w:val="center"/>
                  </w:pPr>
                  <w:r>
                    <w:t>+3.0</w:t>
                  </w:r>
                </w:p>
              </w:tc>
              <w:tc>
                <w:tcPr>
                  <w:tcW w:w="925" w:type="dxa"/>
                </w:tcPr>
                <w:p w14:paraId="59FE338E" w14:textId="77777777" w:rsidR="005E30AF" w:rsidRDefault="005E30AF" w:rsidP="00EB37BA">
                  <w:pPr>
                    <w:pStyle w:val="Compact"/>
                    <w:jc w:val="center"/>
                  </w:pPr>
                  <w:r>
                    <w:t>-2.5</w:t>
                  </w:r>
                </w:p>
              </w:tc>
              <w:tc>
                <w:tcPr>
                  <w:tcW w:w="925" w:type="dxa"/>
                </w:tcPr>
                <w:p w14:paraId="080CB29E" w14:textId="77777777" w:rsidR="005E30AF" w:rsidRDefault="005E30AF" w:rsidP="00EB37BA">
                  <w:pPr>
                    <w:pStyle w:val="Compact"/>
                    <w:jc w:val="center"/>
                  </w:pPr>
                  <w:r>
                    <w:t>+2.0</w:t>
                  </w:r>
                </w:p>
              </w:tc>
              <w:tc>
                <w:tcPr>
                  <w:tcW w:w="925" w:type="dxa"/>
                </w:tcPr>
                <w:p w14:paraId="6A2D1DAE" w14:textId="77777777" w:rsidR="005E30AF" w:rsidRDefault="005E30AF" w:rsidP="00EB37BA">
                  <w:pPr>
                    <w:pStyle w:val="Compact"/>
                    <w:jc w:val="center"/>
                  </w:pPr>
                  <w:r>
                    <w:t>+1.1</w:t>
                  </w:r>
                </w:p>
              </w:tc>
              <w:tc>
                <w:tcPr>
                  <w:tcW w:w="577" w:type="dxa"/>
                </w:tcPr>
                <w:p w14:paraId="5FD88496" w14:textId="77777777" w:rsidR="005E30AF" w:rsidRDefault="005E30AF" w:rsidP="00EB37BA">
                  <w:pPr>
                    <w:pStyle w:val="Compact"/>
                    <w:jc w:val="center"/>
                  </w:pPr>
                  <w:r>
                    <w:t>+0.9</w:t>
                  </w:r>
                </w:p>
              </w:tc>
            </w:tr>
            <w:tr w:rsidR="005E30AF" w14:paraId="1D0E0F26" w14:textId="77777777" w:rsidTr="002713D7">
              <w:tc>
                <w:tcPr>
                  <w:tcW w:w="576" w:type="dxa"/>
                </w:tcPr>
                <w:p w14:paraId="4C0014DE" w14:textId="77777777" w:rsidR="005E30AF" w:rsidRDefault="005E30AF" w:rsidP="00EB37BA">
                  <w:pPr>
                    <w:pStyle w:val="Compact"/>
                    <w:jc w:val="center"/>
                  </w:pPr>
                  <w:r>
                    <w:t>8</w:t>
                  </w:r>
                </w:p>
              </w:tc>
              <w:tc>
                <w:tcPr>
                  <w:tcW w:w="4507" w:type="dxa"/>
                </w:tcPr>
                <w:p w14:paraId="3A2D7931" w14:textId="77777777" w:rsidR="005E30AF" w:rsidRDefault="005E30AF" w:rsidP="00EB37BA">
                  <w:pPr>
                    <w:pStyle w:val="Compact"/>
                    <w:jc w:val="center"/>
                  </w:pPr>
                  <w:r>
                    <w:t>Portslade Aldridge Community Academy</w:t>
                  </w:r>
                </w:p>
              </w:tc>
              <w:tc>
                <w:tcPr>
                  <w:tcW w:w="925" w:type="dxa"/>
                </w:tcPr>
                <w:p w14:paraId="7D8F1FE5" w14:textId="77777777" w:rsidR="005E30AF" w:rsidRDefault="005E30AF" w:rsidP="00EB37BA">
                  <w:pPr>
                    <w:pStyle w:val="Compact"/>
                    <w:jc w:val="center"/>
                  </w:pPr>
                  <w:r>
                    <w:t>+3.2</w:t>
                  </w:r>
                </w:p>
              </w:tc>
              <w:tc>
                <w:tcPr>
                  <w:tcW w:w="925" w:type="dxa"/>
                </w:tcPr>
                <w:p w14:paraId="76C77EE3" w14:textId="77777777" w:rsidR="005E30AF" w:rsidRDefault="005E30AF" w:rsidP="00EB37BA">
                  <w:pPr>
                    <w:pStyle w:val="Compact"/>
                    <w:jc w:val="center"/>
                  </w:pPr>
                  <w:r>
                    <w:t>-3.4</w:t>
                  </w:r>
                </w:p>
              </w:tc>
              <w:tc>
                <w:tcPr>
                  <w:tcW w:w="925" w:type="dxa"/>
                </w:tcPr>
                <w:p w14:paraId="5E5BBD7A" w14:textId="77777777" w:rsidR="005E30AF" w:rsidRDefault="005E30AF" w:rsidP="00EB37BA">
                  <w:pPr>
                    <w:pStyle w:val="Compact"/>
                    <w:jc w:val="center"/>
                  </w:pPr>
                  <w:r>
                    <w:t>+4.1</w:t>
                  </w:r>
                </w:p>
              </w:tc>
              <w:tc>
                <w:tcPr>
                  <w:tcW w:w="925" w:type="dxa"/>
                </w:tcPr>
                <w:p w14:paraId="0080EAA2" w14:textId="77777777" w:rsidR="005E30AF" w:rsidRDefault="005E30AF" w:rsidP="00EB37BA">
                  <w:pPr>
                    <w:pStyle w:val="Compact"/>
                    <w:jc w:val="center"/>
                  </w:pPr>
                  <w:r>
                    <w:t>-1.9</w:t>
                  </w:r>
                </w:p>
              </w:tc>
              <w:tc>
                <w:tcPr>
                  <w:tcW w:w="577" w:type="dxa"/>
                </w:tcPr>
                <w:p w14:paraId="6CB5FF3F" w14:textId="77777777" w:rsidR="005E30AF" w:rsidRDefault="005E30AF" w:rsidP="00EB37BA">
                  <w:pPr>
                    <w:pStyle w:val="Compact"/>
                    <w:jc w:val="center"/>
                  </w:pPr>
                  <w:r>
                    <w:t>+0.5</w:t>
                  </w:r>
                </w:p>
              </w:tc>
            </w:tr>
            <w:tr w:rsidR="005E30AF" w14:paraId="07D79B7C" w14:textId="77777777" w:rsidTr="002713D7">
              <w:tc>
                <w:tcPr>
                  <w:tcW w:w="576" w:type="dxa"/>
                </w:tcPr>
                <w:p w14:paraId="3F67DC2D" w14:textId="77777777" w:rsidR="005E30AF" w:rsidRDefault="005E30AF" w:rsidP="00EB37BA">
                  <w:pPr>
                    <w:pStyle w:val="Compact"/>
                    <w:jc w:val="center"/>
                  </w:pPr>
                  <w:r>
                    <w:t>9</w:t>
                  </w:r>
                </w:p>
              </w:tc>
              <w:tc>
                <w:tcPr>
                  <w:tcW w:w="4507" w:type="dxa"/>
                </w:tcPr>
                <w:p w14:paraId="0E768D1B" w14:textId="77777777" w:rsidR="005E30AF" w:rsidRDefault="005E30AF" w:rsidP="00EB37BA">
                  <w:pPr>
                    <w:pStyle w:val="Compact"/>
                    <w:jc w:val="center"/>
                  </w:pPr>
                  <w:r>
                    <w:t>Patcham High School</w:t>
                  </w:r>
                </w:p>
              </w:tc>
              <w:tc>
                <w:tcPr>
                  <w:tcW w:w="925" w:type="dxa"/>
                </w:tcPr>
                <w:p w14:paraId="751007B7" w14:textId="77777777" w:rsidR="005E30AF" w:rsidRDefault="005E30AF" w:rsidP="00EB37BA">
                  <w:pPr>
                    <w:pStyle w:val="Compact"/>
                    <w:jc w:val="center"/>
                  </w:pPr>
                  <w:r>
                    <w:t>+4.1</w:t>
                  </w:r>
                </w:p>
              </w:tc>
              <w:tc>
                <w:tcPr>
                  <w:tcW w:w="925" w:type="dxa"/>
                </w:tcPr>
                <w:p w14:paraId="0304FF8E" w14:textId="77777777" w:rsidR="005E30AF" w:rsidRDefault="005E30AF" w:rsidP="00EB37BA">
                  <w:pPr>
                    <w:pStyle w:val="Compact"/>
                    <w:jc w:val="center"/>
                  </w:pPr>
                  <w:r>
                    <w:t>+1.5</w:t>
                  </w:r>
                </w:p>
              </w:tc>
              <w:tc>
                <w:tcPr>
                  <w:tcW w:w="925" w:type="dxa"/>
                </w:tcPr>
                <w:p w14:paraId="71CC98AA" w14:textId="77777777" w:rsidR="005E30AF" w:rsidRDefault="005E30AF" w:rsidP="00EB37BA">
                  <w:pPr>
                    <w:pStyle w:val="Compact"/>
                    <w:jc w:val="center"/>
                  </w:pPr>
                  <w:r>
                    <w:t>-11.6</w:t>
                  </w:r>
                </w:p>
              </w:tc>
              <w:tc>
                <w:tcPr>
                  <w:tcW w:w="925" w:type="dxa"/>
                </w:tcPr>
                <w:p w14:paraId="5109A6CC" w14:textId="77777777" w:rsidR="005E30AF" w:rsidRDefault="005E30AF" w:rsidP="00EB37BA">
                  <w:pPr>
                    <w:pStyle w:val="Compact"/>
                    <w:jc w:val="center"/>
                  </w:pPr>
                  <w:r>
                    <w:t>-3.5</w:t>
                  </w:r>
                </w:p>
              </w:tc>
              <w:tc>
                <w:tcPr>
                  <w:tcW w:w="577" w:type="dxa"/>
                </w:tcPr>
                <w:p w14:paraId="7A50C662" w14:textId="77777777" w:rsidR="005E30AF" w:rsidRDefault="005E30AF" w:rsidP="00EB37BA">
                  <w:pPr>
                    <w:pStyle w:val="Compact"/>
                    <w:jc w:val="center"/>
                  </w:pPr>
                  <w:r>
                    <w:t>-2.4</w:t>
                  </w:r>
                </w:p>
              </w:tc>
            </w:tr>
            <w:tr w:rsidR="005E30AF" w14:paraId="243BEEF4" w14:textId="77777777" w:rsidTr="002713D7">
              <w:tc>
                <w:tcPr>
                  <w:tcW w:w="576" w:type="dxa"/>
                </w:tcPr>
                <w:p w14:paraId="75749D84" w14:textId="77777777" w:rsidR="005E30AF" w:rsidRDefault="005E30AF" w:rsidP="00EB37BA">
                  <w:pPr>
                    <w:pStyle w:val="Compact"/>
                    <w:jc w:val="center"/>
                  </w:pPr>
                  <w:r>
                    <w:t>10</w:t>
                  </w:r>
                </w:p>
              </w:tc>
              <w:tc>
                <w:tcPr>
                  <w:tcW w:w="4507" w:type="dxa"/>
                </w:tcPr>
                <w:p w14:paraId="15CBB702" w14:textId="77777777" w:rsidR="005E30AF" w:rsidRDefault="005E30AF" w:rsidP="00EB37BA">
                  <w:pPr>
                    <w:pStyle w:val="Compact"/>
                    <w:jc w:val="center"/>
                  </w:pPr>
                  <w:r>
                    <w:t>Longhill High School</w:t>
                  </w:r>
                </w:p>
              </w:tc>
              <w:tc>
                <w:tcPr>
                  <w:tcW w:w="925" w:type="dxa"/>
                </w:tcPr>
                <w:p w14:paraId="43388A7D" w14:textId="77777777" w:rsidR="005E30AF" w:rsidRDefault="005E30AF" w:rsidP="00EB37BA">
                  <w:pPr>
                    <w:pStyle w:val="Compact"/>
                    <w:jc w:val="center"/>
                  </w:pPr>
                  <w:r>
                    <w:t>-5.1</w:t>
                  </w:r>
                </w:p>
              </w:tc>
              <w:tc>
                <w:tcPr>
                  <w:tcW w:w="925" w:type="dxa"/>
                </w:tcPr>
                <w:p w14:paraId="6B25B12D" w14:textId="77777777" w:rsidR="005E30AF" w:rsidRDefault="005E30AF" w:rsidP="00EB37BA">
                  <w:pPr>
                    <w:pStyle w:val="Compact"/>
                    <w:jc w:val="center"/>
                  </w:pPr>
                  <w:r>
                    <w:t>-6.4</w:t>
                  </w:r>
                </w:p>
              </w:tc>
              <w:tc>
                <w:tcPr>
                  <w:tcW w:w="925" w:type="dxa"/>
                </w:tcPr>
                <w:p w14:paraId="200B0E66" w14:textId="77777777" w:rsidR="005E30AF" w:rsidRDefault="005E30AF" w:rsidP="00EB37BA">
                  <w:pPr>
                    <w:pStyle w:val="Compact"/>
                    <w:jc w:val="center"/>
                  </w:pPr>
                  <w:r>
                    <w:t>+1.4</w:t>
                  </w:r>
                </w:p>
              </w:tc>
              <w:tc>
                <w:tcPr>
                  <w:tcW w:w="925" w:type="dxa"/>
                </w:tcPr>
                <w:p w14:paraId="63342D0E" w14:textId="77777777" w:rsidR="005E30AF" w:rsidRDefault="005E30AF" w:rsidP="00EB37BA">
                  <w:pPr>
                    <w:pStyle w:val="Compact"/>
                    <w:jc w:val="center"/>
                  </w:pPr>
                  <w:r>
                    <w:t>-0.9</w:t>
                  </w:r>
                </w:p>
              </w:tc>
              <w:tc>
                <w:tcPr>
                  <w:tcW w:w="577" w:type="dxa"/>
                </w:tcPr>
                <w:p w14:paraId="63B14F4B" w14:textId="77777777" w:rsidR="005E30AF" w:rsidRDefault="005E30AF" w:rsidP="00EB37BA">
                  <w:pPr>
                    <w:pStyle w:val="Compact"/>
                    <w:jc w:val="center"/>
                  </w:pPr>
                  <w:r>
                    <w:t>-2.7</w:t>
                  </w:r>
                </w:p>
              </w:tc>
            </w:tr>
            <w:bookmarkEnd w:id="712"/>
          </w:tbl>
          <w:p w14:paraId="2A4AC00A" w14:textId="77777777" w:rsidR="005E30AF" w:rsidRDefault="005E30AF" w:rsidP="00EB37BA"/>
        </w:tc>
      </w:tr>
      <w:bookmarkEnd w:id="703"/>
    </w:tbl>
    <w:p w14:paraId="300581CB" w14:textId="77777777" w:rsidR="005E30AF" w:rsidRDefault="005E30AF" w:rsidP="005E30AF"/>
    <w:p w14:paraId="552C5A0D" w14:textId="63F995B2" w:rsidR="001A6FB3" w:rsidRDefault="001A6FB3" w:rsidP="005E30AF">
      <w:pPr>
        <w:pStyle w:val="Heading1"/>
      </w:pPr>
    </w:p>
    <w:sectPr w:rsidR="001A6FB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A3149" w14:textId="77777777" w:rsidR="00A753C0" w:rsidRDefault="00A753C0">
      <w:pPr>
        <w:spacing w:line="240" w:lineRule="auto"/>
      </w:pPr>
      <w:r>
        <w:separator/>
      </w:r>
    </w:p>
  </w:endnote>
  <w:endnote w:type="continuationSeparator" w:id="0">
    <w:p w14:paraId="023787BE" w14:textId="77777777" w:rsidR="00A753C0" w:rsidRDefault="00A753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9BFA7" w14:textId="77777777" w:rsidR="00A753C0" w:rsidRDefault="00A753C0">
      <w:pPr>
        <w:spacing w:line="240" w:lineRule="auto"/>
      </w:pPr>
      <w:r>
        <w:separator/>
      </w:r>
    </w:p>
  </w:footnote>
  <w:footnote w:type="continuationSeparator" w:id="0">
    <w:p w14:paraId="3C167E7C" w14:textId="77777777" w:rsidR="00A753C0" w:rsidRDefault="00A753C0">
      <w:pPr>
        <w:spacing w:line="240" w:lineRule="auto"/>
      </w:pPr>
      <w:r>
        <w:continuationSeparator/>
      </w:r>
    </w:p>
  </w:footnote>
  <w:footnote w:id="1">
    <w:p w14:paraId="769EEB59" w14:textId="77777777" w:rsidR="001A6FB3" w:rsidRDefault="00000000">
      <w:pPr>
        <w:pStyle w:val="FootnoteText"/>
      </w:pPr>
      <w:r>
        <w:rPr>
          <w:rStyle w:val="FootnoteReference"/>
        </w:rPr>
        <w:footnoteRef/>
      </w:r>
      <w:r>
        <w:t xml:space="preserve"> Details of English National Curriculum Key Stages </w:t>
      </w:r>
      <w:hyperlink r:id="rId1">
        <w:r>
          <w:rPr>
            <w:rStyle w:val="Hyperlink"/>
          </w:rPr>
          <w:t>https://www.gov.uk/national-curriculum</w:t>
        </w:r>
      </w:hyperlink>
    </w:p>
  </w:footnote>
  <w:footnote w:id="2">
    <w:p w14:paraId="49B7B443" w14:textId="77777777" w:rsidR="001A6FB3" w:rsidRDefault="00000000">
      <w:pPr>
        <w:pStyle w:val="FootnoteText"/>
      </w:pPr>
      <w:r>
        <w:rPr>
          <w:rStyle w:val="FootnoteReference"/>
        </w:rPr>
        <w:footnoteRef/>
      </w:r>
      <w:r>
        <w:t xml:space="preserve"> Supplementary material: </w:t>
      </w:r>
      <w:hyperlink r:id="rId2">
        <w:r>
          <w:rPr>
            <w:rStyle w:val="Hyperlink"/>
          </w:rPr>
          <w:t>https://osf.io/x82j3/overview (see `index.html` in `supplementary.zip`)</w:t>
        </w:r>
      </w:hyperlink>
      <w:r>
        <w:t xml:space="preserve"> - with links through to the source code on Github.</w:t>
      </w:r>
    </w:p>
  </w:footnote>
  <w:footnote w:id="3">
    <w:p w14:paraId="278B3CCB" w14:textId="77777777" w:rsidR="001A6FB3" w:rsidRDefault="00000000">
      <w:pPr>
        <w:pStyle w:val="FootnoteText"/>
      </w:pPr>
      <w:r>
        <w:rPr>
          <w:rStyle w:val="FootnoteReference"/>
        </w:rPr>
        <w:footnoteRef/>
      </w:r>
      <w:del w:id="26" w:author="Unknown">
        <w:r>
          <w:delText xml:space="preserve"> missing data and imputation: </w:delText>
        </w:r>
      </w:del>
      <w:r>
        <w:fldChar w:fldCharType="begin"/>
      </w:r>
      <w:r>
        <w:instrText>HYPERLINK "https://osf.io/x82j3/overview" \h</w:instrText>
      </w:r>
      <w:r>
        <w:fldChar w:fldCharType="separate"/>
      </w:r>
      <w:del w:id="27" w:author="Unknown">
        <w:r>
          <w:rPr>
            <w:rStyle w:val="Hyperlink"/>
          </w:rPr>
          <w:delText>https://osf.io/x82j3/overview (see `data_overview.html#missing-data` in `supplementary.zip`)</w:delText>
        </w:r>
      </w:del>
      <w:r>
        <w:fldChar w:fldCharType="end"/>
      </w:r>
    </w:p>
  </w:footnote>
  <w:footnote w:id="4">
    <w:p w14:paraId="23A7F20B" w14:textId="77777777" w:rsidR="001A6FB3" w:rsidRDefault="00000000">
      <w:pPr>
        <w:pStyle w:val="FootnoteText"/>
      </w:pPr>
      <w:r>
        <w:rPr>
          <w:rStyle w:val="FootnoteReference"/>
        </w:rPr>
        <w:footnoteRef/>
      </w:r>
      <w:r>
        <w:t xml:space="preserve"> missing data and imputation: </w:t>
      </w:r>
      <w:hyperlink r:id="rId3">
        <w:r>
          <w:rPr>
            <w:rStyle w:val="Hyperlink"/>
          </w:rPr>
          <w:t>https://osf.io/x82j3/overview (see `data_overview.html#missing-data` in `supplementary.zip`)</w:t>
        </w:r>
      </w:hyperlink>
    </w:p>
  </w:footnote>
  <w:footnote w:id="5">
    <w:p w14:paraId="7CFD4F9B" w14:textId="77777777" w:rsidR="001A6FB3" w:rsidRDefault="00000000">
      <w:pPr>
        <w:pStyle w:val="FootnoteText"/>
      </w:pPr>
      <w:r>
        <w:rPr>
          <w:rStyle w:val="FootnoteReference"/>
        </w:rPr>
        <w:footnoteRef/>
      </w:r>
      <w:r>
        <w:t xml:space="preserve"> See data overview for details </w:t>
      </w:r>
      <w:hyperlink r:id="rId4">
        <w:r>
          <w:rPr>
            <w:rStyle w:val="Hyperlink"/>
          </w:rPr>
          <w:t>https://osf.io/x82j3/overview (see `data_overview.html` in `supplementary.zip`)</w:t>
        </w:r>
      </w:hyperlink>
    </w:p>
  </w:footnote>
  <w:footnote w:id="6">
    <w:p w14:paraId="1CE3F5AE" w14:textId="77777777" w:rsidR="001A6FB3" w:rsidRDefault="00000000">
      <w:pPr>
        <w:pStyle w:val="FootnoteText"/>
      </w:pPr>
      <w:r>
        <w:rPr>
          <w:rStyle w:val="FootnoteReference"/>
        </w:rPr>
        <w:footnoteRef/>
      </w:r>
      <w:r>
        <w:t xml:space="preserve"> </w:t>
      </w:r>
      <w:del w:id="39" w:author="Revision" w:date="2026-08-25T00:00:00Z">
        <w:r>
          <w:delText xml:space="preserve">Standardised coefficients are computed as </w:delText>
        </w:r>
      </w:del>
      <m:oMath>
        <m:sSubSup>
          <m:sSubSupPr>
            <m:ctrlPr>
              <w:rPr>
                <w:rFonts w:ascii="Cambria Math" w:hAnsi="Cambria Math"/>
              </w:rPr>
            </m:ctrlPr>
          </m:sSubSupPr>
          <m:e>
            <m:r>
              <w:del w:id="40" w:author="Revision" w:date="2026-08-25T00:00:00Z">
                <w:rPr>
                  <w:rFonts w:ascii="Cambria Math" w:hAnsi="Cambria Math"/>
                </w:rPr>
                <m:t>β</m:t>
              </w:del>
            </m:r>
          </m:e>
          <m:sub>
            <m:r>
              <w:del w:id="41" w:author="Revision" w:date="2026-08-25T00:00:00Z">
                <w:rPr>
                  <w:rFonts w:ascii="Cambria Math" w:hAnsi="Cambria Math"/>
                </w:rPr>
                <m:t>k</m:t>
              </w:del>
            </m:r>
          </m:sub>
          <m:sup>
            <m:r>
              <w:del w:id="42" w:author="Revision" w:date="2026-08-25T00:00:00Z">
                <m:rPr>
                  <m:sty m:val="p"/>
                </m:rPr>
                <w:rPr>
                  <w:rFonts w:ascii="Cambria Math" w:hAnsi="Cambria Math"/>
                </w:rPr>
                <m:t>*</m:t>
              </w:del>
            </m:r>
          </m:sup>
        </m:sSubSup>
        <m:r>
          <w:del w:id="43" w:author="Revision" w:date="2026-08-25T00:00:00Z">
            <m:rPr>
              <m:sty m:val="p"/>
            </m:rPr>
            <w:rPr>
              <w:rFonts w:ascii="Cambria Math" w:hAnsi="Cambria Math"/>
            </w:rPr>
            <m:t>=</m:t>
          </w:del>
        </m:r>
        <m:sSub>
          <m:sSubPr>
            <m:ctrlPr>
              <w:rPr>
                <w:rFonts w:ascii="Cambria Math" w:hAnsi="Cambria Math"/>
              </w:rPr>
            </m:ctrlPr>
          </m:sSubPr>
          <m:e>
            <m:acc>
              <m:accPr>
                <m:ctrlPr>
                  <w:rPr>
                    <w:rFonts w:ascii="Cambria Math" w:hAnsi="Cambria Math"/>
                  </w:rPr>
                </m:ctrlPr>
              </m:accPr>
              <m:e>
                <m:r>
                  <w:del w:id="44" w:author="Revision" w:date="2026-08-25T00:00:00Z">
                    <w:rPr>
                      <w:rFonts w:ascii="Cambria Math" w:hAnsi="Cambria Math"/>
                    </w:rPr>
                    <m:t>β</m:t>
                  </w:del>
                </m:r>
              </m:e>
            </m:acc>
          </m:e>
          <m:sub>
            <m:r>
              <w:del w:id="45" w:author="Revision" w:date="2026-08-25T00:00:00Z">
                <w:rPr>
                  <w:rFonts w:ascii="Cambria Math" w:hAnsi="Cambria Math"/>
                </w:rPr>
                <m:t>k</m:t>
              </w:del>
            </m:r>
          </m:sub>
        </m:sSub>
        <m:r>
          <w:del w:id="46" w:author="Revision" w:date="2026-08-25T00:00:00Z">
            <m:rPr>
              <m:sty m:val="p"/>
            </m:rPr>
            <w:rPr>
              <w:rFonts w:ascii="Cambria Math" w:hAnsi="Cambria Math"/>
            </w:rPr>
            <m:t>×</m:t>
          </w:del>
        </m:r>
        <m:r>
          <w:del w:id="47" w:author="Revision" w:date="2026-08-25T00:00:00Z">
            <m:rPr>
              <m:nor/>
            </m:rPr>
            <m:t>SD</m:t>
          </w:del>
        </m:r>
        <m:d>
          <m:dPr>
            <m:ctrlPr>
              <w:rPr>
                <w:rFonts w:ascii="Cambria Math" w:hAnsi="Cambria Math"/>
              </w:rPr>
            </m:ctrlPr>
          </m:dPr>
          <m:e>
            <m:sSub>
              <m:sSubPr>
                <m:ctrlPr>
                  <w:rPr>
                    <w:rFonts w:ascii="Cambria Math" w:hAnsi="Cambria Math"/>
                  </w:rPr>
                </m:ctrlPr>
              </m:sSubPr>
              <m:e>
                <m:r>
                  <w:del w:id="48" w:author="Revision" w:date="2026-08-25T00:00:00Z">
                    <w:rPr>
                      <w:rFonts w:ascii="Cambria Math" w:hAnsi="Cambria Math"/>
                    </w:rPr>
                    <m:t>x</m:t>
                  </w:del>
                </m:r>
              </m:e>
              <m:sub>
                <m:r>
                  <w:del w:id="49" w:author="Revision" w:date="2026-08-25T00:00:00Z">
                    <w:rPr>
                      <w:rFonts w:ascii="Cambria Math" w:hAnsi="Cambria Math"/>
                    </w:rPr>
                    <m:t>k</m:t>
                  </w:del>
                </m:r>
              </m:sub>
            </m:sSub>
          </m:e>
        </m:d>
        <m:r>
          <w:del w:id="50" w:author="Revision" w:date="2026-08-25T00:00:00Z">
            <m:rPr>
              <m:sty m:val="p"/>
            </m:rPr>
            <w:rPr>
              <w:rFonts w:ascii="Cambria Math" w:hAnsi="Cambria Math"/>
            </w:rPr>
            <m:t>/</m:t>
          </w:del>
        </m:r>
        <m:r>
          <w:del w:id="51" w:author="Revision" w:date="2026-08-25T00:00:00Z">
            <m:rPr>
              <m:nor/>
            </m:rPr>
            <m:t>SD</m:t>
          </w:del>
        </m:r>
        <m:d>
          <m:dPr>
            <m:ctrlPr>
              <w:rPr>
                <w:rFonts w:ascii="Cambria Math" w:hAnsi="Cambria Math"/>
              </w:rPr>
            </m:ctrlPr>
          </m:dPr>
          <m:e>
            <m:r>
              <w:del w:id="52" w:author="Revision" w:date="2026-08-25T00:00:00Z">
                <m:rPr>
                  <m:sty m:val="p"/>
                </m:rPr>
                <w:rPr>
                  <w:rFonts w:ascii="Cambria Math" w:hAnsi="Cambria Math"/>
                </w:rPr>
                <m:t>log</m:t>
              </w:del>
            </m:r>
            <m:r>
              <w:del w:id="53" w:author="Revision" w:date="2026-08-25T00:00:00Z">
                <m:rPr>
                  <m:nor/>
                </m:rPr>
                <m:t>ATT8</m:t>
              </w:del>
            </m:r>
          </m:e>
        </m:d>
      </m:oMath>
      <w:del w:id="54" w:author="Revision" w:date="2026-08-25T00:00:00Z">
        <w:r>
          <w:delText xml:space="preserve">, where </w:delText>
        </w:r>
      </w:del>
      <m:oMath>
        <m:r>
          <w:del w:id="55" w:author="Revision" w:date="2026-08-25T00:00:00Z">
            <m:rPr>
              <m:nor/>
            </m:rPr>
            <m:t>SD</m:t>
          </w:del>
        </m:r>
        <m:d>
          <m:dPr>
            <m:ctrlPr>
              <w:rPr>
                <w:rFonts w:ascii="Cambria Math" w:hAnsi="Cambria Math"/>
              </w:rPr>
            </m:ctrlPr>
          </m:dPr>
          <m:e>
            <m:sSub>
              <m:sSubPr>
                <m:ctrlPr>
                  <w:rPr>
                    <w:rFonts w:ascii="Cambria Math" w:hAnsi="Cambria Math"/>
                  </w:rPr>
                </m:ctrlPr>
              </m:sSubPr>
              <m:e>
                <m:r>
                  <w:del w:id="56" w:author="Revision" w:date="2026-08-25T00:00:00Z">
                    <w:rPr>
                      <w:rFonts w:ascii="Cambria Math" w:hAnsi="Cambria Math"/>
                    </w:rPr>
                    <m:t>x</m:t>
                  </w:del>
                </m:r>
              </m:e>
              <m:sub>
                <m:r>
                  <w:del w:id="57" w:author="Revision" w:date="2026-08-25T00:00:00Z">
                    <w:rPr>
                      <w:rFonts w:ascii="Cambria Math" w:hAnsi="Cambria Math"/>
                    </w:rPr>
                    <m:t>k</m:t>
                  </w:del>
                </m:r>
              </m:sub>
            </m:sSub>
          </m:e>
        </m:d>
      </m:oMath>
      <w:r>
        <w:t xml:space="preserve"> </w:t>
      </w:r>
      <w:ins w:id="58" w:author="Revision" w:date="2026-08-25T00:00:00Z">
        <w:r>
          <w:t xml:space="preserve">Department for Education, </w:t>
        </w:r>
        <w:r>
          <w:rPr>
            <w:i/>
            <w:iCs/>
          </w:rPr>
          <w:t>Key stage 4 performance</w:t>
        </w:r>
        <w:r>
          <w:t>: “It</w:t>
        </w:r>
      </w:ins>
      <w:r>
        <w:t xml:space="preserve"> is </w:t>
      </w:r>
      <w:del w:id="59" w:author="Revision" w:date="2026-08-25T00:00:00Z">
        <w:r>
          <w:delText>the sample standard deviation of the predictor (log-transformed where applicable).</w:delText>
        </w:r>
      </w:del>
      <w:r>
        <w:t xml:space="preserve"> </w:t>
      </w:r>
      <w:ins w:id="60" w:author="Revision" w:date="2026-08-25T00:00:00Z">
        <w:r>
          <w:t>not possible to calculate Progress 8 for academic years 2024/25 and 2025/26.</w:t>
        </w:r>
      </w:ins>
      <w:r>
        <w:t xml:space="preserve"> This </w:t>
      </w:r>
      <w:del w:id="61" w:author="Revision" w:date="2026-08-25T00:00:00Z">
        <w:r>
          <w:delText>rescales each coefficient</w:delText>
        </w:r>
      </w:del>
      <w:r>
        <w:t xml:space="preserve"> </w:t>
      </w:r>
      <w:ins w:id="62" w:author="Revision" w:date="2026-08-25T00:00:00Z">
        <w:r>
          <w:t>is because there is no KS2 prior attainment data available</w:t>
        </w:r>
      </w:ins>
      <w:r>
        <w:t xml:space="preserve"> to </w:t>
      </w:r>
      <w:del w:id="63" w:author="Revision" w:date="2026-08-25T00:00:00Z">
        <w:r>
          <w:delText>represent</w:delText>
        </w:r>
      </w:del>
      <w:r>
        <w:t xml:space="preserve"> </w:t>
      </w:r>
      <w:ins w:id="64" w:author="Revision" w:date="2026-08-25T00:00:00Z">
        <w:r>
          <w:t>use to calculate Progress 8 when</w:t>
        </w:r>
      </w:ins>
      <w:r>
        <w:t xml:space="preserve"> the </w:t>
      </w:r>
      <w:del w:id="65" w:author="Revision" w:date="2026-08-25T00:00:00Z">
        <w:r>
          <w:delText>change in outcome, in standard-deviation units, associated with a one-standard-deviation change in</w:delText>
        </w:r>
      </w:del>
      <w:r>
        <w:t xml:space="preserve"> </w:t>
      </w:r>
      <w:ins w:id="66" w:author="Revision" w:date="2026-08-25T00:00:00Z">
        <w:r>
          <w:t>relevant cohorts reach</w:t>
        </w:r>
      </w:ins>
      <w:r>
        <w:t xml:space="preserve"> the </w:t>
      </w:r>
      <w:del w:id="67" w:author="Revision" w:date="2026-08-25T00:00:00Z">
        <w:r>
          <w:delText>predictor.</w:delText>
        </w:r>
      </w:del>
      <w:r>
        <w:t xml:space="preserve"> </w:t>
      </w:r>
      <w:ins w:id="68" w:author="Revision" w:date="2026-08-25T00:00:00Z">
        <w:r>
          <w:t xml:space="preserve">end of KS4 as primary tests and assessments were cancelled in academic years 2019/20 and 2020/21 due to COVID-19 disruption.” </w:t>
        </w:r>
      </w:ins>
      <w:r>
        <w:fldChar w:fldCharType="begin"/>
      </w:r>
      <w:r>
        <w:instrText>HYPERLINK "https://explore-education-statistics.service.gov.uk/find-statistics/key-stage-4-performance" \h</w:instrText>
      </w:r>
      <w:r>
        <w:fldChar w:fldCharType="separate"/>
      </w:r>
      <w:ins w:id="69" w:author="Revision" w:date="2026-08-25T00:00:00Z">
        <w:r>
          <w:rPr>
            <w:rStyle w:val="Hyperlink"/>
          </w:rPr>
          <w:t>https://explore-education-statistics.service.gov.uk/find-statistics/key-stage-4-performance</w:t>
        </w:r>
      </w:ins>
      <w:r>
        <w:fldChar w:fldCharType="end"/>
      </w:r>
    </w:p>
  </w:footnote>
  <w:footnote w:id="7">
    <w:p w14:paraId="7054DE2A" w14:textId="77777777" w:rsidR="001A6FB3" w:rsidRDefault="00000000">
      <w:pPr>
        <w:pStyle w:val="FootnoteText"/>
      </w:pPr>
      <w:r>
        <w:rPr>
          <w:rStyle w:val="FootnoteReference"/>
        </w:rPr>
        <w:footnoteRef/>
      </w:r>
      <w:r>
        <w:t xml:space="preserve"> Standardised coefficients are computed as </w:t>
      </w:r>
      <m:oMath>
        <m:sSubSup>
          <m:sSubSupPr>
            <m:ctrlPr>
              <w:rPr>
                <w:rFonts w:ascii="Cambria Math" w:hAnsi="Cambria Math"/>
              </w:rPr>
            </m:ctrlPr>
          </m:sSubSupPr>
          <m:e>
            <m:r>
              <w:rPr>
                <w:rFonts w:ascii="Cambria Math" w:hAnsi="Cambria Math"/>
              </w:rPr>
              <m:t>β</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k</m:t>
            </m:r>
          </m:sub>
        </m:sSub>
        <m:r>
          <m:rPr>
            <m:sty m:val="p"/>
          </m:rPr>
          <w:rPr>
            <w:rFonts w:ascii="Cambria Math" w:hAnsi="Cambria Math"/>
          </w:rPr>
          <m:t>×</m:t>
        </m:r>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m:rPr>
            <m:sty m:val="p"/>
          </m:rPr>
          <w:rPr>
            <w:rFonts w:ascii="Cambria Math" w:hAnsi="Cambria Math"/>
          </w:rPr>
          <m:t>/</m:t>
        </m:r>
        <m:r>
          <m:rPr>
            <m:nor/>
          </m:rPr>
          <m:t>SD</m:t>
        </m:r>
        <m:d>
          <m:dPr>
            <m:ctrlPr>
              <w:rPr>
                <w:rFonts w:ascii="Cambria Math" w:hAnsi="Cambria Math"/>
              </w:rPr>
            </m:ctrlPr>
          </m:dPr>
          <m:e>
            <m:r>
              <m:rPr>
                <m:sty m:val="p"/>
              </m:rPr>
              <w:rPr>
                <w:rFonts w:ascii="Cambria Math" w:hAnsi="Cambria Math"/>
              </w:rPr>
              <m:t>log</m:t>
            </m:r>
            <m:r>
              <m:rPr>
                <m:nor/>
              </m:rPr>
              <m:t>ATT8</m:t>
            </m:r>
          </m:e>
        </m:d>
      </m:oMath>
      <w:r>
        <w:t xml:space="preserve">, where </w:t>
      </w:r>
      <m:oMath>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oMath>
      <w:r>
        <w:t xml:space="preserve"> is the sample standard deviation of the predictor (log-transformed where applicable). This rescales each coefficient to represent the change in outcome, in standard-deviation units, associated with a one-standard-deviation change in the predictor.</w:t>
      </w:r>
    </w:p>
  </w:footnote>
  <w:footnote w:id="8">
    <w:p w14:paraId="02DBD5D1" w14:textId="77777777" w:rsidR="001A6FB3" w:rsidRDefault="00000000">
      <w:pPr>
        <w:pStyle w:val="FootnoteText"/>
      </w:pPr>
      <w:r>
        <w:rPr>
          <w:rStyle w:val="FootnoteReference"/>
        </w:rPr>
        <w:footnoteRef/>
      </w:r>
      <w:r>
        <w:t xml:space="preserve"> Stepwise Models for all pupil groups </w:t>
      </w:r>
      <w:hyperlink r:id="rId5">
        <w:r>
          <w:rPr>
            <w:rStyle w:val="Hyperlink"/>
          </w:rPr>
          <w:t>https://osf.io/x82j3/overview (see `model_results.html#stepwise-model-building` in `supplementary.zip`)</w:t>
        </w:r>
      </w:hyperlink>
    </w:p>
  </w:footnote>
  <w:footnote w:id="9">
    <w:p w14:paraId="46A65D69" w14:textId="77777777" w:rsidR="001A6FB3" w:rsidRDefault="00000000">
      <w:pPr>
        <w:pStyle w:val="FootnoteText"/>
      </w:pPr>
      <w:r>
        <w:rPr>
          <w:rStyle w:val="FootnoteReference"/>
        </w:rPr>
        <w:footnoteRef/>
      </w:r>
      <w:r>
        <w:t xml:space="preserve"> </w:t>
      </w:r>
      <w:del w:id="98" w:author="Revision" w:date="2026-08-25T00:00:00Z">
        <w:r>
          <w:delText xml:space="preserve">Brighton and Hove City Council (2024) </w:delText>
        </w:r>
        <w:r>
          <w:rPr>
            <w:i/>
            <w:iCs/>
          </w:rPr>
          <w:delText>School Admission Arrangements 2026/27</w:delText>
        </w:r>
        <w:r>
          <w:delText xml:space="preserve"> — Cabinet Report, 5 December 2024 (decision to consult): </w:delText>
        </w:r>
      </w:del>
      <w:r>
        <w:fldChar w:fldCharType="begin"/>
      </w:r>
      <w:r>
        <w:instrText>HYPERLINK "https://democracy.brighton-hove.gov.uk/documents/s204040/School%20Admission%20Arrangements%202026-27.pdf" \h</w:instrText>
      </w:r>
      <w:r>
        <w:fldChar w:fldCharType="separate"/>
      </w:r>
      <w:del w:id="99" w:author="Revision" w:date="2026-08-25T00:00:00Z">
        <w:r>
          <w:rPr>
            <w:rStyle w:val="Hyperlink"/>
          </w:rPr>
          <w:delText>https://democracy.brighton-hove.gov.uk/documents/s204040/School%20Admission%20Arrangements%202026-27.pdf</w:delText>
        </w:r>
      </w:del>
      <w:r>
        <w:fldChar w:fldCharType="end"/>
      </w:r>
      <w:del w:id="100" w:author="Revision" w:date="2026-08-25T00:00:00Z">
        <w:r>
          <w:delText xml:space="preserve">. Brighton and Hove City Council (2025) </w:delText>
        </w:r>
        <w:r>
          <w:rPr>
            <w:i/>
            <w:iCs/>
          </w:rPr>
          <w:delText>School Admission Arrangements 2026/27</w:delText>
        </w:r>
        <w:r>
          <w:delText xml:space="preserve"> — Full Council Report, 27 February 2025 (determination): </w:delText>
        </w:r>
      </w:del>
      <w:r>
        <w:fldChar w:fldCharType="begin"/>
      </w:r>
      <w:r>
        <w:instrText>HYPERLINK "https://democracy.brighton-hove.gov.uk/documents/s205834/School%20Admission%20Arrangements%202026-27.pdf" \h</w:instrText>
      </w:r>
      <w:r>
        <w:fldChar w:fldCharType="separate"/>
      </w:r>
      <w:del w:id="101" w:author="Revision" w:date="2026-08-25T00:00:00Z">
        <w:r>
          <w:rPr>
            <w:rStyle w:val="Hyperlink"/>
          </w:rPr>
          <w:delText>https://democracy.brighton-hove.gov.uk/documents/s205834/School%20Admission%20Arrangements%202026-27.pdf</w:delText>
        </w:r>
      </w:del>
      <w:r>
        <w:fldChar w:fldCharType="end"/>
      </w:r>
      <w:del w:id="102" w:author="Revision" w:date="2026-08-25T00:00:00Z">
        <w:r>
          <w:delText>.</w:delText>
        </w:r>
      </w:del>
      <w:r>
        <w:t xml:space="preserve"> </w:t>
      </w:r>
      <w:ins w:id="103" w:author="Revision" w:date="2026-08-25T00:00:00Z">
        <w:r>
          <w:t xml:space="preserve">See supplementary material for robustness checks: </w:t>
        </w:r>
      </w:ins>
      <w:r>
        <w:fldChar w:fldCharType="begin"/>
      </w:r>
      <w:r>
        <w:instrText>HYPERLINK "https://osf.io/x82j3/overview" \h</w:instrText>
      </w:r>
      <w:r>
        <w:fldChar w:fldCharType="separate"/>
      </w:r>
      <w:ins w:id="104" w:author="Revision" w:date="2026-08-25T00:00:00Z">
        <w:r>
          <w:rPr>
            <w:rStyle w:val="Hyperlink"/>
          </w:rPr>
          <w:t>https://osf.io/x82j3/overview (see `model_experiments.html` in `supplementary.zip`)</w:t>
        </w:r>
      </w:ins>
      <w:r>
        <w:fldChar w:fldCharType="end"/>
      </w:r>
    </w:p>
  </w:footnote>
  <w:footnote w:id="10">
    <w:p w14:paraId="775A5E9C" w14:textId="77777777" w:rsidR="001A6FB3" w:rsidRDefault="00000000">
      <w:pPr>
        <w:pStyle w:val="FootnoteText"/>
      </w:pPr>
      <w:r>
        <w:rPr>
          <w:rStyle w:val="FootnoteReference"/>
        </w:rPr>
        <w:footnoteRef/>
      </w:r>
      <w:del w:id="109" w:author="Unknown">
        <w:r>
          <w:delText xml:space="preserve"> </w:delText>
        </w:r>
      </w:del>
      <w:del w:id="110" w:author="Revision" w:date="2026-08-25T00:00:00Z">
        <w:r>
          <w:delText xml:space="preserve">Standardised coefficients are computed as </w:delText>
        </w:r>
      </w:del>
      <m:oMath>
        <m:sSubSup>
          <m:sSubSupPr>
            <m:ctrlPr>
              <w:rPr>
                <w:rFonts w:ascii="Cambria Math" w:hAnsi="Cambria Math"/>
              </w:rPr>
            </m:ctrlPr>
          </m:sSubSupPr>
          <m:e>
            <m:r>
              <w:del w:id="111" w:author="Revision" w:date="2026-08-25T00:00:00Z">
                <w:rPr>
                  <w:rFonts w:ascii="Cambria Math" w:hAnsi="Cambria Math"/>
                </w:rPr>
                <m:t>β</m:t>
              </w:del>
            </m:r>
          </m:e>
          <m:sub>
            <m:r>
              <w:del w:id="112" w:author="Revision" w:date="2026-08-25T00:00:00Z">
                <w:rPr>
                  <w:rFonts w:ascii="Cambria Math" w:hAnsi="Cambria Math"/>
                </w:rPr>
                <m:t>k</m:t>
              </w:del>
            </m:r>
          </m:sub>
          <m:sup>
            <m:r>
              <w:del w:id="113" w:author="Revision" w:date="2026-08-25T00:00:00Z">
                <m:rPr>
                  <m:sty m:val="p"/>
                </m:rPr>
                <w:rPr>
                  <w:rFonts w:ascii="Cambria Math" w:hAnsi="Cambria Math"/>
                </w:rPr>
                <m:t>*</m:t>
              </w:del>
            </m:r>
          </m:sup>
        </m:sSubSup>
        <m:r>
          <w:del w:id="114" w:author="Revision" w:date="2026-08-25T00:00:00Z">
            <m:rPr>
              <m:sty m:val="p"/>
            </m:rPr>
            <w:rPr>
              <w:rFonts w:ascii="Cambria Math" w:hAnsi="Cambria Math"/>
            </w:rPr>
            <m:t>=</m:t>
          </w:del>
        </m:r>
        <m:sSub>
          <m:sSubPr>
            <m:ctrlPr>
              <w:rPr>
                <w:rFonts w:ascii="Cambria Math" w:hAnsi="Cambria Math"/>
              </w:rPr>
            </m:ctrlPr>
          </m:sSubPr>
          <m:e>
            <m:acc>
              <m:accPr>
                <m:ctrlPr>
                  <w:rPr>
                    <w:rFonts w:ascii="Cambria Math" w:hAnsi="Cambria Math"/>
                  </w:rPr>
                </m:ctrlPr>
              </m:accPr>
              <m:e>
                <m:r>
                  <w:del w:id="115" w:author="Revision" w:date="2026-08-25T00:00:00Z">
                    <w:rPr>
                      <w:rFonts w:ascii="Cambria Math" w:hAnsi="Cambria Math"/>
                    </w:rPr>
                    <m:t>β</m:t>
                  </w:del>
                </m:r>
              </m:e>
            </m:acc>
          </m:e>
          <m:sub>
            <m:r>
              <w:del w:id="116" w:author="Revision" w:date="2026-08-25T00:00:00Z">
                <w:rPr>
                  <w:rFonts w:ascii="Cambria Math" w:hAnsi="Cambria Math"/>
                </w:rPr>
                <m:t>k</m:t>
              </w:del>
            </m:r>
          </m:sub>
        </m:sSub>
        <m:r>
          <w:del w:id="117" w:author="Revision" w:date="2026-08-25T00:00:00Z">
            <m:rPr>
              <m:sty m:val="p"/>
            </m:rPr>
            <w:rPr>
              <w:rFonts w:ascii="Cambria Math" w:hAnsi="Cambria Math"/>
            </w:rPr>
            <m:t>×</m:t>
          </w:del>
        </m:r>
        <m:r>
          <w:del w:id="118" w:author="Revision" w:date="2026-08-25T00:00:00Z">
            <m:rPr>
              <m:nor/>
            </m:rPr>
            <m:t>SD</m:t>
          </w:del>
        </m:r>
        <m:d>
          <m:dPr>
            <m:ctrlPr>
              <w:rPr>
                <w:rFonts w:ascii="Cambria Math" w:hAnsi="Cambria Math"/>
              </w:rPr>
            </m:ctrlPr>
          </m:dPr>
          <m:e>
            <m:sSub>
              <m:sSubPr>
                <m:ctrlPr>
                  <w:rPr>
                    <w:rFonts w:ascii="Cambria Math" w:hAnsi="Cambria Math"/>
                  </w:rPr>
                </m:ctrlPr>
              </m:sSubPr>
              <m:e>
                <m:r>
                  <w:del w:id="119" w:author="Revision" w:date="2026-08-25T00:00:00Z">
                    <w:rPr>
                      <w:rFonts w:ascii="Cambria Math" w:hAnsi="Cambria Math"/>
                    </w:rPr>
                    <m:t>x</m:t>
                  </w:del>
                </m:r>
              </m:e>
              <m:sub>
                <m:r>
                  <w:del w:id="120" w:author="Revision" w:date="2026-08-25T00:00:00Z">
                    <w:rPr>
                      <w:rFonts w:ascii="Cambria Math" w:hAnsi="Cambria Math"/>
                    </w:rPr>
                    <m:t>k</m:t>
                  </w:del>
                </m:r>
              </m:sub>
            </m:sSub>
          </m:e>
        </m:d>
        <m:r>
          <w:del w:id="121" w:author="Revision" w:date="2026-08-25T00:00:00Z">
            <m:rPr>
              <m:sty m:val="p"/>
            </m:rPr>
            <w:rPr>
              <w:rFonts w:ascii="Cambria Math" w:hAnsi="Cambria Math"/>
            </w:rPr>
            <m:t>/</m:t>
          </w:del>
        </m:r>
        <m:r>
          <w:del w:id="122" w:author="Revision" w:date="2026-08-25T00:00:00Z">
            <m:rPr>
              <m:nor/>
            </m:rPr>
            <m:t>SD</m:t>
          </w:del>
        </m:r>
        <m:d>
          <m:dPr>
            <m:ctrlPr>
              <w:rPr>
                <w:rFonts w:ascii="Cambria Math" w:hAnsi="Cambria Math"/>
              </w:rPr>
            </m:ctrlPr>
          </m:dPr>
          <m:e>
            <m:r>
              <w:del w:id="123" w:author="Revision" w:date="2026-08-25T00:00:00Z">
                <m:rPr>
                  <m:sty m:val="p"/>
                </m:rPr>
                <w:rPr>
                  <w:rFonts w:ascii="Cambria Math" w:hAnsi="Cambria Math"/>
                </w:rPr>
                <m:t>log</m:t>
              </w:del>
            </m:r>
            <m:r>
              <w:del w:id="124" w:author="Revision" w:date="2026-08-25T00:00:00Z">
                <m:rPr>
                  <m:nor/>
                </m:rPr>
                <m:t>ATT8</m:t>
              </w:del>
            </m:r>
          </m:e>
        </m:d>
      </m:oMath>
      <w:del w:id="125" w:author="Revision" w:date="2026-08-25T00:00:00Z">
        <w:r>
          <w:delText xml:space="preserve">, where </w:delText>
        </w:r>
      </w:del>
      <m:oMath>
        <m:r>
          <w:del w:id="126" w:author="Revision" w:date="2026-08-25T00:00:00Z">
            <m:rPr>
              <m:nor/>
            </m:rPr>
            <m:t>SD</m:t>
          </w:del>
        </m:r>
        <m:d>
          <m:dPr>
            <m:ctrlPr>
              <w:rPr>
                <w:rFonts w:ascii="Cambria Math" w:hAnsi="Cambria Math"/>
              </w:rPr>
            </m:ctrlPr>
          </m:dPr>
          <m:e>
            <m:sSub>
              <m:sSubPr>
                <m:ctrlPr>
                  <w:rPr>
                    <w:rFonts w:ascii="Cambria Math" w:hAnsi="Cambria Math"/>
                  </w:rPr>
                </m:ctrlPr>
              </m:sSubPr>
              <m:e>
                <m:r>
                  <w:del w:id="127" w:author="Revision" w:date="2026-08-25T00:00:00Z">
                    <w:rPr>
                      <w:rFonts w:ascii="Cambria Math" w:hAnsi="Cambria Math"/>
                    </w:rPr>
                    <m:t>x</m:t>
                  </w:del>
                </m:r>
              </m:e>
              <m:sub>
                <m:r>
                  <w:del w:id="128" w:author="Revision" w:date="2026-08-25T00:00:00Z">
                    <w:rPr>
                      <w:rFonts w:ascii="Cambria Math" w:hAnsi="Cambria Math"/>
                    </w:rPr>
                    <m:t>k</m:t>
                  </w:del>
                </m:r>
              </m:sub>
            </m:sSub>
          </m:e>
        </m:d>
      </m:oMath>
      <w:del w:id="129" w:author="Unknown">
        <w:r>
          <w:delText xml:space="preserve"> </w:delText>
        </w:r>
      </w:del>
      <w:ins w:id="130" w:author="Revision" w:date="2026-08-25T00:00:00Z">
        <w:del w:id="131" w:author="Unknown">
          <w:r>
            <w:delText xml:space="preserve">Department for Education, </w:delText>
          </w:r>
          <w:r>
            <w:rPr>
              <w:i/>
              <w:iCs/>
            </w:rPr>
            <w:delText>Key stage 4 performance</w:delText>
          </w:r>
          <w:r>
            <w:delText>: “It</w:delText>
          </w:r>
        </w:del>
      </w:ins>
      <w:del w:id="132" w:author="Unknown">
        <w:r>
          <w:delText xml:space="preserve"> is </w:delText>
        </w:r>
      </w:del>
      <w:del w:id="133" w:author="Revision" w:date="2026-08-25T00:00:00Z">
        <w:r>
          <w:delText>the sample standard deviation of the predictor (log-transformed where applicable).</w:delText>
        </w:r>
      </w:del>
      <w:del w:id="134" w:author="Unknown">
        <w:r>
          <w:delText xml:space="preserve"> </w:delText>
        </w:r>
      </w:del>
      <w:ins w:id="135" w:author="Revision" w:date="2026-08-25T00:00:00Z">
        <w:del w:id="136" w:author="Unknown">
          <w:r>
            <w:delText>not possible to calculate Progress 8 for academic years 2024/25 and 2025/26.</w:delText>
          </w:r>
        </w:del>
      </w:ins>
      <w:del w:id="137" w:author="Unknown">
        <w:r>
          <w:delText xml:space="preserve"> This </w:delText>
        </w:r>
      </w:del>
      <w:del w:id="138" w:author="Revision" w:date="2026-08-25T00:00:00Z">
        <w:r>
          <w:delText>rescales each coefficient</w:delText>
        </w:r>
      </w:del>
      <w:del w:id="139" w:author="Unknown">
        <w:r>
          <w:delText xml:space="preserve"> </w:delText>
        </w:r>
      </w:del>
      <w:ins w:id="140" w:author="Revision" w:date="2026-08-25T00:00:00Z">
        <w:del w:id="141" w:author="Unknown">
          <w:r>
            <w:delText>is because there is no KS2 prior attainment data available</w:delText>
          </w:r>
        </w:del>
      </w:ins>
      <w:del w:id="142" w:author="Unknown">
        <w:r>
          <w:delText xml:space="preserve"> to </w:delText>
        </w:r>
      </w:del>
      <w:del w:id="143" w:author="Revision" w:date="2026-08-25T00:00:00Z">
        <w:r>
          <w:delText>represent</w:delText>
        </w:r>
      </w:del>
      <w:del w:id="144" w:author="Unknown">
        <w:r>
          <w:delText xml:space="preserve"> </w:delText>
        </w:r>
      </w:del>
      <w:ins w:id="145" w:author="Revision" w:date="2026-08-25T00:00:00Z">
        <w:del w:id="146" w:author="Unknown">
          <w:r>
            <w:delText>use to calculate Progress 8 when</w:delText>
          </w:r>
        </w:del>
      </w:ins>
      <w:del w:id="147" w:author="Unknown">
        <w:r>
          <w:delText xml:space="preserve"> the </w:delText>
        </w:r>
      </w:del>
      <w:del w:id="148" w:author="Revision" w:date="2026-08-25T00:00:00Z">
        <w:r>
          <w:delText>change in outcome, in standard-deviation units, associated with a one-standard-deviation change in</w:delText>
        </w:r>
      </w:del>
      <w:del w:id="149" w:author="Unknown">
        <w:r>
          <w:delText xml:space="preserve"> </w:delText>
        </w:r>
      </w:del>
      <w:ins w:id="150" w:author="Revision" w:date="2026-08-25T00:00:00Z">
        <w:del w:id="151" w:author="Unknown">
          <w:r>
            <w:delText>relevant cohorts reach</w:delText>
          </w:r>
        </w:del>
      </w:ins>
      <w:del w:id="152" w:author="Unknown">
        <w:r>
          <w:delText xml:space="preserve"> the </w:delText>
        </w:r>
      </w:del>
      <w:del w:id="153" w:author="Revision" w:date="2026-08-25T00:00:00Z">
        <w:r>
          <w:delText>predictor.</w:delText>
        </w:r>
      </w:del>
      <w:del w:id="154" w:author="Unknown">
        <w:r>
          <w:delText xml:space="preserve"> </w:delText>
        </w:r>
      </w:del>
      <w:ins w:id="155" w:author="Revision" w:date="2026-08-25T00:00:00Z">
        <w:del w:id="156" w:author="Unknown">
          <w:r>
            <w:delText xml:space="preserve">end of KS4 as primary tests and assessments were cancelled in academic years 2019/20 and 2020/21 due to COVID-19 disruption.” </w:delText>
          </w:r>
        </w:del>
      </w:ins>
      <w:r>
        <w:fldChar w:fldCharType="begin"/>
      </w:r>
      <w:r>
        <w:instrText>HYPERLINK "https://explore-education-statistics.service.gov.uk/find-statistics/key-stage-4-performance" \h</w:instrText>
      </w:r>
      <w:r>
        <w:fldChar w:fldCharType="separate"/>
      </w:r>
      <w:ins w:id="157" w:author="Revision" w:date="2026-08-25T00:00:00Z">
        <w:del w:id="158" w:author="Unknown">
          <w:r>
            <w:rPr>
              <w:rStyle w:val="Hyperlink"/>
            </w:rPr>
            <w:delText>https://explore-education-statistics.service.gov.uk/find-statistics/key-stage-4-performance</w:delText>
          </w:r>
        </w:del>
      </w:ins>
      <w:r>
        <w:fldChar w:fldCharType="end"/>
      </w:r>
    </w:p>
  </w:footnote>
  <w:footnote w:id="11">
    <w:p w14:paraId="60EC72DE" w14:textId="77777777" w:rsidR="001A6FB3" w:rsidRDefault="00000000">
      <w:pPr>
        <w:pStyle w:val="FootnoteText"/>
      </w:pPr>
      <w:r>
        <w:rPr>
          <w:rStyle w:val="FootnoteReference"/>
        </w:rPr>
        <w:footnoteRef/>
      </w:r>
      <w:del w:id="165" w:author="Unknown">
        <w:r>
          <w:delText xml:space="preserve"> Standardised coefficients are computed as </w:delText>
        </w:r>
      </w:del>
      <m:oMath>
        <m:sSubSup>
          <m:sSubSupPr>
            <m:ctrlPr>
              <w:rPr>
                <w:rFonts w:ascii="Cambria Math" w:hAnsi="Cambria Math"/>
              </w:rPr>
            </m:ctrlPr>
          </m:sSubSupPr>
          <m:e>
            <m:r>
              <w:rPr>
                <w:rFonts w:ascii="Cambria Math" w:hAnsi="Cambria Math"/>
              </w:rPr>
              <m:t>β</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k</m:t>
            </m:r>
          </m:sub>
        </m:sSub>
        <m:r>
          <m:rPr>
            <m:sty m:val="p"/>
          </m:rPr>
          <w:rPr>
            <w:rFonts w:ascii="Cambria Math" w:hAnsi="Cambria Math"/>
          </w:rPr>
          <m:t>×</m:t>
        </m:r>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m:rPr>
            <m:sty m:val="p"/>
          </m:rPr>
          <w:rPr>
            <w:rFonts w:ascii="Cambria Math" w:hAnsi="Cambria Math"/>
          </w:rPr>
          <m:t>/</m:t>
        </m:r>
        <m:r>
          <m:rPr>
            <m:nor/>
          </m:rPr>
          <m:t>SD</m:t>
        </m:r>
        <m:d>
          <m:dPr>
            <m:ctrlPr>
              <w:rPr>
                <w:rFonts w:ascii="Cambria Math" w:hAnsi="Cambria Math"/>
              </w:rPr>
            </m:ctrlPr>
          </m:dPr>
          <m:e>
            <m:r>
              <m:rPr>
                <m:sty m:val="p"/>
              </m:rPr>
              <w:rPr>
                <w:rFonts w:ascii="Cambria Math" w:hAnsi="Cambria Math"/>
              </w:rPr>
              <m:t>log</m:t>
            </m:r>
            <m:r>
              <m:rPr>
                <m:nor/>
              </m:rPr>
              <m:t>ATT8</m:t>
            </m:r>
          </m:e>
        </m:d>
      </m:oMath>
      <w:del w:id="166" w:author="Unknown">
        <w:r>
          <w:delText xml:space="preserve">, where </w:delText>
        </w:r>
      </w:del>
      <m:oMath>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oMath>
      <w:del w:id="167" w:author="Unknown">
        <w:r>
          <w:delText xml:space="preserve"> is the sample standard deviation of the predictor (log-transformed where applicable). This rescales each coefficient to represent the change in outcome, in standard-deviation units, associated with a one-standard-deviation change in the predictor.</w:delText>
        </w:r>
      </w:del>
    </w:p>
  </w:footnote>
  <w:footnote w:id="12">
    <w:p w14:paraId="69FF9393" w14:textId="77777777" w:rsidR="001A6FB3" w:rsidRDefault="00000000">
      <w:pPr>
        <w:pStyle w:val="FootnoteText"/>
      </w:pPr>
      <w:r>
        <w:rPr>
          <w:rStyle w:val="FootnoteReference"/>
        </w:rPr>
        <w:footnoteRef/>
      </w:r>
      <w:del w:id="179" w:author="Unknown">
        <w:r>
          <w:delText xml:space="preserve"> Stepwise Models for all pupil groups </w:delText>
        </w:r>
      </w:del>
      <w:r>
        <w:fldChar w:fldCharType="begin"/>
      </w:r>
      <w:r>
        <w:instrText>HYPERLINK "https://osf.io/x82j3/overview" \h</w:instrText>
      </w:r>
      <w:r>
        <w:fldChar w:fldCharType="separate"/>
      </w:r>
      <w:del w:id="180" w:author="Unknown">
        <w:r>
          <w:rPr>
            <w:rStyle w:val="Hyperlink"/>
          </w:rPr>
          <w:delText>https://osf.io/x82j3/overview (see `model_results.html#stepwise-model-building` in `supplementary.zip`)</w:delText>
        </w:r>
      </w:del>
      <w:r>
        <w:fldChar w:fldCharType="end"/>
      </w:r>
    </w:p>
  </w:footnote>
  <w:footnote w:id="13">
    <w:p w14:paraId="0CCD61F2" w14:textId="77777777" w:rsidR="001A6FB3" w:rsidRDefault="00000000">
      <w:pPr>
        <w:pStyle w:val="FootnoteText"/>
      </w:pPr>
      <w:r>
        <w:rPr>
          <w:rStyle w:val="FootnoteReference"/>
        </w:rPr>
        <w:footnoteRef/>
      </w:r>
      <w:del w:id="193" w:author="Unknown">
        <w:r>
          <w:delText xml:space="preserve"> </w:delText>
        </w:r>
      </w:del>
      <w:del w:id="194" w:author="Revision" w:date="2026-08-25T00:00:00Z">
        <w:r>
          <w:delText xml:space="preserve">Brighton and Hove City Council (2024) </w:delText>
        </w:r>
        <w:r>
          <w:rPr>
            <w:i/>
            <w:iCs/>
          </w:rPr>
          <w:delText>School Admission Arrangements 2026/27</w:delText>
        </w:r>
        <w:r>
          <w:delText xml:space="preserve"> — Cabinet Report, 5 December 2024 (decision to consult): </w:delText>
        </w:r>
      </w:del>
      <w:r>
        <w:fldChar w:fldCharType="begin"/>
      </w:r>
      <w:r>
        <w:instrText>HYPERLINK "https://democracy.brighton-hove.gov.uk/documents/s204040/School%20Admission%20Arrangements%202026-27.pdf" \h</w:instrText>
      </w:r>
      <w:r>
        <w:fldChar w:fldCharType="separate"/>
      </w:r>
      <w:del w:id="195" w:author="Revision" w:date="2026-08-25T00:00:00Z">
        <w:r>
          <w:rPr>
            <w:rStyle w:val="Hyperlink"/>
          </w:rPr>
          <w:delText>https://democracy.brighton-hove.gov.uk/documents/s204040/School%20Admission%20Arrangements%202026-27.pdf</w:delText>
        </w:r>
      </w:del>
      <w:r>
        <w:fldChar w:fldCharType="end"/>
      </w:r>
      <w:del w:id="196" w:author="Revision" w:date="2026-08-25T00:00:00Z">
        <w:r>
          <w:delText xml:space="preserve">. Brighton and Hove City Council (2025) </w:delText>
        </w:r>
        <w:r>
          <w:rPr>
            <w:i/>
            <w:iCs/>
          </w:rPr>
          <w:delText>School Admission Arrangements 2026/27</w:delText>
        </w:r>
        <w:r>
          <w:delText xml:space="preserve"> — Full Council Report, 27 February 2025 (determination): </w:delText>
        </w:r>
      </w:del>
      <w:r>
        <w:fldChar w:fldCharType="begin"/>
      </w:r>
      <w:r>
        <w:instrText>HYPERLINK "https://democracy.brighton-hove.gov.uk/documents/s205834/School%20Admission%20Arrangements%202026-27.pdf" \h</w:instrText>
      </w:r>
      <w:r>
        <w:fldChar w:fldCharType="separate"/>
      </w:r>
      <w:del w:id="197" w:author="Revision" w:date="2026-08-25T00:00:00Z">
        <w:r>
          <w:rPr>
            <w:rStyle w:val="Hyperlink"/>
          </w:rPr>
          <w:delText>https://democracy.brighton-hove.gov.uk/documents/s205834/School%20Admission%20Arrangements%202026-27.pdf</w:delText>
        </w:r>
      </w:del>
      <w:r>
        <w:fldChar w:fldCharType="end"/>
      </w:r>
      <w:del w:id="198" w:author="Revision" w:date="2026-08-25T00:00:00Z">
        <w:r>
          <w:delText>.</w:delText>
        </w:r>
      </w:del>
      <w:del w:id="199" w:author="Unknown">
        <w:r>
          <w:delText xml:space="preserve"> </w:delText>
        </w:r>
      </w:del>
      <w:ins w:id="200" w:author="Revision" w:date="2026-08-25T00:00:00Z">
        <w:del w:id="201" w:author="Unknown">
          <w:r>
            <w:delText xml:space="preserve">See supplementary material for robustness checks: </w:delText>
          </w:r>
        </w:del>
      </w:ins>
      <w:r>
        <w:fldChar w:fldCharType="begin"/>
      </w:r>
      <w:r>
        <w:instrText>HYPERLINK "https://osf.io/x82j3/overview" \h</w:instrText>
      </w:r>
      <w:r>
        <w:fldChar w:fldCharType="separate"/>
      </w:r>
      <w:ins w:id="202" w:author="Revision" w:date="2026-08-25T00:00:00Z">
        <w:del w:id="203" w:author="Unknown">
          <w:r>
            <w:rPr>
              <w:rStyle w:val="Hyperlink"/>
            </w:rPr>
            <w:delText>https://osf.io/x82j3/overview (see `model_experiments.html` in `supplementary.zip`)</w:delText>
          </w:r>
        </w:del>
      </w:ins>
      <w:r>
        <w:fldChar w:fldCharType="end"/>
      </w:r>
    </w:p>
  </w:footnote>
  <w:footnote w:id="14">
    <w:p w14:paraId="3E3337D6" w14:textId="77777777" w:rsidR="001A6FB3" w:rsidRDefault="00000000">
      <w:pPr>
        <w:pStyle w:val="FootnoteText"/>
      </w:pPr>
      <w:r>
        <w:rPr>
          <w:rStyle w:val="FootnoteReference"/>
        </w:rPr>
        <w:footnoteRef/>
      </w:r>
      <w:r>
        <w:t xml:space="preserve"> Brighton and Hove City Council (2024) *School Admission Arrangements </w:t>
      </w:r>
      <w:del w:id="205" w:author="Revision" w:date="2026-08-25T00:00:00Z">
        <w:r>
          <w:delText>2026/27</w:delText>
        </w:r>
      </w:del>
      <w:r>
        <w:t xml:space="preserve"> </w:t>
      </w:r>
      <w:ins w:id="206" w:author="Revision" w:date="2026-08-25T00:00:00Z">
        <w:r>
          <w:t>2026/27*</w:t>
        </w:r>
      </w:ins>
      <w:r>
        <w:t xml:space="preserve"> - </w:t>
      </w:r>
      <w:del w:id="207" w:author="Revision" w:date="2026-08-25T00:00:00Z">
        <w:r>
          <w:delText>Appendix 9: Transport Implications and Considerations*.</w:delText>
        </w:r>
      </w:del>
      <w:r>
        <w:t xml:space="preserve"> Cabinet </w:t>
      </w:r>
      <w:del w:id="208" w:author="Revision" w:date="2026-08-25T00:00:00Z">
        <w:r>
          <w:delText xml:space="preserve">papers accompanying the secondary school admissions consultation, available via the consultation portal: </w:delText>
        </w:r>
      </w:del>
      <w:r>
        <w:fldChar w:fldCharType="begin"/>
      </w:r>
      <w:r>
        <w:instrText>HYPERLINK "https://yourvoice.brighton-hove.gov.uk/en-GB/projects/school-admission-arrangements-public-consultation/1" \h</w:instrText>
      </w:r>
      <w:r>
        <w:fldChar w:fldCharType="separate"/>
      </w:r>
      <w:del w:id="209" w:author="Revision" w:date="2026-08-25T00:00:00Z">
        <w:r>
          <w:rPr>
            <w:rStyle w:val="Hyperlink"/>
          </w:rPr>
          <w:delText>https://yourvoice.brighton-hove.gov.uk/en-GB/projects/school-admission-arrangements-public-consultation/1</w:delText>
        </w:r>
      </w:del>
      <w:r>
        <w:fldChar w:fldCharType="end"/>
      </w:r>
      <w:del w:id="210" w:author="Revision" w:date="2026-08-25T00:00:00Z">
        <w:r>
          <w:delText>.</w:delText>
        </w:r>
      </w:del>
      <w:r>
        <w:t xml:space="preserve"> </w:t>
      </w:r>
      <w:ins w:id="211" w:author="Revision" w:date="2026-08-25T00:00:00Z">
        <w:r>
          <w:t xml:space="preserve">Report, 5 December 2024 (decision to consult): </w:t>
        </w:r>
      </w:ins>
      <w:r>
        <w:fldChar w:fldCharType="begin"/>
      </w:r>
      <w:r>
        <w:instrText>HYPERLINK "https://democracy.brighton-hove.gov.uk/documents/s204040/School%20Admission%20Arrangements%202026-27.pdf" \h</w:instrText>
      </w:r>
      <w:r>
        <w:fldChar w:fldCharType="separate"/>
      </w:r>
      <w:ins w:id="212" w:author="Revision" w:date="2026-08-25T00:00:00Z">
        <w:r>
          <w:rPr>
            <w:rStyle w:val="Hyperlink"/>
          </w:rPr>
          <w:t>https://democracy.brighton-hove.gov.uk/documents/s204040/School%20Admission%20Arrangements%202026-27.pdf</w:t>
        </w:r>
      </w:ins>
      <w:r>
        <w:fldChar w:fldCharType="end"/>
      </w:r>
      <w:ins w:id="213" w:author="Revision" w:date="2026-08-25T00:00:00Z">
        <w:r>
          <w:t xml:space="preserve">. Brighton and Hove City Council (2025) </w:t>
        </w:r>
        <w:r>
          <w:rPr>
            <w:i/>
            <w:iCs/>
          </w:rPr>
          <w:t>School Admission Arrangements 2026/27</w:t>
        </w:r>
        <w:r>
          <w:t xml:space="preserve"> - Full Council Report, 27 February 2025 (determination): </w:t>
        </w:r>
      </w:ins>
      <w:r>
        <w:fldChar w:fldCharType="begin"/>
      </w:r>
      <w:r>
        <w:instrText>HYPERLINK "https://democracy.brighton-hove.gov.uk/documents/s205834/School%20Admission%20Arrangements%202026-27.pdf" \h</w:instrText>
      </w:r>
      <w:r>
        <w:fldChar w:fldCharType="separate"/>
      </w:r>
      <w:ins w:id="214" w:author="Revision" w:date="2026-08-25T00:00:00Z">
        <w:r>
          <w:rPr>
            <w:rStyle w:val="Hyperlink"/>
          </w:rPr>
          <w:t>https://democracy.brighton-hove.gov.uk/documents/s205834/School%20Admission%20Arrangements%202026-27.pdf</w:t>
        </w:r>
      </w:ins>
      <w:r>
        <w:fldChar w:fldCharType="end"/>
      </w:r>
      <w:ins w:id="215" w:author="Revision" w:date="2026-08-25T00:00:00Z">
        <w:r>
          <w:t>.</w:t>
        </w:r>
      </w:ins>
    </w:p>
  </w:footnote>
  <w:footnote w:id="15">
    <w:p w14:paraId="4DF1EC0D" w14:textId="77777777" w:rsidR="001A6FB3" w:rsidRDefault="00000000">
      <w:pPr>
        <w:pStyle w:val="FootnoteText"/>
      </w:pPr>
      <w:r>
        <w:rPr>
          <w:rStyle w:val="FootnoteReference"/>
        </w:rPr>
        <w:footnoteRef/>
      </w:r>
      <w:del w:id="217" w:author="Unknown">
        <w:r>
          <w:delText xml:space="preserve"> Brighton and Hove City Council (2024) *School Admission Arrangements </w:delText>
        </w:r>
      </w:del>
      <w:del w:id="218" w:author="Revision" w:date="2026-08-25T00:00:00Z">
        <w:r>
          <w:delText>2026/27</w:delText>
        </w:r>
      </w:del>
      <w:del w:id="219" w:author="Unknown">
        <w:r>
          <w:delText xml:space="preserve"> </w:delText>
        </w:r>
      </w:del>
      <w:ins w:id="220" w:author="Revision" w:date="2026-08-25T00:00:00Z">
        <w:del w:id="221" w:author="Unknown">
          <w:r>
            <w:delText>2026/27*</w:delText>
          </w:r>
        </w:del>
      </w:ins>
      <w:del w:id="222" w:author="Unknown">
        <w:r>
          <w:delText xml:space="preserve"> - </w:delText>
        </w:r>
      </w:del>
      <w:del w:id="223" w:author="Revision" w:date="2026-08-25T00:00:00Z">
        <w:r>
          <w:delText>Appendix 9: Transport Implications and Considerations*.</w:delText>
        </w:r>
      </w:del>
      <w:del w:id="224" w:author="Unknown">
        <w:r>
          <w:delText xml:space="preserve"> Cabinet </w:delText>
        </w:r>
      </w:del>
      <w:del w:id="225" w:author="Revision" w:date="2026-08-25T00:00:00Z">
        <w:r>
          <w:delText xml:space="preserve">papers accompanying the secondary school admissions consultation, available via the consultation portal: </w:delText>
        </w:r>
      </w:del>
      <w:r>
        <w:fldChar w:fldCharType="begin"/>
      </w:r>
      <w:r>
        <w:instrText>HYPERLINK "https://yourvoice.brighton-hove.gov.uk/en-GB/projects/school-admission-arrangements-public-consultation/1" \h</w:instrText>
      </w:r>
      <w:r>
        <w:fldChar w:fldCharType="separate"/>
      </w:r>
      <w:del w:id="226" w:author="Revision" w:date="2026-08-25T00:00:00Z">
        <w:r>
          <w:rPr>
            <w:rStyle w:val="Hyperlink"/>
          </w:rPr>
          <w:delText>https://yourvoice.brighton-hove.gov.uk/en-GB/projects/school-admission-arrangements-public-consultation/1</w:delText>
        </w:r>
      </w:del>
      <w:r>
        <w:fldChar w:fldCharType="end"/>
      </w:r>
      <w:del w:id="227" w:author="Revision" w:date="2026-08-25T00:00:00Z">
        <w:r>
          <w:delText>.</w:delText>
        </w:r>
      </w:del>
      <w:del w:id="228" w:author="Unknown">
        <w:r>
          <w:delText xml:space="preserve"> </w:delText>
        </w:r>
      </w:del>
      <w:ins w:id="229" w:author="Revision" w:date="2026-08-25T00:00:00Z">
        <w:del w:id="230" w:author="Unknown">
          <w:r>
            <w:delText xml:space="preserve">Report, 5 December 2024 (decision to consult): </w:delText>
          </w:r>
        </w:del>
      </w:ins>
      <w:r>
        <w:fldChar w:fldCharType="begin"/>
      </w:r>
      <w:r>
        <w:instrText>HYPERLINK "https://democracy.brighton-hove.gov.uk/documents/s204040/School%20Admission%20Arrangements%202026-27.pdf" \h</w:instrText>
      </w:r>
      <w:r>
        <w:fldChar w:fldCharType="separate"/>
      </w:r>
      <w:ins w:id="231" w:author="Revision" w:date="2026-08-25T00:00:00Z">
        <w:del w:id="232" w:author="Unknown">
          <w:r>
            <w:rPr>
              <w:rStyle w:val="Hyperlink"/>
            </w:rPr>
            <w:delText>https://democracy.brighton-hove.gov.uk/documents/s204040/School%20Admission%20Arrangements%202026-27.pdf</w:delText>
          </w:r>
        </w:del>
      </w:ins>
      <w:r>
        <w:fldChar w:fldCharType="end"/>
      </w:r>
      <w:ins w:id="233" w:author="Revision" w:date="2026-08-25T00:00:00Z">
        <w:del w:id="234" w:author="Unknown">
          <w:r>
            <w:delText xml:space="preserve">. Brighton and Hove City Council (2025) </w:delText>
          </w:r>
          <w:r>
            <w:rPr>
              <w:i/>
              <w:iCs/>
            </w:rPr>
            <w:delText>School Admission Arrangements 2026/27</w:delText>
          </w:r>
          <w:r>
            <w:delText xml:space="preserve"> - Full Council Report, 27 February 2025 (determination): </w:delText>
          </w:r>
        </w:del>
      </w:ins>
      <w:r>
        <w:fldChar w:fldCharType="begin"/>
      </w:r>
      <w:r>
        <w:instrText>HYPERLINK "https://democracy.brighton-hove.gov.uk/documents/s205834/School%20Admission%20Arrangements%202026-27.pdf" \h</w:instrText>
      </w:r>
      <w:r>
        <w:fldChar w:fldCharType="separate"/>
      </w:r>
      <w:ins w:id="235" w:author="Revision" w:date="2026-08-25T00:00:00Z">
        <w:del w:id="236" w:author="Unknown">
          <w:r>
            <w:rPr>
              <w:rStyle w:val="Hyperlink"/>
            </w:rPr>
            <w:delText>https://democracy.brighton-hove.gov.uk/documents/s205834/School%20Admission%20Arrangements%202026-27.pdf</w:delText>
          </w:r>
        </w:del>
      </w:ins>
      <w:r>
        <w:fldChar w:fldCharType="end"/>
      </w:r>
      <w:ins w:id="237" w:author="Revision" w:date="2026-08-25T00:00:00Z">
        <w:del w:id="238" w:author="Unknown">
          <w:r>
            <w:delText>.</w:delText>
          </w:r>
        </w:del>
      </w:ins>
    </w:p>
  </w:footnote>
  <w:footnote w:id="16">
    <w:p w14:paraId="54F98A5C" w14:textId="77777777" w:rsidR="001A6FB3" w:rsidRDefault="00000000">
      <w:pPr>
        <w:pStyle w:val="FootnoteText"/>
      </w:pPr>
      <w:r>
        <w:rPr>
          <w:rStyle w:val="FootnoteReference"/>
        </w:rPr>
        <w:footnoteRef/>
      </w:r>
      <w:r>
        <w:t xml:space="preserve"> </w:t>
      </w:r>
      <w:r>
        <w:fldChar w:fldCharType="begin"/>
      </w:r>
      <w:r>
        <w:instrText>HYPERLINK "https://www.brighton-hove.gov.uk/schools-and-learning/school-policies-reports-strategies-and-other-documents/better-outcomes-better-lives-brighton-hoves-strategy-tackling-educational-disadvantage" \h</w:instrText>
      </w:r>
      <w:r>
        <w:fldChar w:fldCharType="separate"/>
      </w:r>
      <w:del w:id="240" w:author="Revision" w:date="2026-08-25T00:00:00Z">
        <w:r>
          <w:rPr>
            <w:rStyle w:val="Hyperlink"/>
          </w:rPr>
          <w:delText>https://www.brighton-hove.gov.uk/schools-and-learning/school-policies-reports-strategies-and-other-documents/better-outcomes-better-lives-brighton-hoves-strategy-tackling-educational-disadvantage</w:delText>
        </w:r>
      </w:del>
      <w:r>
        <w:fldChar w:fldCharType="end"/>
      </w:r>
      <w:r>
        <w:t xml:space="preserve"> </w:t>
      </w:r>
      <w:ins w:id="241" w:author="Revision" w:date="2026-08-25T00:00:00Z">
        <w:r>
          <w:t xml:space="preserve">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ins>
      <w:r>
        <w:fldChar w:fldCharType="begin"/>
      </w:r>
      <w:r>
        <w:instrText>HYPERLINK "https://yourvoice.brighton-hove.gov.uk/en-GB/projects/school-admission-arrangements-public-consultation/1" \h</w:instrText>
      </w:r>
      <w:r>
        <w:fldChar w:fldCharType="separate"/>
      </w:r>
      <w:ins w:id="242" w:author="Revision" w:date="2026-08-25T00:00:00Z">
        <w:r>
          <w:rPr>
            <w:rStyle w:val="Hyperlink"/>
          </w:rPr>
          <w:t>https://yourvoice.brighton-hove.gov.uk/en-GB/projects/school-admission-arrangements-public-consultation/1</w:t>
        </w:r>
      </w:ins>
      <w:r>
        <w:fldChar w:fldCharType="end"/>
      </w:r>
      <w:ins w:id="243" w:author="Revision" w:date="2026-08-25T00:00:00Z">
        <w:r>
          <w:t>.</w:t>
        </w:r>
      </w:ins>
    </w:p>
  </w:footnote>
  <w:footnote w:id="17">
    <w:p w14:paraId="043DCAE2" w14:textId="77777777" w:rsidR="001A6FB3" w:rsidRDefault="00000000">
      <w:pPr>
        <w:pStyle w:val="FootnoteText"/>
      </w:pPr>
      <w:r>
        <w:rPr>
          <w:rStyle w:val="FootnoteReference"/>
        </w:rPr>
        <w:footnoteRef/>
      </w:r>
      <w:del w:id="245" w:author="Unknown">
        <w:r>
          <w:delText xml:space="preserve"> </w:delText>
        </w:r>
      </w:del>
      <w:r>
        <w:fldChar w:fldCharType="begin"/>
      </w:r>
      <w:r>
        <w:instrText>HYPERLINK "https://www.brighton-hove.gov.uk/schools-and-learning/school-policies-reports-strategies-and-other-documents/better-outcomes-better-lives-brighton-hoves-strategy-tackling-educational-disadvantage" \h</w:instrText>
      </w:r>
      <w:r>
        <w:fldChar w:fldCharType="separate"/>
      </w:r>
      <w:del w:id="246" w:author="Revision" w:date="2026-08-25T00:00:00Z">
        <w:r>
          <w:rPr>
            <w:rStyle w:val="Hyperlink"/>
          </w:rPr>
          <w:delText>https://www.brighton-hove.gov.uk/schools-and-learning/school-policies-reports-strategies-and-other-documents/better-outcomes-better-lives-brighton-hoves-strategy-tackling-educational-disadvantage</w:delText>
        </w:r>
      </w:del>
      <w:r>
        <w:fldChar w:fldCharType="end"/>
      </w:r>
      <w:del w:id="247" w:author="Unknown">
        <w:r>
          <w:delText xml:space="preserve"> </w:delText>
        </w:r>
      </w:del>
      <w:ins w:id="248" w:author="Revision" w:date="2026-08-25T00:00:00Z">
        <w:del w:id="249" w:author="Unknown">
          <w:r>
            <w:delText xml:space="preserve">Brighton and Hove City Council (2024) </w:delText>
          </w:r>
          <w:r>
            <w:rPr>
              <w:i/>
              <w:iCs/>
            </w:rPr>
            <w:delText>School Admission Arrangements 2026/27 - Appendix 9: Transport Implications and Considerations</w:delText>
          </w:r>
          <w:r>
            <w:delText xml:space="preserve">. Cabinet papers accompanying the secondary school admissions consultation, available via the consultation portal: </w:delText>
          </w:r>
        </w:del>
      </w:ins>
      <w:r>
        <w:fldChar w:fldCharType="begin"/>
      </w:r>
      <w:r>
        <w:instrText>HYPERLINK "https://yourvoice.brighton-hove.gov.uk/en-GB/projects/school-admission-arrangements-public-consultation/1" \h</w:instrText>
      </w:r>
      <w:r>
        <w:fldChar w:fldCharType="separate"/>
      </w:r>
      <w:ins w:id="250" w:author="Revision" w:date="2026-08-25T00:00:00Z">
        <w:del w:id="251" w:author="Unknown">
          <w:r>
            <w:rPr>
              <w:rStyle w:val="Hyperlink"/>
            </w:rPr>
            <w:delText>https://yourvoice.brighton-hove.gov.uk/en-GB/projects/school-admission-arrangements-public-consultation/1</w:delText>
          </w:r>
        </w:del>
      </w:ins>
      <w:r>
        <w:fldChar w:fldCharType="end"/>
      </w:r>
      <w:ins w:id="252" w:author="Revision" w:date="2026-08-25T00:00:00Z">
        <w:del w:id="253" w:author="Unknown">
          <w:r>
            <w:delText>.</w:delText>
          </w:r>
        </w:del>
      </w:ins>
    </w:p>
  </w:footnote>
  <w:footnote w:id="18">
    <w:p w14:paraId="519D0350" w14:textId="77777777" w:rsidR="001A6FB3" w:rsidRDefault="00000000">
      <w:pPr>
        <w:pStyle w:val="FootnoteText"/>
      </w:pPr>
      <w:r>
        <w:rPr>
          <w:rStyle w:val="FootnoteReference"/>
        </w:rPr>
        <w:footnoteRef/>
      </w:r>
      <w:r>
        <w:t xml:space="preserve"> </w:t>
      </w:r>
      <w:hyperlink r:id="rId6">
        <w:r>
          <w:rPr>
            <w:rStyle w:val="Hyperlink"/>
          </w:rPr>
          <w:t>https://www.brighton-hove.gov.uk/schools-and-learning/school-policies-reports-strategies-and-other-documents/better-outcomes-better-lives-brighton-hoves-strategy-tackling-educational-disadvantage</w:t>
        </w:r>
      </w:hyperlink>
    </w:p>
  </w:footnote>
  <w:footnote w:id="19">
    <w:p w14:paraId="0F94EB48" w14:textId="77777777" w:rsidR="001A6FB3" w:rsidRDefault="00000000">
      <w:pPr>
        <w:pStyle w:val="FootnoteText"/>
      </w:pPr>
      <w:r>
        <w:rPr>
          <w:rStyle w:val="FootnoteReference"/>
        </w:rPr>
        <w:footnoteRef/>
      </w:r>
      <w:del w:id="300" w:author="Unknown">
        <w:r>
          <w:delText xml:space="preserve"> </w:delText>
        </w:r>
      </w:del>
      <w:r>
        <w:fldChar w:fldCharType="begin"/>
      </w:r>
      <w:r>
        <w:instrText>HYPERLINK "https://www.brighton-hove.gov.uk/schools-and-learning/school-policies-reports-strategies-and-other-documents/better-outcomes-better-lives-brighton-hoves-strategy-tackling-educational-disadvantage" \h</w:instrText>
      </w:r>
      <w:r>
        <w:fldChar w:fldCharType="separate"/>
      </w:r>
      <w:del w:id="301" w:author="Unknown">
        <w:r>
          <w:rPr>
            <w:rStyle w:val="Hyperlink"/>
          </w:rPr>
          <w:delText>https://www.brighton-hove.gov.uk/schools-and-learning/school-policies-reports-strategies-and-other-documents/better-outcomes-better-lives-brighton-hoves-strategy-tackling-educational-disadvantage</w:delText>
        </w:r>
      </w:del>
      <w:r>
        <w:fldChar w:fldCharType="end"/>
      </w:r>
    </w:p>
  </w:footnote>
  <w:footnote w:id="20">
    <w:p w14:paraId="5F12ED1D" w14:textId="77777777" w:rsidR="001A6FB3" w:rsidRDefault="00000000">
      <w:pPr>
        <w:pStyle w:val="FootnoteText"/>
      </w:pPr>
      <w:r>
        <w:rPr>
          <w:rStyle w:val="FootnoteReference"/>
        </w:rPr>
        <w:footnoteRef/>
      </w:r>
      <w:r>
        <w:t xml:space="preserve"> </w:t>
      </w:r>
      <w:del w:id="303" w:author="Revision" w:date="2026-08-25T00:00:00Z">
        <w:r>
          <w:delText>Brighton</w:delText>
        </w:r>
      </w:del>
      <w:r>
        <w:t xml:space="preserve"> </w:t>
      </w:r>
      <w:ins w:id="304" w:author="Revision" w:date="2026-08-25T00:00:00Z">
        <w:r>
          <w:t>Full technical details, model fits, sensitivity checks</w:t>
        </w:r>
      </w:ins>
      <w:r>
        <w:t xml:space="preserve"> and </w:t>
      </w:r>
      <w:del w:id="305" w:author="Revision" w:date="2026-08-25T00:00:00Z">
        <w:r>
          <w:delText xml:space="preserve">Hove Council 2024 Consultation Papers: </w:delText>
        </w:r>
      </w:del>
      <w:r>
        <w:fldChar w:fldCharType="begin"/>
      </w:r>
      <w:r>
        <w:instrText>HYPERLINK "https://yourvoice.brighton-hove.gov.uk/en-GB/projects/school-admission-arrangements-public-consultation/1" \h</w:instrText>
      </w:r>
      <w:r>
        <w:fldChar w:fldCharType="separate"/>
      </w:r>
      <w:del w:id="306" w:author="Revision" w:date="2026-08-25T00:00:00Z">
        <w:r>
          <w:rPr>
            <w:rStyle w:val="Hyperlink"/>
          </w:rPr>
          <w:delText>https://yourvoice.brighton-hove.gov.uk/en-GB/projects/school-admission-arrangements-public-consultation/1</w:delText>
        </w:r>
      </w:del>
      <w:r>
        <w:fldChar w:fldCharType="end"/>
      </w:r>
      <w:r>
        <w:t xml:space="preserve"> </w:t>
      </w:r>
      <w:ins w:id="307" w:author="Revision" w:date="2026-08-25T00:00:00Z">
        <w:r>
          <w:t xml:space="preserve">a 50-replicate clustered bootstrap of school rank uncertainty are in the supplementary material: </w:t>
        </w:r>
      </w:ins>
      <w:r>
        <w:fldChar w:fldCharType="begin"/>
      </w:r>
      <w:r>
        <w:instrText>HYPERLINK "https://osf.io/x82j3/overview" \h</w:instrText>
      </w:r>
      <w:r>
        <w:fldChar w:fldCharType="separate"/>
      </w:r>
      <w:ins w:id="308" w:author="Revision" w:date="2026-08-25T00:00:00Z">
        <w:r>
          <w:rPr>
            <w:rStyle w:val="Hyperlink"/>
          </w:rPr>
          <w:t>https://osf.io/x82j3/overview (see `model_experiments.html#sec-two-stage-absence` in `supplementary.zip`)</w:t>
        </w:r>
      </w:ins>
      <w:r>
        <w:fldChar w:fldCharType="end"/>
      </w:r>
    </w:p>
  </w:footnote>
  <w:footnote w:id="21">
    <w:p w14:paraId="741F6812" w14:textId="77777777" w:rsidR="001A6FB3" w:rsidRDefault="00000000">
      <w:pPr>
        <w:pStyle w:val="FootnoteText"/>
      </w:pPr>
      <w:r>
        <w:rPr>
          <w:rStyle w:val="FootnoteReference"/>
        </w:rPr>
        <w:footnoteRef/>
      </w:r>
      <w:del w:id="316" w:author="Unknown">
        <w:r>
          <w:delText xml:space="preserve"> </w:delText>
        </w:r>
      </w:del>
      <w:del w:id="317" w:author="Revision" w:date="2026-08-25T00:00:00Z">
        <w:r>
          <w:delText>Brighton</w:delText>
        </w:r>
      </w:del>
      <w:del w:id="318" w:author="Unknown">
        <w:r>
          <w:delText xml:space="preserve"> </w:delText>
        </w:r>
      </w:del>
      <w:ins w:id="319" w:author="Revision" w:date="2026-08-25T00:00:00Z">
        <w:del w:id="320" w:author="Unknown">
          <w:r>
            <w:delText>Full technical details, model fits, sensitivity checks</w:delText>
          </w:r>
        </w:del>
      </w:ins>
      <w:del w:id="321" w:author="Unknown">
        <w:r>
          <w:delText xml:space="preserve"> and </w:delText>
        </w:r>
      </w:del>
      <w:del w:id="322" w:author="Revision" w:date="2026-08-25T00:00:00Z">
        <w:r>
          <w:delText xml:space="preserve">Hove Council 2024 Consultation Papers: </w:delText>
        </w:r>
      </w:del>
      <w:r>
        <w:fldChar w:fldCharType="begin"/>
      </w:r>
      <w:r>
        <w:instrText>HYPERLINK "https://yourvoice.brighton-hove.gov.uk/en-GB/projects/school-admission-arrangements-public-consultation/1" \h</w:instrText>
      </w:r>
      <w:r>
        <w:fldChar w:fldCharType="separate"/>
      </w:r>
      <w:del w:id="323" w:author="Revision" w:date="2026-08-25T00:00:00Z">
        <w:r>
          <w:rPr>
            <w:rStyle w:val="Hyperlink"/>
          </w:rPr>
          <w:delText>https://yourvoice.brighton-hove.gov.uk/en-GB/projects/school-admission-arrangements-public-consultation/1</w:delText>
        </w:r>
      </w:del>
      <w:r>
        <w:fldChar w:fldCharType="end"/>
      </w:r>
      <w:del w:id="324" w:author="Unknown">
        <w:r>
          <w:delText xml:space="preserve"> </w:delText>
        </w:r>
      </w:del>
      <w:ins w:id="325" w:author="Revision" w:date="2026-08-25T00:00:00Z">
        <w:del w:id="326" w:author="Unknown">
          <w:r>
            <w:delText xml:space="preserve">a 50-replicate clustered bootstrap of school rank uncertainty are in the supplementary material: </w:delText>
          </w:r>
        </w:del>
      </w:ins>
      <w:r>
        <w:fldChar w:fldCharType="begin"/>
      </w:r>
      <w:r>
        <w:instrText>HYPERLINK "https://osf.io/x82j3/overview" \h</w:instrText>
      </w:r>
      <w:r>
        <w:fldChar w:fldCharType="separate"/>
      </w:r>
      <w:ins w:id="327" w:author="Revision" w:date="2026-08-25T00:00:00Z">
        <w:del w:id="328" w:author="Unknown">
          <w:r>
            <w:rPr>
              <w:rStyle w:val="Hyperlink"/>
            </w:rPr>
            <w:delText>https://osf.io/x82j3/overview (see `model_experiments.html#sec-two-stage-absence` in `supplementary.zip`)</w:delText>
          </w:r>
        </w:del>
      </w:ins>
      <w:r>
        <w:fldChar w:fldCharType="end"/>
      </w:r>
    </w:p>
  </w:footnote>
  <w:footnote w:id="22">
    <w:p w14:paraId="73E86203" w14:textId="77777777" w:rsidR="001A6FB3" w:rsidRDefault="00000000">
      <w:pPr>
        <w:pStyle w:val="FootnoteText"/>
      </w:pPr>
      <w:r>
        <w:rPr>
          <w:rStyle w:val="FootnoteReference"/>
        </w:rPr>
        <w:footnoteRef/>
      </w:r>
      <w:r>
        <w:t xml:space="preserve"> Brighton and Hove </w:t>
      </w:r>
      <w:del w:id="330" w:author="Revision" w:date="2026-08-25T00:00:00Z">
        <w:r>
          <w:delText>City</w:delText>
        </w:r>
      </w:del>
      <w:r>
        <w:t xml:space="preserve"> Council </w:t>
      </w:r>
      <w:del w:id="331" w:author="Revision" w:date="2026-08-25T00:00:00Z">
        <w:r>
          <w:delText xml:space="preserve">(2024) </w:delText>
        </w:r>
        <w:r>
          <w:rPr>
            <w:i/>
            <w:iCs/>
          </w:rPr>
          <w:delText>School Admission Arrangements 2026/27</w:delText>
        </w:r>
        <w:r>
          <w:delText xml:space="preserve"> — Cabinet Report, 5 December</w:delText>
        </w:r>
      </w:del>
      <w:r>
        <w:t xml:space="preserve"> 2024 </w:t>
      </w:r>
      <w:del w:id="332" w:author="Revision" w:date="2026-08-25T00:00:00Z">
        <w:r>
          <w:delText xml:space="preserve">(decision to consult): </w:delText>
        </w:r>
      </w:del>
      <w:r>
        <w:fldChar w:fldCharType="begin"/>
      </w:r>
      <w:r>
        <w:instrText>HYPERLINK "https://democracy.brighton-hove.gov.uk/documents/s204040/School%20Admission%20Arrangements%202026-27.pdf" \h</w:instrText>
      </w:r>
      <w:r>
        <w:fldChar w:fldCharType="separate"/>
      </w:r>
      <w:del w:id="333" w:author="Revision" w:date="2026-08-25T00:00:00Z">
        <w:r>
          <w:rPr>
            <w:rStyle w:val="Hyperlink"/>
          </w:rPr>
          <w:delText>https://democracy.brighton-hove.gov.uk/documents/s204040/School%20Admission%20Arrangements%202026-27.pdf</w:delText>
        </w:r>
      </w:del>
      <w:r>
        <w:fldChar w:fldCharType="end"/>
      </w:r>
      <w:del w:id="334" w:author="Revision" w:date="2026-08-25T00:00:00Z">
        <w:r>
          <w:delText xml:space="preserve">. Brighton and Hove City Council (2025) </w:delText>
        </w:r>
        <w:r>
          <w:rPr>
            <w:i/>
            <w:iCs/>
          </w:rPr>
          <w:delText>School Admission Arrangements 2026/27</w:delText>
        </w:r>
        <w:r>
          <w:delText xml:space="preserve"> — Full Council Report, 27 February 2025 (determination): </w:delText>
        </w:r>
      </w:del>
      <w:r>
        <w:fldChar w:fldCharType="begin"/>
      </w:r>
      <w:r>
        <w:instrText>HYPERLINK "https://democracy.brighton-hove.gov.uk/documents/s205834/School%20Admission%20Arrangements%202026-27.pdf" \h</w:instrText>
      </w:r>
      <w:r>
        <w:fldChar w:fldCharType="separate"/>
      </w:r>
      <w:del w:id="335" w:author="Revision" w:date="2026-08-25T00:00:00Z">
        <w:r>
          <w:rPr>
            <w:rStyle w:val="Hyperlink"/>
          </w:rPr>
          <w:delText>https://democracy.brighton-hove.gov.uk/documents/s205834/School%20Admission%20Arrangements%202026-27.pdf</w:delText>
        </w:r>
      </w:del>
      <w:r>
        <w:fldChar w:fldCharType="end"/>
      </w:r>
      <w:del w:id="336" w:author="Revision" w:date="2026-08-25T00:00:00Z">
        <w:r>
          <w:delText>.</w:delText>
        </w:r>
      </w:del>
      <w:r>
        <w:t xml:space="preserve"> </w:t>
      </w:r>
      <w:ins w:id="337" w:author="Revision" w:date="2026-08-25T00:00:00Z">
        <w:r>
          <w:t xml:space="preserve">Consultation Papers: </w:t>
        </w:r>
      </w:ins>
      <w:r>
        <w:fldChar w:fldCharType="begin"/>
      </w:r>
      <w:r>
        <w:instrText>HYPERLINK "https://yourvoice.brighton-hove.gov.uk/en-GB/projects/school-admission-arrangements-public-consultation/1" \h</w:instrText>
      </w:r>
      <w:r>
        <w:fldChar w:fldCharType="separate"/>
      </w:r>
      <w:ins w:id="338" w:author="Revision" w:date="2026-08-25T00:00:00Z">
        <w:r>
          <w:rPr>
            <w:rStyle w:val="Hyperlink"/>
          </w:rPr>
          <w:t>https://yourvoice.brighton-hove.gov.uk/en-GB/projects/school-admission-arrangements-public-consultation/1</w:t>
        </w:r>
      </w:ins>
      <w:r>
        <w:fldChar w:fldCharType="end"/>
      </w:r>
    </w:p>
  </w:footnote>
  <w:footnote w:id="23">
    <w:p w14:paraId="35050773" w14:textId="77777777" w:rsidR="001A6FB3" w:rsidRDefault="00000000">
      <w:pPr>
        <w:pStyle w:val="FootnoteText"/>
      </w:pPr>
      <w:r>
        <w:rPr>
          <w:rStyle w:val="FootnoteReference"/>
        </w:rPr>
        <w:footnoteRef/>
      </w:r>
      <w:del w:id="382" w:author="Unknown">
        <w:r>
          <w:delText xml:space="preserve"> Brighton and Hove </w:delText>
        </w:r>
      </w:del>
      <w:del w:id="383" w:author="Revision" w:date="2026-08-25T00:00:00Z">
        <w:r>
          <w:delText>City</w:delText>
        </w:r>
      </w:del>
      <w:del w:id="384" w:author="Unknown">
        <w:r>
          <w:delText xml:space="preserve"> Council </w:delText>
        </w:r>
      </w:del>
      <w:del w:id="385" w:author="Revision" w:date="2026-08-25T00:00:00Z">
        <w:r>
          <w:delText xml:space="preserve">(2024) </w:delText>
        </w:r>
        <w:r>
          <w:rPr>
            <w:i/>
            <w:iCs/>
          </w:rPr>
          <w:delText>School Admission Arrangements 2026/27</w:delText>
        </w:r>
        <w:r>
          <w:delText xml:space="preserve"> — Cabinet Report, 5 December</w:delText>
        </w:r>
      </w:del>
      <w:del w:id="386" w:author="Unknown">
        <w:r>
          <w:delText xml:space="preserve"> 2024 </w:delText>
        </w:r>
      </w:del>
      <w:del w:id="387" w:author="Revision" w:date="2026-08-25T00:00:00Z">
        <w:r>
          <w:delText xml:space="preserve">(decision to consult): </w:delText>
        </w:r>
      </w:del>
      <w:r>
        <w:fldChar w:fldCharType="begin"/>
      </w:r>
      <w:r>
        <w:instrText>HYPERLINK "https://democracy.brighton-hove.gov.uk/documents/s204040/School%20Admission%20Arrangements%202026-27.pdf" \h</w:instrText>
      </w:r>
      <w:r>
        <w:fldChar w:fldCharType="separate"/>
      </w:r>
      <w:del w:id="388" w:author="Revision" w:date="2026-08-25T00:00:00Z">
        <w:r>
          <w:rPr>
            <w:rStyle w:val="Hyperlink"/>
          </w:rPr>
          <w:delText>https://democracy.brighton-hove.gov.uk/documents/s204040/School%20Admission%20Arrangements%202026-27.pdf</w:delText>
        </w:r>
      </w:del>
      <w:r>
        <w:fldChar w:fldCharType="end"/>
      </w:r>
      <w:del w:id="389" w:author="Revision" w:date="2026-08-25T00:00:00Z">
        <w:r>
          <w:delText xml:space="preserve">. Brighton and Hove City Council (2025) </w:delText>
        </w:r>
        <w:r>
          <w:rPr>
            <w:i/>
            <w:iCs/>
          </w:rPr>
          <w:delText>School Admission Arrangements 2026/27</w:delText>
        </w:r>
        <w:r>
          <w:delText xml:space="preserve"> — Full Council Report, 27 February 2025 (determination): </w:delText>
        </w:r>
      </w:del>
      <w:r>
        <w:fldChar w:fldCharType="begin"/>
      </w:r>
      <w:r>
        <w:instrText>HYPERLINK "https://democracy.brighton-hove.gov.uk/documents/s205834/School%20Admission%20Arrangements%202026-27.pdf" \h</w:instrText>
      </w:r>
      <w:r>
        <w:fldChar w:fldCharType="separate"/>
      </w:r>
      <w:del w:id="390" w:author="Revision" w:date="2026-08-25T00:00:00Z">
        <w:r>
          <w:rPr>
            <w:rStyle w:val="Hyperlink"/>
          </w:rPr>
          <w:delText>https://democracy.brighton-hove.gov.uk/documents/s205834/School%20Admission%20Arrangements%202026-27.pdf</w:delText>
        </w:r>
      </w:del>
      <w:r>
        <w:fldChar w:fldCharType="end"/>
      </w:r>
      <w:del w:id="391" w:author="Revision" w:date="2026-08-25T00:00:00Z">
        <w:r>
          <w:delText>.</w:delText>
        </w:r>
      </w:del>
      <w:del w:id="392" w:author="Unknown">
        <w:r>
          <w:delText xml:space="preserve"> </w:delText>
        </w:r>
      </w:del>
      <w:ins w:id="393" w:author="Revision" w:date="2026-08-25T00:00:00Z">
        <w:del w:id="394" w:author="Unknown">
          <w:r>
            <w:delText xml:space="preserve">Consultation Papers: </w:delText>
          </w:r>
        </w:del>
      </w:ins>
      <w:r>
        <w:fldChar w:fldCharType="begin"/>
      </w:r>
      <w:r>
        <w:instrText>HYPERLINK "https://yourvoice.brighton-hove.gov.uk/en-GB/projects/school-admission-arrangements-public-consultation/1" \h</w:instrText>
      </w:r>
      <w:r>
        <w:fldChar w:fldCharType="separate"/>
      </w:r>
      <w:ins w:id="395" w:author="Revision" w:date="2026-08-25T00:00:00Z">
        <w:del w:id="396" w:author="Unknown">
          <w:r>
            <w:rPr>
              <w:rStyle w:val="Hyperlink"/>
            </w:rPr>
            <w:delText>https://yourvoice.brighton-hove.gov.uk/en-GB/projects/school-admission-arrangements-public-consultation/1</w:delText>
          </w:r>
        </w:del>
      </w:ins>
      <w:r>
        <w:fldChar w:fldCharType="end"/>
      </w:r>
    </w:p>
  </w:footnote>
  <w:footnote w:id="24">
    <w:p w14:paraId="1CFB9215" w14:textId="77777777" w:rsidR="001A6FB3" w:rsidRDefault="00000000">
      <w:pPr>
        <w:pStyle w:val="FootnoteText"/>
      </w:pPr>
      <w:r>
        <w:rPr>
          <w:rStyle w:val="FootnoteReference"/>
        </w:rPr>
        <w:footnoteRef/>
      </w:r>
      <w:r>
        <w:t xml:space="preserve"> Brighton and Hove City Council (2024) *School Admission Arrangements </w:t>
      </w:r>
      <w:del w:id="398" w:author="Revision" w:date="2026-08-25T00:00:00Z">
        <w:r>
          <w:delText>2026/27</w:delText>
        </w:r>
      </w:del>
      <w:r>
        <w:t xml:space="preserve"> </w:t>
      </w:r>
      <w:ins w:id="399" w:author="Revision" w:date="2026-08-25T00:00:00Z">
        <w:r>
          <w:t>2026/27*</w:t>
        </w:r>
      </w:ins>
      <w:r>
        <w:t xml:space="preserve"> - </w:t>
      </w:r>
      <w:del w:id="400" w:author="Revision" w:date="2026-08-25T00:00:00Z">
        <w:r>
          <w:delText>Appendix 9: Transport Implications and Considerations*.</w:delText>
        </w:r>
      </w:del>
      <w:r>
        <w:t xml:space="preserve"> Cabinet </w:t>
      </w:r>
      <w:del w:id="401" w:author="Revision" w:date="2026-08-25T00:00:00Z">
        <w:r>
          <w:delText xml:space="preserve">papers accompanying the secondary school admissions consultation, available via the consultation portal: </w:delText>
        </w:r>
      </w:del>
      <w:r>
        <w:fldChar w:fldCharType="begin"/>
      </w:r>
      <w:r>
        <w:instrText>HYPERLINK "https://yourvoice.brighton-hove.gov.uk/en-GB/projects/school-admission-arrangements-public-consultation/1" \h</w:instrText>
      </w:r>
      <w:r>
        <w:fldChar w:fldCharType="separate"/>
      </w:r>
      <w:del w:id="402" w:author="Revision" w:date="2026-08-25T00:00:00Z">
        <w:r>
          <w:rPr>
            <w:rStyle w:val="Hyperlink"/>
          </w:rPr>
          <w:delText>https://yourvoice.brighton-hove.gov.uk/en-GB/projects/school-admission-arrangements-public-consultation/1</w:delText>
        </w:r>
      </w:del>
      <w:r>
        <w:fldChar w:fldCharType="end"/>
      </w:r>
      <w:del w:id="403" w:author="Revision" w:date="2026-08-25T00:00:00Z">
        <w:r>
          <w:delText>.</w:delText>
        </w:r>
      </w:del>
      <w:r>
        <w:t xml:space="preserve"> </w:t>
      </w:r>
      <w:ins w:id="404" w:author="Revision" w:date="2026-08-25T00:00:00Z">
        <w:r>
          <w:t xml:space="preserve">Report, 5 December 2024 (decision to consult): </w:t>
        </w:r>
      </w:ins>
      <w:r>
        <w:fldChar w:fldCharType="begin"/>
      </w:r>
      <w:r>
        <w:instrText>HYPERLINK "https://democracy.brighton-hove.gov.uk/documents/s204040/School%20Admission%20Arrangements%202026-27.pdf" \h</w:instrText>
      </w:r>
      <w:r>
        <w:fldChar w:fldCharType="separate"/>
      </w:r>
      <w:ins w:id="405" w:author="Revision" w:date="2026-08-25T00:00:00Z">
        <w:r>
          <w:rPr>
            <w:rStyle w:val="Hyperlink"/>
          </w:rPr>
          <w:t>https://democracy.brighton-hove.gov.uk/documents/s204040/School%20Admission%20Arrangements%202026-27.pdf</w:t>
        </w:r>
      </w:ins>
      <w:r>
        <w:fldChar w:fldCharType="end"/>
      </w:r>
      <w:ins w:id="406" w:author="Revision" w:date="2026-08-25T00:00:00Z">
        <w:r>
          <w:t xml:space="preserve">. Brighton and Hove City Council (2025) </w:t>
        </w:r>
        <w:r>
          <w:rPr>
            <w:i/>
            <w:iCs/>
          </w:rPr>
          <w:t>School Admission Arrangements 2026/27</w:t>
        </w:r>
        <w:r>
          <w:t xml:space="preserve"> - Full Council Report, 27 February 2025 (determination): </w:t>
        </w:r>
      </w:ins>
      <w:r>
        <w:fldChar w:fldCharType="begin"/>
      </w:r>
      <w:r>
        <w:instrText>HYPERLINK "https://democracy.brighton-hove.gov.uk/documents/s205834/School%20Admission%20Arrangements%202026-27.pdf" \h</w:instrText>
      </w:r>
      <w:r>
        <w:fldChar w:fldCharType="separate"/>
      </w:r>
      <w:ins w:id="407" w:author="Revision" w:date="2026-08-25T00:00:00Z">
        <w:r>
          <w:rPr>
            <w:rStyle w:val="Hyperlink"/>
          </w:rPr>
          <w:t>https://democracy.brighton-hove.gov.uk/documents/s205834/School%20Admission%20Arrangements%202026-27.pdf</w:t>
        </w:r>
      </w:ins>
      <w:r>
        <w:fldChar w:fldCharType="end"/>
      </w:r>
      <w:ins w:id="408" w:author="Revision" w:date="2026-08-25T00:00:00Z">
        <w:r>
          <w:t>.</w:t>
        </w:r>
      </w:ins>
    </w:p>
  </w:footnote>
  <w:footnote w:id="25">
    <w:p w14:paraId="7A1FF828" w14:textId="77777777" w:rsidR="001A6FB3" w:rsidRDefault="00000000">
      <w:pPr>
        <w:pStyle w:val="FootnoteText"/>
      </w:pPr>
      <w:r>
        <w:rPr>
          <w:rStyle w:val="FootnoteReference"/>
        </w:rPr>
        <w:footnoteRef/>
      </w:r>
      <w:r>
        <w:t xml:space="preserve"> </w:t>
      </w:r>
      <w:r>
        <w:fldChar w:fldCharType="begin"/>
      </w:r>
      <w:r>
        <w:instrText>HYPERLINK "https://reports.ofsted.gov.uk/provider/23/136164" \h</w:instrText>
      </w:r>
      <w:r>
        <w:fldChar w:fldCharType="separate"/>
      </w:r>
      <w:del w:id="420" w:author="Revision" w:date="2026-08-25T00:00:00Z">
        <w:r>
          <w:rPr>
            <w:rStyle w:val="Hyperlink"/>
          </w:rPr>
          <w:delText>https://reports.ofsted.gov.uk/provider/23/136164</w:delText>
        </w:r>
      </w:del>
      <w:r>
        <w:fldChar w:fldCharType="end"/>
      </w:r>
      <w:r>
        <w:t xml:space="preserve"> </w:t>
      </w:r>
      <w:ins w:id="421" w:author="Revision" w:date="2026-08-25T00:00:00Z">
        <w:r>
          <w:t xml:space="preserve">The comment was made in a blog post here: </w:t>
        </w:r>
      </w:ins>
      <w:r>
        <w:fldChar w:fldCharType="begin"/>
      </w:r>
      <w:r>
        <w:instrText>HYPERLINK "https://www.classdivide.co.uk/news/uk5uk5bxax0rvjz9q4tu4kgx2lbyhw" \h</w:instrText>
      </w:r>
      <w:r>
        <w:fldChar w:fldCharType="separate"/>
      </w:r>
      <w:ins w:id="422" w:author="Revision" w:date="2026-08-25T00:00:00Z">
        <w:r>
          <w:rPr>
            <w:rStyle w:val="Hyperlink"/>
          </w:rPr>
          <w:t>https://www.classdivide.co.uk/news/uk5uk5bxax0rvjz9q4tu4kgx2lbyhw</w:t>
        </w:r>
      </w:ins>
      <w:r>
        <w:fldChar w:fldCharType="end"/>
      </w:r>
    </w:p>
  </w:footnote>
  <w:footnote w:id="26">
    <w:p w14:paraId="37801024" w14:textId="77777777" w:rsidR="001A6FB3" w:rsidRDefault="00000000">
      <w:pPr>
        <w:pStyle w:val="FootnoteText"/>
      </w:pPr>
      <w:r>
        <w:rPr>
          <w:rStyle w:val="FootnoteReference"/>
        </w:rPr>
        <w:footnoteRef/>
      </w:r>
      <w:del w:id="434" w:author="Unknown">
        <w:r>
          <w:delText xml:space="preserve"> Brighton and Hove City Council (2024) *School Admission Arrangements </w:delText>
        </w:r>
      </w:del>
      <w:del w:id="435" w:author="Revision" w:date="2026-08-25T00:00:00Z">
        <w:r>
          <w:delText>2026/27</w:delText>
        </w:r>
      </w:del>
      <w:del w:id="436" w:author="Unknown">
        <w:r>
          <w:delText xml:space="preserve"> </w:delText>
        </w:r>
      </w:del>
      <w:ins w:id="437" w:author="Revision" w:date="2026-08-25T00:00:00Z">
        <w:del w:id="438" w:author="Unknown">
          <w:r>
            <w:delText>2026/27*</w:delText>
          </w:r>
        </w:del>
      </w:ins>
      <w:del w:id="439" w:author="Unknown">
        <w:r>
          <w:delText xml:space="preserve"> - </w:delText>
        </w:r>
      </w:del>
      <w:del w:id="440" w:author="Revision" w:date="2026-08-25T00:00:00Z">
        <w:r>
          <w:delText>Appendix 9: Transport Implications and Considerations*.</w:delText>
        </w:r>
      </w:del>
      <w:del w:id="441" w:author="Unknown">
        <w:r>
          <w:delText xml:space="preserve"> Cabinet </w:delText>
        </w:r>
      </w:del>
      <w:del w:id="442" w:author="Revision" w:date="2026-08-25T00:00:00Z">
        <w:r>
          <w:delText xml:space="preserve">papers accompanying the secondary school admissions consultation, available via the consultation portal: </w:delText>
        </w:r>
      </w:del>
      <w:r>
        <w:fldChar w:fldCharType="begin"/>
      </w:r>
      <w:r>
        <w:instrText>HYPERLINK "https://yourvoice.brighton-hove.gov.uk/en-GB/projects/school-admission-arrangements-public-consultation/1" \h</w:instrText>
      </w:r>
      <w:r>
        <w:fldChar w:fldCharType="separate"/>
      </w:r>
      <w:del w:id="443" w:author="Revision" w:date="2026-08-25T00:00:00Z">
        <w:r>
          <w:rPr>
            <w:rStyle w:val="Hyperlink"/>
          </w:rPr>
          <w:delText>https://yourvoice.brighton-hove.gov.uk/en-GB/projects/school-admission-arrangements-public-consultation/1</w:delText>
        </w:r>
      </w:del>
      <w:r>
        <w:fldChar w:fldCharType="end"/>
      </w:r>
      <w:del w:id="444" w:author="Revision" w:date="2026-08-25T00:00:00Z">
        <w:r>
          <w:delText>.</w:delText>
        </w:r>
      </w:del>
      <w:del w:id="445" w:author="Unknown">
        <w:r>
          <w:delText xml:space="preserve"> </w:delText>
        </w:r>
      </w:del>
      <w:ins w:id="446" w:author="Revision" w:date="2026-08-25T00:00:00Z">
        <w:del w:id="447" w:author="Unknown">
          <w:r>
            <w:delText xml:space="preserve">Report, 5 December 2024 (decision to consult): </w:delText>
          </w:r>
        </w:del>
      </w:ins>
      <w:r>
        <w:fldChar w:fldCharType="begin"/>
      </w:r>
      <w:r>
        <w:instrText>HYPERLINK "https://democracy.brighton-hove.gov.uk/documents/s204040/School%20Admission%20Arrangements%202026-27.pdf" \h</w:instrText>
      </w:r>
      <w:r>
        <w:fldChar w:fldCharType="separate"/>
      </w:r>
      <w:ins w:id="448" w:author="Revision" w:date="2026-08-25T00:00:00Z">
        <w:del w:id="449" w:author="Unknown">
          <w:r>
            <w:rPr>
              <w:rStyle w:val="Hyperlink"/>
            </w:rPr>
            <w:delText>https://democracy.brighton-hove.gov.uk/documents/s204040/School%20Admission%20Arrangements%202026-27.pdf</w:delText>
          </w:r>
        </w:del>
      </w:ins>
      <w:r>
        <w:fldChar w:fldCharType="end"/>
      </w:r>
      <w:ins w:id="450" w:author="Revision" w:date="2026-08-25T00:00:00Z">
        <w:del w:id="451" w:author="Unknown">
          <w:r>
            <w:delText xml:space="preserve">. Brighton and Hove City Council (2025) </w:delText>
          </w:r>
          <w:r>
            <w:rPr>
              <w:i/>
              <w:iCs/>
            </w:rPr>
            <w:delText>School Admission Arrangements 2026/27</w:delText>
          </w:r>
          <w:r>
            <w:delText xml:space="preserve"> - Full Council Report, 27 February 2025 (determination): </w:delText>
          </w:r>
        </w:del>
      </w:ins>
      <w:r>
        <w:fldChar w:fldCharType="begin"/>
      </w:r>
      <w:r>
        <w:instrText>HYPERLINK "https://democracy.brighton-hove.gov.uk/documents/s205834/School%20Admission%20Arrangements%202026-27.pdf" \h</w:instrText>
      </w:r>
      <w:r>
        <w:fldChar w:fldCharType="separate"/>
      </w:r>
      <w:ins w:id="452" w:author="Revision" w:date="2026-08-25T00:00:00Z">
        <w:del w:id="453" w:author="Unknown">
          <w:r>
            <w:rPr>
              <w:rStyle w:val="Hyperlink"/>
            </w:rPr>
            <w:delText>https://democracy.brighton-hove.gov.uk/documents/s205834/School%20Admission%20Arrangements%202026-27.pdf</w:delText>
          </w:r>
        </w:del>
      </w:ins>
      <w:r>
        <w:fldChar w:fldCharType="end"/>
      </w:r>
      <w:ins w:id="454" w:author="Revision" w:date="2026-08-25T00:00:00Z">
        <w:del w:id="455" w:author="Unknown">
          <w:r>
            <w:delText>.</w:delText>
          </w:r>
        </w:del>
      </w:ins>
    </w:p>
  </w:footnote>
  <w:footnote w:id="27">
    <w:p w14:paraId="46F8076D" w14:textId="77777777" w:rsidR="001A6FB3" w:rsidRDefault="00000000">
      <w:pPr>
        <w:pStyle w:val="FootnoteText"/>
      </w:pPr>
      <w:r>
        <w:rPr>
          <w:rStyle w:val="FootnoteReference"/>
        </w:rPr>
        <w:footnoteRef/>
      </w:r>
      <w:r>
        <w:t xml:space="preserve"> Brighton and Hove City Council (2024) *School Admission Arrangements </w:t>
      </w:r>
      <w:del w:id="468" w:author="Revision" w:date="2026-08-25T00:00:00Z">
        <w:r>
          <w:delText>2026/27*</w:delText>
        </w:r>
      </w:del>
      <w:r>
        <w:t xml:space="preserve"> </w:t>
      </w:r>
      <w:ins w:id="469" w:author="Revision" w:date="2026-08-25T00:00:00Z">
        <w:r>
          <w:t>2026/27</w:t>
        </w:r>
      </w:ins>
      <w:r>
        <w:t xml:space="preserve"> - </w:t>
      </w:r>
      <w:del w:id="470" w:author="Revision" w:date="2026-08-25T00:00:00Z">
        <w:r>
          <w:delText xml:space="preserve">Cabinet Report, 5 December 2024 (decision to consult): </w:delText>
        </w:r>
      </w:del>
      <w:r>
        <w:fldChar w:fldCharType="begin"/>
      </w:r>
      <w:r>
        <w:instrText>HYPERLINK "https://democracy.brighton-hove.gov.uk/documents/s204040/School%20Admission%20Arrangements%202026-27.pdf" \h</w:instrText>
      </w:r>
      <w:r>
        <w:fldChar w:fldCharType="separate"/>
      </w:r>
      <w:del w:id="471" w:author="Revision" w:date="2026-08-25T00:00:00Z">
        <w:r>
          <w:rPr>
            <w:rStyle w:val="Hyperlink"/>
          </w:rPr>
          <w:delText>https://democracy.brighton-hove.gov.uk/documents/s204040/School%20Admission%20Arrangements%202026-27.pdf</w:delText>
        </w:r>
      </w:del>
      <w:r>
        <w:fldChar w:fldCharType="end"/>
      </w:r>
      <w:del w:id="472" w:author="Revision" w:date="2026-08-25T00:00:00Z">
        <w:r>
          <w:delText>. Brighton</w:delText>
        </w:r>
      </w:del>
      <w:r>
        <w:t xml:space="preserve"> </w:t>
      </w:r>
      <w:ins w:id="473" w:author="Revision" w:date="2026-08-25T00:00:00Z">
        <w:r>
          <w:t>Appendix 9: Transport Implications</w:t>
        </w:r>
      </w:ins>
      <w:r>
        <w:t xml:space="preserve"> and </w:t>
      </w:r>
      <w:del w:id="474" w:author="Revision" w:date="2026-08-25T00:00:00Z">
        <w:r>
          <w:delText xml:space="preserve">Hove City Council (2025) </w:delText>
        </w:r>
        <w:r>
          <w:rPr>
            <w:i/>
            <w:iCs/>
          </w:rPr>
          <w:delText>School Admission Arrangements 2026/27</w:delText>
        </w:r>
        <w:r>
          <w:delText xml:space="preserve"> — Full Council Report, 27 February 2025 (determination): </w:delText>
        </w:r>
      </w:del>
      <w:r>
        <w:fldChar w:fldCharType="begin"/>
      </w:r>
      <w:r>
        <w:instrText>HYPERLINK "https://democracy.brighton-hove.gov.uk/documents/s205834/School%20Admission%20Arrangements%202026-27.pdf" \h</w:instrText>
      </w:r>
      <w:r>
        <w:fldChar w:fldCharType="separate"/>
      </w:r>
      <w:del w:id="475" w:author="Revision" w:date="2026-08-25T00:00:00Z">
        <w:r>
          <w:rPr>
            <w:rStyle w:val="Hyperlink"/>
          </w:rPr>
          <w:delText>https://democracy.brighton-hove.gov.uk/documents/s205834/School%20Admission%20Arrangements%202026-27.pdf</w:delText>
        </w:r>
      </w:del>
      <w:r>
        <w:fldChar w:fldCharType="end"/>
      </w:r>
      <w:del w:id="476" w:author="Revision" w:date="2026-08-25T00:00:00Z">
        <w:r>
          <w:delText>.</w:delText>
        </w:r>
      </w:del>
      <w:r>
        <w:t xml:space="preserve"> </w:t>
      </w:r>
      <w:ins w:id="477" w:author="Revision" w:date="2026-08-25T00:00:00Z">
        <w:r>
          <w:t xml:space="preserve">Considerations*. Cabinet papers accompanying the secondary school admissions consultation, available via the consultation portal: </w:t>
        </w:r>
      </w:ins>
      <w:r>
        <w:fldChar w:fldCharType="begin"/>
      </w:r>
      <w:r>
        <w:instrText>HYPERLINK "https://yourvoice.brighton-hove.gov.uk/en-GB/projects/school-admission-arrangements-public-consultation/1" \h</w:instrText>
      </w:r>
      <w:r>
        <w:fldChar w:fldCharType="separate"/>
      </w:r>
      <w:ins w:id="478" w:author="Revision" w:date="2026-08-25T00:00:00Z">
        <w:r>
          <w:rPr>
            <w:rStyle w:val="Hyperlink"/>
          </w:rPr>
          <w:t>https://yourvoice.brighton-hove.gov.uk/en-GB/projects/school-admission-arrangements-public-consultation/1</w:t>
        </w:r>
      </w:ins>
      <w:r>
        <w:fldChar w:fldCharType="end"/>
      </w:r>
      <w:ins w:id="479" w:author="Revision" w:date="2026-08-25T00:00:00Z">
        <w:r>
          <w:t>.</w:t>
        </w:r>
      </w:ins>
    </w:p>
  </w:footnote>
  <w:footnote w:id="28">
    <w:p w14:paraId="3441ABFA" w14:textId="77777777" w:rsidR="001A6FB3" w:rsidRDefault="00000000">
      <w:pPr>
        <w:pStyle w:val="FootnoteText"/>
      </w:pPr>
      <w:r>
        <w:rPr>
          <w:rStyle w:val="FootnoteReference"/>
        </w:rPr>
        <w:footnoteRef/>
      </w:r>
      <w:r>
        <w:t xml:space="preserve"> </w:t>
      </w:r>
      <w:del w:id="483" w:author="Revision" w:date="2026-08-25T00:00:00Z">
        <w:r>
          <w:delText xml:space="preserve">School Attainment Policy Simulator: </w:delText>
        </w:r>
      </w:del>
      <w:r>
        <w:fldChar w:fldCharType="begin"/>
      </w:r>
      <w:r>
        <w:instrText>HYPERLINK "https://adam-dennett.shinyapps.io/School_Attainment_Policy_Simulator/" \h</w:instrText>
      </w:r>
      <w:r>
        <w:fldChar w:fldCharType="separate"/>
      </w:r>
      <w:del w:id="484" w:author="Revision" w:date="2026-08-25T00:00:00Z">
        <w:r>
          <w:rPr>
            <w:rStyle w:val="Hyperlink"/>
          </w:rPr>
          <w:delText>https://adam-dennett.shinyapps.io/School_Attainment_Policy_Simulator/</w:delText>
        </w:r>
      </w:del>
      <w:r>
        <w:fldChar w:fldCharType="end"/>
      </w:r>
      <w:r>
        <w:t xml:space="preserve"> </w:t>
      </w:r>
      <w:r>
        <w:fldChar w:fldCharType="begin"/>
      </w:r>
      <w:r>
        <w:instrText>HYPERLINK "https://educationequity.kit.com/" \h</w:instrText>
      </w:r>
      <w:r>
        <w:fldChar w:fldCharType="separate"/>
      </w:r>
      <w:ins w:id="485" w:author="Revision" w:date="2026-08-25T00:00:00Z">
        <w:r>
          <w:rPr>
            <w:rStyle w:val="Hyperlink"/>
          </w:rPr>
          <w:t>https://educationequity.kit.com/</w:t>
        </w:r>
      </w:ins>
      <w:r>
        <w:fldChar w:fldCharType="end"/>
      </w:r>
    </w:p>
  </w:footnote>
  <w:footnote w:id="29">
    <w:p w14:paraId="566F6551" w14:textId="77777777" w:rsidR="001A6FB3" w:rsidRDefault="00000000">
      <w:pPr>
        <w:pStyle w:val="FootnoteText"/>
      </w:pPr>
      <w:r>
        <w:rPr>
          <w:rStyle w:val="FootnoteReference"/>
        </w:rPr>
        <w:footnoteRef/>
      </w:r>
      <w:del w:id="492" w:author="Unknown">
        <w:r>
          <w:delText xml:space="preserve"> </w:delText>
        </w:r>
      </w:del>
      <w:r>
        <w:fldChar w:fldCharType="begin"/>
      </w:r>
      <w:r>
        <w:instrText>HYPERLINK "https://reports.ofsted.gov.uk/provider/23/136164" \h</w:instrText>
      </w:r>
      <w:r>
        <w:fldChar w:fldCharType="separate"/>
      </w:r>
      <w:del w:id="493" w:author="Revision" w:date="2026-08-25T00:00:00Z">
        <w:r>
          <w:rPr>
            <w:rStyle w:val="Hyperlink"/>
          </w:rPr>
          <w:delText>https://reports.ofsted.gov.uk/provider/23/136164</w:delText>
        </w:r>
      </w:del>
      <w:r>
        <w:fldChar w:fldCharType="end"/>
      </w:r>
      <w:del w:id="494" w:author="Unknown">
        <w:r>
          <w:delText xml:space="preserve"> </w:delText>
        </w:r>
      </w:del>
      <w:ins w:id="495" w:author="Revision" w:date="2026-08-25T00:00:00Z">
        <w:del w:id="496" w:author="Unknown">
          <w:r>
            <w:delText xml:space="preserve">The comment was made in a blog post here: </w:delText>
          </w:r>
        </w:del>
      </w:ins>
      <w:r>
        <w:fldChar w:fldCharType="begin"/>
      </w:r>
      <w:r>
        <w:instrText>HYPERLINK "https://www.classdivide.co.uk/news/uk5uk5bxax0rvjz9q4tu4kgx2lbyhw" \h</w:instrText>
      </w:r>
      <w:r>
        <w:fldChar w:fldCharType="separate"/>
      </w:r>
      <w:ins w:id="497" w:author="Revision" w:date="2026-08-25T00:00:00Z">
        <w:del w:id="498" w:author="Unknown">
          <w:r>
            <w:rPr>
              <w:rStyle w:val="Hyperlink"/>
            </w:rPr>
            <w:delText>https://www.classdivide.co.uk/news/uk5uk5bxax0rvjz9q4tu4kgx2lbyhw</w:delText>
          </w:r>
        </w:del>
      </w:ins>
      <w:r>
        <w:fldChar w:fldCharType="end"/>
      </w:r>
    </w:p>
  </w:footnote>
  <w:footnote w:id="30">
    <w:p w14:paraId="0A8EC9EB" w14:textId="77777777" w:rsidR="001A6FB3" w:rsidRDefault="00000000">
      <w:pPr>
        <w:pStyle w:val="FootnoteText"/>
      </w:pPr>
      <w:r>
        <w:rPr>
          <w:rStyle w:val="FootnoteReference"/>
        </w:rPr>
        <w:footnoteRef/>
      </w:r>
      <w:del w:id="501" w:author="Unknown">
        <w:r>
          <w:delText xml:space="preserve"> Brighton and Hove City Council (2024) *School Admission Arrangements </w:delText>
        </w:r>
      </w:del>
      <w:del w:id="502" w:author="Revision" w:date="2026-08-25T00:00:00Z">
        <w:r>
          <w:delText>2026/27*</w:delText>
        </w:r>
      </w:del>
      <w:del w:id="503" w:author="Unknown">
        <w:r>
          <w:delText xml:space="preserve"> </w:delText>
        </w:r>
      </w:del>
      <w:ins w:id="504" w:author="Revision" w:date="2026-08-25T00:00:00Z">
        <w:del w:id="505" w:author="Unknown">
          <w:r>
            <w:delText>2026/27</w:delText>
          </w:r>
        </w:del>
      </w:ins>
      <w:del w:id="506" w:author="Unknown">
        <w:r>
          <w:delText xml:space="preserve"> - </w:delText>
        </w:r>
      </w:del>
      <w:del w:id="507" w:author="Revision" w:date="2026-08-25T00:00:00Z">
        <w:r>
          <w:delText xml:space="preserve">Cabinet Report, 5 December 2024 (decision to consult): </w:delText>
        </w:r>
      </w:del>
      <w:r>
        <w:fldChar w:fldCharType="begin"/>
      </w:r>
      <w:r>
        <w:instrText>HYPERLINK "https://democracy.brighton-hove.gov.uk/documents/s204040/School%20Admission%20Arrangements%202026-27.pdf" \h</w:instrText>
      </w:r>
      <w:r>
        <w:fldChar w:fldCharType="separate"/>
      </w:r>
      <w:del w:id="508" w:author="Revision" w:date="2026-08-25T00:00:00Z">
        <w:r>
          <w:rPr>
            <w:rStyle w:val="Hyperlink"/>
          </w:rPr>
          <w:delText>https://democracy.brighton-hove.gov.uk/documents/s204040/School%20Admission%20Arrangements%202026-27.pdf</w:delText>
        </w:r>
      </w:del>
      <w:r>
        <w:fldChar w:fldCharType="end"/>
      </w:r>
      <w:del w:id="509" w:author="Revision" w:date="2026-08-25T00:00:00Z">
        <w:r>
          <w:delText>. Brighton</w:delText>
        </w:r>
      </w:del>
      <w:del w:id="510" w:author="Unknown">
        <w:r>
          <w:delText xml:space="preserve"> </w:delText>
        </w:r>
      </w:del>
      <w:ins w:id="511" w:author="Revision" w:date="2026-08-25T00:00:00Z">
        <w:del w:id="512" w:author="Unknown">
          <w:r>
            <w:delText>Appendix 9: Transport Implications</w:delText>
          </w:r>
        </w:del>
      </w:ins>
      <w:del w:id="513" w:author="Unknown">
        <w:r>
          <w:delText xml:space="preserve"> and </w:delText>
        </w:r>
      </w:del>
      <w:del w:id="514" w:author="Revision" w:date="2026-08-25T00:00:00Z">
        <w:r>
          <w:delText xml:space="preserve">Hove City Council (2025) </w:delText>
        </w:r>
        <w:r>
          <w:rPr>
            <w:i/>
            <w:iCs/>
          </w:rPr>
          <w:delText>School Admission Arrangements 2026/27</w:delText>
        </w:r>
        <w:r>
          <w:delText xml:space="preserve"> — Full Council Report, 27 February 2025 (determination): </w:delText>
        </w:r>
      </w:del>
      <w:r>
        <w:fldChar w:fldCharType="begin"/>
      </w:r>
      <w:r>
        <w:instrText>HYPERLINK "https://democracy.brighton-hove.gov.uk/documents/s205834/School%20Admission%20Arrangements%202026-27.pdf" \h</w:instrText>
      </w:r>
      <w:r>
        <w:fldChar w:fldCharType="separate"/>
      </w:r>
      <w:del w:id="515" w:author="Revision" w:date="2026-08-25T00:00:00Z">
        <w:r>
          <w:rPr>
            <w:rStyle w:val="Hyperlink"/>
          </w:rPr>
          <w:delText>https://democracy.brighton-hove.gov.uk/documents/s205834/School%20Admission%20Arrangements%202026-27.pdf</w:delText>
        </w:r>
      </w:del>
      <w:r>
        <w:fldChar w:fldCharType="end"/>
      </w:r>
      <w:del w:id="516" w:author="Revision" w:date="2026-08-25T00:00:00Z">
        <w:r>
          <w:delText>.</w:delText>
        </w:r>
      </w:del>
      <w:del w:id="517" w:author="Unknown">
        <w:r>
          <w:delText xml:space="preserve"> </w:delText>
        </w:r>
      </w:del>
      <w:ins w:id="518" w:author="Revision" w:date="2026-08-25T00:00:00Z">
        <w:del w:id="519" w:author="Unknown">
          <w:r>
            <w:delText xml:space="preserve">Considerations*. Cabinet papers accompanying the secondary school admissions consultation, available via the consultation portal: </w:delText>
          </w:r>
        </w:del>
      </w:ins>
      <w:r>
        <w:fldChar w:fldCharType="begin"/>
      </w:r>
      <w:r>
        <w:instrText>HYPERLINK "https://yourvoice.brighton-hove.gov.uk/en-GB/projects/school-admission-arrangements-public-consultation/1" \h</w:instrText>
      </w:r>
      <w:r>
        <w:fldChar w:fldCharType="separate"/>
      </w:r>
      <w:ins w:id="520" w:author="Revision" w:date="2026-08-25T00:00:00Z">
        <w:del w:id="521" w:author="Unknown">
          <w:r>
            <w:rPr>
              <w:rStyle w:val="Hyperlink"/>
            </w:rPr>
            <w:delText>https://yourvoice.brighton-hove.gov.uk/en-GB/projects/school-admission-arrangements-public-consultation/1</w:delText>
          </w:r>
        </w:del>
      </w:ins>
      <w:r>
        <w:fldChar w:fldCharType="end"/>
      </w:r>
      <w:ins w:id="522" w:author="Revision" w:date="2026-08-25T00:00:00Z">
        <w:del w:id="523" w:author="Unknown">
          <w:r>
            <w:delText>.</w:delText>
          </w:r>
        </w:del>
      </w:ins>
    </w:p>
  </w:footnote>
  <w:footnote w:id="31">
    <w:p w14:paraId="22E4E8A8" w14:textId="0096ACB4" w:rsidR="001A6FB3" w:rsidRDefault="00000000">
      <w:pPr>
        <w:pStyle w:val="FootnoteText"/>
      </w:pPr>
      <w:r>
        <w:rPr>
          <w:rStyle w:val="FootnoteReference"/>
        </w:rPr>
        <w:footnoteRef/>
      </w:r>
      <w:del w:id="613" w:author="Unknown">
        <w:r>
          <w:delText xml:space="preserve"> </w:delText>
        </w:r>
      </w:del>
      <w:del w:id="614" w:author="Revision" w:date="2026-08-25T00:00:00Z">
        <w:r>
          <w:delText xml:space="preserve">School Attainment Policy Simulator: </w:delText>
        </w:r>
      </w:del>
      <w:hyperlink r:id="rId7"/>
      <w:del w:id="615" w:author="Unknown">
        <w:r>
          <w:delText xml:space="preserve"> </w:delText>
        </w:r>
      </w:del>
      <w:r>
        <w:fldChar w:fldCharType="begin"/>
      </w:r>
      <w:r>
        <w:instrText>HYPERLINK "https://educationequity.kit.com/" \h</w:instrText>
      </w:r>
      <w:r>
        <w:fldChar w:fldCharType="separate"/>
      </w:r>
      <w:ins w:id="616" w:author="Revision" w:date="2026-08-25T00:00:00Z">
        <w:del w:id="617" w:author="Unknown">
          <w:r>
            <w:rPr>
              <w:rStyle w:val="Hyperlink"/>
            </w:rPr>
            <w:delText>https://educationequity.kit.com/</w:delText>
          </w:r>
        </w:del>
      </w:ins>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9AC26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3349035">
    <w:abstractNumId w:val="11"/>
  </w:num>
  <w:num w:numId="2" w16cid:durableId="715008937">
    <w:abstractNumId w:val="16"/>
  </w:num>
  <w:num w:numId="3" w16cid:durableId="90863085">
    <w:abstractNumId w:val="20"/>
  </w:num>
  <w:num w:numId="4" w16cid:durableId="285892989">
    <w:abstractNumId w:val="1"/>
  </w:num>
  <w:num w:numId="5" w16cid:durableId="1889688008">
    <w:abstractNumId w:val="2"/>
  </w:num>
  <w:num w:numId="6" w16cid:durableId="1659188007">
    <w:abstractNumId w:val="3"/>
  </w:num>
  <w:num w:numId="7" w16cid:durableId="1748379258">
    <w:abstractNumId w:val="4"/>
  </w:num>
  <w:num w:numId="8" w16cid:durableId="1522279981">
    <w:abstractNumId w:val="9"/>
  </w:num>
  <w:num w:numId="9" w16cid:durableId="1846019313">
    <w:abstractNumId w:val="5"/>
  </w:num>
  <w:num w:numId="10" w16cid:durableId="1511069277">
    <w:abstractNumId w:val="7"/>
  </w:num>
  <w:num w:numId="11" w16cid:durableId="522597845">
    <w:abstractNumId w:val="6"/>
  </w:num>
  <w:num w:numId="12" w16cid:durableId="1183083884">
    <w:abstractNumId w:val="10"/>
  </w:num>
  <w:num w:numId="13" w16cid:durableId="1310789798">
    <w:abstractNumId w:val="8"/>
  </w:num>
  <w:num w:numId="14" w16cid:durableId="530187866">
    <w:abstractNumId w:val="18"/>
  </w:num>
  <w:num w:numId="15" w16cid:durableId="967275065">
    <w:abstractNumId w:val="21"/>
  </w:num>
  <w:num w:numId="16" w16cid:durableId="1562205318">
    <w:abstractNumId w:val="15"/>
  </w:num>
  <w:num w:numId="17" w16cid:durableId="18243480">
    <w:abstractNumId w:val="17"/>
  </w:num>
  <w:num w:numId="18" w16cid:durableId="148324002">
    <w:abstractNumId w:val="12"/>
  </w:num>
  <w:num w:numId="19" w16cid:durableId="1065106568">
    <w:abstractNumId w:val="0"/>
  </w:num>
  <w:num w:numId="20" w16cid:durableId="452943983">
    <w:abstractNumId w:val="13"/>
  </w:num>
  <w:num w:numId="21" w16cid:durableId="518197463">
    <w:abstractNumId w:val="19"/>
  </w:num>
  <w:num w:numId="22" w16cid:durableId="517695458">
    <w:abstractNumId w:val="22"/>
  </w:num>
  <w:num w:numId="23" w16cid:durableId="478576357">
    <w:abstractNumId w:val="23"/>
  </w:num>
  <w:num w:numId="24" w16cid:durableId="1353457913">
    <w:abstractNumId w:val="14"/>
  </w:num>
  <w:num w:numId="25" w16cid:durableId="1522280334">
    <w:abstractNumId w:val="24"/>
  </w:num>
  <w:num w:numId="26" w16cid:durableId="12451447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6FB3"/>
    <w:rsid w:val="001A76D3"/>
    <w:rsid w:val="002713D7"/>
    <w:rsid w:val="00302154"/>
    <w:rsid w:val="00303AF6"/>
    <w:rsid w:val="003E124A"/>
    <w:rsid w:val="00413CD7"/>
    <w:rsid w:val="00413EAF"/>
    <w:rsid w:val="00440721"/>
    <w:rsid w:val="00491C3B"/>
    <w:rsid w:val="005E30AF"/>
    <w:rsid w:val="006440C5"/>
    <w:rsid w:val="00660CA6"/>
    <w:rsid w:val="006B1605"/>
    <w:rsid w:val="006B1EF0"/>
    <w:rsid w:val="006E261F"/>
    <w:rsid w:val="00751895"/>
    <w:rsid w:val="0078047F"/>
    <w:rsid w:val="007C4687"/>
    <w:rsid w:val="00856D00"/>
    <w:rsid w:val="00861632"/>
    <w:rsid w:val="00A44957"/>
    <w:rsid w:val="00A50E66"/>
    <w:rsid w:val="00A753C0"/>
    <w:rsid w:val="00A96273"/>
    <w:rsid w:val="00B25936"/>
    <w:rsid w:val="00B6371F"/>
    <w:rsid w:val="00B8250B"/>
    <w:rsid w:val="00BE31E9"/>
    <w:rsid w:val="00C14C19"/>
    <w:rsid w:val="00C545A6"/>
    <w:rsid w:val="00C71E44"/>
    <w:rsid w:val="00D05A8B"/>
    <w:rsid w:val="00D5127C"/>
    <w:rsid w:val="00D62C5E"/>
    <w:rsid w:val="00EB2F3C"/>
    <w:rsid w:val="00EC7E12"/>
    <w:rsid w:val="00EE005F"/>
    <w:rsid w:val="00FD20CC"/>
    <w:rsid w:val="00FF7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BAA6E"/>
  <w15:docId w15:val="{7A0A3CF5-CEB6-4EBD-9694-170A7D2F9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4C19"/>
    <w:pPr>
      <w:spacing w:after="0" w:line="480" w:lineRule="auto"/>
    </w:pPr>
    <w:rPr>
      <w:rFonts w:ascii="Times New Roman" w:eastAsia="Times New Roman" w:hAnsi="Times New Roman" w:cs="Times New Roman"/>
      <w:lang w:val="en-GB" w:eastAsia="en-GB"/>
    </w:rPr>
  </w:style>
  <w:style w:type="paragraph" w:styleId="Heading1">
    <w:name w:val="heading 1"/>
    <w:basedOn w:val="Normal"/>
    <w:next w:val="Paragraph"/>
    <w:link w:val="Heading1Char"/>
    <w:qFormat/>
    <w:rsid w:val="00C14C19"/>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C14C19"/>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C14C19"/>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C14C19"/>
    <w:pPr>
      <w:spacing w:before="360"/>
      <w:outlineLvl w:val="3"/>
    </w:pPr>
    <w:rPr>
      <w:bCs/>
      <w:szCs w:val="28"/>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C14C1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14C19"/>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40" w:lineRule="auto"/>
    </w:pPr>
    <w:rPr>
      <w:sz w:val="16"/>
      <w:szCs w:val="16"/>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Keywords"/>
    <w:qFormat/>
    <w:rsid w:val="00C14C19"/>
    <w:pPr>
      <w:spacing w:before="360" w:after="300" w:line="360" w:lineRule="auto"/>
      <w:ind w:left="720" w:right="567"/>
    </w:pPr>
    <w:rPr>
      <w:sz w:val="22"/>
    </w:rPr>
  </w:style>
  <w:style w:type="paragraph" w:styleId="Bibliography">
    <w:name w:val="Bibliography"/>
    <w:basedOn w:val="Normal"/>
    <w:qFormat/>
    <w:pPr>
      <w:ind w:left="720" w:hanging="720"/>
    </w:pPr>
  </w:style>
  <w:style w:type="character" w:customStyle="1" w:styleId="Heading1Char">
    <w:name w:val="Heading 1 Char"/>
    <w:basedOn w:val="DefaultParagraphFont"/>
    <w:link w:val="Heading1"/>
    <w:rsid w:val="00C14C19"/>
    <w:rPr>
      <w:rFonts w:ascii="Times New Roman" w:eastAsia="Times New Roman" w:hAnsi="Times New Roman" w:cs="Arial"/>
      <w:b/>
      <w:bCs/>
      <w:kern w:val="32"/>
      <w:szCs w:val="32"/>
      <w:lang w:val="en-GB" w:eastAsia="en-GB"/>
    </w:rPr>
  </w:style>
  <w:style w:type="character" w:customStyle="1" w:styleId="Heading2Char">
    <w:name w:val="Heading 2 Char"/>
    <w:basedOn w:val="DefaultParagraphFont"/>
    <w:link w:val="Heading2"/>
    <w:rsid w:val="00C14C19"/>
    <w:rPr>
      <w:rFonts w:ascii="Times New Roman" w:eastAsia="Times New Roman" w:hAnsi="Times New Roman" w:cs="Arial"/>
      <w:b/>
      <w:bCs/>
      <w:i/>
      <w:iCs/>
      <w:szCs w:val="28"/>
      <w:lang w:val="en-GB" w:eastAsia="en-GB"/>
    </w:rPr>
  </w:style>
  <w:style w:type="character" w:customStyle="1" w:styleId="Heading3Char">
    <w:name w:val="Heading 3 Char"/>
    <w:basedOn w:val="DefaultParagraphFont"/>
    <w:link w:val="Heading3"/>
    <w:rsid w:val="00C14C19"/>
    <w:rPr>
      <w:rFonts w:ascii="Times New Roman" w:eastAsia="Times New Roman" w:hAnsi="Times New Roman" w:cs="Arial"/>
      <w:bCs/>
      <w:i/>
      <w:szCs w:val="26"/>
      <w:lang w:val="en-GB" w:eastAsia="en-GB"/>
    </w:rPr>
  </w:style>
  <w:style w:type="character" w:customStyle="1" w:styleId="Heading4Char">
    <w:name w:val="Heading 4 Char"/>
    <w:basedOn w:val="DefaultParagraphFont"/>
    <w:link w:val="Heading4"/>
    <w:rsid w:val="00C14C19"/>
    <w:rPr>
      <w:rFonts w:ascii="Times New Roman" w:eastAsia="Times New Roman" w:hAnsi="Times New Roman" w:cs="Times New Roman"/>
      <w:bCs/>
      <w:szCs w:val="28"/>
      <w:lang w:val="en-GB" w:eastAsia="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autoRedefine/>
    <w:rsid w:val="00C14C19"/>
    <w:pPr>
      <w:ind w:left="284" w:hanging="284"/>
    </w:pPr>
    <w:rPr>
      <w:sz w:val="22"/>
      <w:szCs w:val="20"/>
    </w:rPr>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43" w:type="dxa"/>
        <w:bottom w:w="0" w:type="dxa"/>
        <w:right w:w="43"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DefaultParagraphFont"/>
    <w:rsid w:val="00C14C19"/>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Articletitle">
    <w:name w:val="Article title"/>
    <w:basedOn w:val="Normal"/>
    <w:next w:val="Normal"/>
    <w:qFormat/>
    <w:rsid w:val="00C14C19"/>
    <w:pPr>
      <w:spacing w:after="120" w:line="360" w:lineRule="auto"/>
    </w:pPr>
    <w:rPr>
      <w:b/>
      <w:sz w:val="28"/>
    </w:rPr>
  </w:style>
  <w:style w:type="paragraph" w:customStyle="1" w:styleId="Authornames">
    <w:name w:val="Author names"/>
    <w:basedOn w:val="Normal"/>
    <w:next w:val="Normal"/>
    <w:qFormat/>
    <w:rsid w:val="00C14C19"/>
    <w:pPr>
      <w:spacing w:before="240" w:line="360" w:lineRule="auto"/>
    </w:pPr>
    <w:rPr>
      <w:sz w:val="28"/>
    </w:rPr>
  </w:style>
  <w:style w:type="paragraph" w:customStyle="1" w:styleId="Affiliation">
    <w:name w:val="Affiliation"/>
    <w:basedOn w:val="Normal"/>
    <w:qFormat/>
    <w:rsid w:val="00C14C19"/>
    <w:pPr>
      <w:spacing w:before="240" w:line="360" w:lineRule="auto"/>
    </w:pPr>
    <w:rPr>
      <w:i/>
    </w:rPr>
  </w:style>
  <w:style w:type="paragraph" w:customStyle="1" w:styleId="Receiveddates">
    <w:name w:val="Received dates"/>
    <w:basedOn w:val="Affiliation"/>
    <w:next w:val="Normal"/>
    <w:qFormat/>
    <w:rsid w:val="00C14C19"/>
  </w:style>
  <w:style w:type="paragraph" w:customStyle="1" w:styleId="Keywords">
    <w:name w:val="Keywords"/>
    <w:basedOn w:val="Normal"/>
    <w:next w:val="Paragraph"/>
    <w:qFormat/>
    <w:rsid w:val="00C14C19"/>
    <w:pPr>
      <w:spacing w:before="240" w:after="240" w:line="360" w:lineRule="auto"/>
      <w:ind w:left="720" w:right="567"/>
    </w:pPr>
    <w:rPr>
      <w:sz w:val="22"/>
    </w:rPr>
  </w:style>
  <w:style w:type="paragraph" w:customStyle="1" w:styleId="Correspondencedetails">
    <w:name w:val="Correspondence details"/>
    <w:basedOn w:val="Normal"/>
    <w:qFormat/>
    <w:rsid w:val="00C14C19"/>
    <w:pPr>
      <w:spacing w:before="240" w:line="360" w:lineRule="auto"/>
    </w:pPr>
  </w:style>
  <w:style w:type="paragraph" w:customStyle="1" w:styleId="Displayedquotation">
    <w:name w:val="Displayed quotation"/>
    <w:basedOn w:val="Normal"/>
    <w:qFormat/>
    <w:rsid w:val="00C14C19"/>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C14C19"/>
    <w:pPr>
      <w:widowControl/>
      <w:numPr>
        <w:numId w:val="14"/>
      </w:numPr>
      <w:spacing w:after="240"/>
      <w:contextualSpacing/>
    </w:pPr>
  </w:style>
  <w:style w:type="paragraph" w:customStyle="1" w:styleId="Displayedequation">
    <w:name w:val="Displayed equation"/>
    <w:basedOn w:val="Normal"/>
    <w:next w:val="Paragraph"/>
    <w:qFormat/>
    <w:rsid w:val="00C14C19"/>
    <w:pPr>
      <w:tabs>
        <w:tab w:val="center" w:pos="4253"/>
        <w:tab w:val="right" w:pos="8222"/>
      </w:tabs>
      <w:spacing w:before="240" w:after="240"/>
      <w:jc w:val="center"/>
    </w:pPr>
  </w:style>
  <w:style w:type="paragraph" w:customStyle="1" w:styleId="Acknowledgements">
    <w:name w:val="Acknowledgements"/>
    <w:basedOn w:val="Normal"/>
    <w:next w:val="Normal"/>
    <w:qFormat/>
    <w:rsid w:val="00C14C19"/>
    <w:pPr>
      <w:spacing w:before="120" w:line="360" w:lineRule="auto"/>
    </w:pPr>
    <w:rPr>
      <w:sz w:val="22"/>
    </w:rPr>
  </w:style>
  <w:style w:type="paragraph" w:customStyle="1" w:styleId="Tabletitle">
    <w:name w:val="Table title"/>
    <w:basedOn w:val="Normal"/>
    <w:next w:val="Normal"/>
    <w:qFormat/>
    <w:rsid w:val="00C14C19"/>
    <w:pPr>
      <w:spacing w:before="240" w:line="360" w:lineRule="auto"/>
    </w:pPr>
  </w:style>
  <w:style w:type="paragraph" w:customStyle="1" w:styleId="Figurecaption">
    <w:name w:val="Figure caption"/>
    <w:basedOn w:val="Normal"/>
    <w:next w:val="Normal"/>
    <w:qFormat/>
    <w:rsid w:val="00C14C19"/>
    <w:pPr>
      <w:spacing w:before="240" w:line="360" w:lineRule="auto"/>
    </w:pPr>
  </w:style>
  <w:style w:type="paragraph" w:customStyle="1" w:styleId="Footnotes">
    <w:name w:val="Footnotes"/>
    <w:basedOn w:val="Normal"/>
    <w:qFormat/>
    <w:rsid w:val="00C14C19"/>
    <w:pPr>
      <w:spacing w:before="120" w:line="360" w:lineRule="auto"/>
      <w:ind w:left="482" w:hanging="482"/>
      <w:contextualSpacing/>
    </w:pPr>
    <w:rPr>
      <w:sz w:val="22"/>
    </w:rPr>
  </w:style>
  <w:style w:type="paragraph" w:customStyle="1" w:styleId="Notesoncontributors">
    <w:name w:val="Notes on contributors"/>
    <w:basedOn w:val="Normal"/>
    <w:qFormat/>
    <w:rsid w:val="00C14C19"/>
    <w:pPr>
      <w:spacing w:before="240" w:line="360" w:lineRule="auto"/>
    </w:pPr>
    <w:rPr>
      <w:sz w:val="22"/>
    </w:rPr>
  </w:style>
  <w:style w:type="paragraph" w:customStyle="1" w:styleId="Normalparagraphstyle">
    <w:name w:val="Normal paragraph style"/>
    <w:basedOn w:val="Normal"/>
    <w:next w:val="Normal"/>
    <w:rsid w:val="00C14C19"/>
  </w:style>
  <w:style w:type="paragraph" w:customStyle="1" w:styleId="Paragraph">
    <w:name w:val="Paragraph"/>
    <w:basedOn w:val="Normal"/>
    <w:next w:val="Newparagraph"/>
    <w:qFormat/>
    <w:rsid w:val="00C14C19"/>
    <w:pPr>
      <w:widowControl w:val="0"/>
      <w:spacing w:before="240"/>
    </w:pPr>
  </w:style>
  <w:style w:type="paragraph" w:customStyle="1" w:styleId="Newparagraph">
    <w:name w:val="New paragraph"/>
    <w:basedOn w:val="Normal"/>
    <w:qFormat/>
    <w:rsid w:val="00C14C19"/>
    <w:pPr>
      <w:ind w:firstLine="720"/>
    </w:pPr>
  </w:style>
  <w:style w:type="paragraph" w:styleId="NormalIndent">
    <w:name w:val="Normal Indent"/>
    <w:basedOn w:val="Normal"/>
    <w:rsid w:val="00C14C19"/>
    <w:pPr>
      <w:ind w:left="720"/>
    </w:pPr>
  </w:style>
  <w:style w:type="paragraph" w:customStyle="1" w:styleId="References">
    <w:name w:val="References"/>
    <w:basedOn w:val="Normal"/>
    <w:qFormat/>
    <w:rsid w:val="00C14C19"/>
    <w:pPr>
      <w:spacing w:before="120" w:line="360" w:lineRule="auto"/>
      <w:ind w:left="720" w:hanging="720"/>
      <w:contextualSpacing/>
    </w:pPr>
  </w:style>
  <w:style w:type="paragraph" w:customStyle="1" w:styleId="Subjectcodes">
    <w:name w:val="Subject codes"/>
    <w:basedOn w:val="Keywords"/>
    <w:next w:val="Paragraph"/>
    <w:qFormat/>
    <w:rsid w:val="00C14C19"/>
  </w:style>
  <w:style w:type="paragraph" w:customStyle="1" w:styleId="Bulletedlist">
    <w:name w:val="Bulleted list"/>
    <w:basedOn w:val="Paragraph"/>
    <w:next w:val="Paragraph"/>
    <w:qFormat/>
    <w:rsid w:val="00C14C19"/>
    <w:pPr>
      <w:widowControl/>
      <w:numPr>
        <w:numId w:val="15"/>
      </w:numPr>
      <w:spacing w:after="240"/>
      <w:contextualSpacing/>
    </w:pPr>
  </w:style>
  <w:style w:type="character" w:customStyle="1" w:styleId="FootnoteTextChar">
    <w:name w:val="Footnote Text Char"/>
    <w:basedOn w:val="DefaultParagraphFont"/>
    <w:link w:val="FootnoteText"/>
    <w:rsid w:val="00C14C19"/>
    <w:rPr>
      <w:rFonts w:ascii="Times New Roman" w:eastAsia="Times New Roman" w:hAnsi="Times New Roman" w:cs="Times New Roman"/>
      <w:sz w:val="22"/>
      <w:szCs w:val="20"/>
      <w:lang w:val="en-GB" w:eastAsia="en-GB"/>
    </w:rPr>
  </w:style>
  <w:style w:type="paragraph" w:styleId="EndnoteText">
    <w:name w:val="endnote text"/>
    <w:basedOn w:val="Normal"/>
    <w:link w:val="EndnoteTextChar"/>
    <w:autoRedefine/>
    <w:rsid w:val="00C14C19"/>
    <w:pPr>
      <w:ind w:left="284" w:hanging="284"/>
    </w:pPr>
    <w:rPr>
      <w:sz w:val="22"/>
      <w:szCs w:val="20"/>
    </w:rPr>
  </w:style>
  <w:style w:type="character" w:customStyle="1" w:styleId="EndnoteTextChar">
    <w:name w:val="Endnote Text Char"/>
    <w:basedOn w:val="DefaultParagraphFont"/>
    <w:link w:val="EndnoteText"/>
    <w:rsid w:val="00C14C19"/>
    <w:rPr>
      <w:rFonts w:ascii="Times New Roman" w:eastAsia="Times New Roman" w:hAnsi="Times New Roman" w:cs="Times New Roman"/>
      <w:sz w:val="22"/>
      <w:szCs w:val="20"/>
      <w:lang w:val="en-GB" w:eastAsia="en-GB"/>
    </w:rPr>
  </w:style>
  <w:style w:type="character" w:styleId="EndnoteReference">
    <w:name w:val="endnote reference"/>
    <w:basedOn w:val="DefaultParagraphFont"/>
    <w:rsid w:val="00C14C19"/>
    <w:rPr>
      <w:vertAlign w:val="superscript"/>
    </w:rPr>
  </w:style>
  <w:style w:type="paragraph" w:styleId="Header">
    <w:name w:val="header"/>
    <w:basedOn w:val="Normal"/>
    <w:link w:val="HeaderChar"/>
    <w:rsid w:val="00C14C19"/>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C14C19"/>
    <w:rPr>
      <w:rFonts w:ascii="Times New Roman" w:eastAsia="Times New Roman" w:hAnsi="Times New Roman" w:cs="Times New Roman"/>
      <w:lang w:val="en-GB" w:eastAsia="en-GB"/>
    </w:rPr>
  </w:style>
  <w:style w:type="paragraph" w:styleId="Footer">
    <w:name w:val="footer"/>
    <w:basedOn w:val="Normal"/>
    <w:link w:val="FooterChar"/>
    <w:rsid w:val="00C14C19"/>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C14C19"/>
    <w:rPr>
      <w:rFonts w:ascii="Times New Roman" w:eastAsia="Times New Roman" w:hAnsi="Times New Roman" w:cs="Times New Roman"/>
      <w:lang w:val="en-GB" w:eastAsia="en-GB"/>
    </w:rPr>
  </w:style>
  <w:style w:type="paragraph" w:customStyle="1" w:styleId="Heading4Paragraph">
    <w:name w:val="Heading 4 + Paragraph"/>
    <w:basedOn w:val="Paragraph"/>
    <w:next w:val="Newparagraph"/>
    <w:qFormat/>
    <w:rsid w:val="00C14C19"/>
    <w:pPr>
      <w:widowControl/>
      <w:spacing w:before="360"/>
    </w:pPr>
  </w:style>
  <w:style w:type="table" w:styleId="TableGridLight">
    <w:name w:val="Grid Table Light"/>
    <w:basedOn w:val="TableNormal"/>
    <w:rsid w:val="003E124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314687" TargetMode="External"/><Relationship Id="rId18" Type="http://schemas.openxmlformats.org/officeDocument/2006/relationships/hyperlink" Target="https://explore-education-statistics.service.gov.uk/find-statistics/pupil-absence-in-schools-in-england/2024-25-autumn-and-spring-term" TargetMode="External"/><Relationship Id="rId26" Type="http://schemas.openxmlformats.org/officeDocument/2006/relationships/hyperlink" Target="https://doi.org/10.1002/berj.3297" TargetMode="External"/><Relationship Id="rId39" Type="http://schemas.openxmlformats.org/officeDocument/2006/relationships/hyperlink" Target="https://doi.org/10.1265/ehpm.25-00290" TargetMode="External"/><Relationship Id="rId21" Type="http://schemas.openxmlformats.org/officeDocument/2006/relationships/hyperlink" Target="https://doi.org/10.1002/berj.3992" TargetMode="External"/><Relationship Id="rId34" Type="http://schemas.openxmlformats.org/officeDocument/2006/relationships/hyperlink" Target="https://doi.org/10.14324/LRE.21.1.20" TargetMode="External"/><Relationship Id="rId42" Type="http://schemas.openxmlformats.org/officeDocument/2006/relationships/hyperlink" Target="https://doi.org/10.1111/jcpp.14082" TargetMode="External"/><Relationship Id="rId47" Type="http://schemas.openxmlformats.org/officeDocument/2006/relationships/hyperlink" Target="https://doi.org/10.1080/01425692.2025.2474040" TargetMode="External"/><Relationship Id="rId50" Type="http://schemas.openxmlformats.org/officeDocument/2006/relationships/hyperlink" Target="https://ffteducationdatalab.org.uk/2023/11/are-pupils-who-live-further-away-from-their-school-absent-more-often/" TargetMode="External"/><Relationship Id="rId55" Type="http://schemas.openxmlformats.org/officeDocument/2006/relationships/hyperlink" Target="https://epi.org.uk/publications-and-research/the-influence-of-headteachers-on-their-schools/" TargetMode="External"/><Relationship Id="rId63" Type="http://schemas.openxmlformats.org/officeDocument/2006/relationships/theme" Target="theme/theme1.xml"/><Relationship Id="rId7" Type="http://schemas.openxmlformats.org/officeDocument/2006/relationships/hyperlink" Target="https://doi.org/10.1080/09645292.2017.1366425" TargetMode="External"/><Relationship Id="rId2" Type="http://schemas.openxmlformats.org/officeDocument/2006/relationships/styles" Target="styles.xml"/><Relationship Id="rId16" Type="http://schemas.openxmlformats.org/officeDocument/2006/relationships/hyperlink" Target="https://explore-education-statistics.service.gov.uk/find-statistics/the-link-between-absence-and-attainment-at-ks2-and-ks4/2018-19" TargetMode="External"/><Relationship Id="rId29" Type="http://schemas.openxmlformats.org/officeDocument/2006/relationships/hyperlink" Target="https://opendocs.ids.ac.uk/articles/report/The_Contribution_of_Education_to_Economic_Growth/26453986/1" TargetMode="External"/><Relationship Id="rId11" Type="http://schemas.openxmlformats.org/officeDocument/2006/relationships/hyperlink" Target="https://doi.org/10.1177/0308518X18787820" TargetMode="External"/><Relationship Id="rId24" Type="http://schemas.openxmlformats.org/officeDocument/2006/relationships/hyperlink" Target="https://doi.org/10.1111/j.1467-8624.2004.00655.x" TargetMode="External"/><Relationship Id="rId32" Type="http://schemas.openxmlformats.org/officeDocument/2006/relationships/hyperlink" Target="https://doi.org/10.1016/j.psyneuen.2021.105371" TargetMode="External"/><Relationship Id="rId37" Type="http://schemas.openxmlformats.org/officeDocument/2006/relationships/hyperlink" Target="https://doi.org/10.1111/j.2041-210x.2012.00261.x" TargetMode="External"/><Relationship Id="rId40" Type="http://schemas.openxmlformats.org/officeDocument/2006/relationships/hyperlink" Target="https://doi.org/10.3109/07420528.2013.826238" TargetMode="External"/><Relationship Id="rId45" Type="http://schemas.openxmlformats.org/officeDocument/2006/relationships/hyperlink" Target="https://knowledge.uchicago.edu/record/7216" TargetMode="External"/><Relationship Id="rId53" Type="http://schemas.openxmlformats.org/officeDocument/2006/relationships/hyperlink" Target="https://doi.org/10.1080/00031305.2016.1154108" TargetMode="External"/><Relationship Id="rId58" Type="http://schemas.openxmlformats.org/officeDocument/2006/relationships/image" Target="media/image3.png"/><Relationship Id="rId5" Type="http://schemas.openxmlformats.org/officeDocument/2006/relationships/footnotes" Target="footnotes.xml"/><Relationship Id="rId61" Type="http://schemas.openxmlformats.org/officeDocument/2006/relationships/image" Target="media/image6.png"/><Relationship Id="rId19" Type="http://schemas.openxmlformats.org/officeDocument/2006/relationships/hyperlink" Target="https://www.gov.uk/government/publications/every-child-achieving-and-thriving/every-child-achieving-and-thriving-html-version" TargetMode="External"/><Relationship Id="rId14" Type="http://schemas.openxmlformats.org/officeDocument/2006/relationships/hyperlink" Target="https://committees.parliament.uk/committee/203/education-committee/news/156024/forgotten-white-workingclass-pupils-let-down-by-decades-of-neglect-mps-say/" TargetMode="External"/><Relationship Id="rId22" Type="http://schemas.openxmlformats.org/officeDocument/2006/relationships/hyperlink" Target="https://doi.org/10.1093/ooec/odad029" TargetMode="External"/><Relationship Id="rId27" Type="http://schemas.openxmlformats.org/officeDocument/2006/relationships/hyperlink" Target="https://doi.org/10.1177/2158244018825171" TargetMode="External"/><Relationship Id="rId30" Type="http://schemas.openxmlformats.org/officeDocument/2006/relationships/hyperlink" Target="https://doi.org/10.1186/s12889-025-22861-7" TargetMode="External"/><Relationship Id="rId35" Type="http://schemas.openxmlformats.org/officeDocument/2006/relationships/hyperlink" Target="https://www.nfer.ac.uk/publications/understanding-the-relationship-between-attendance-wellbeing-and-sense-of-belonging/" TargetMode="External"/><Relationship Id="rId43" Type="http://schemas.openxmlformats.org/officeDocument/2006/relationships/hyperlink" Target="https://www.gov.uk/government/publications/against-the-odds" TargetMode="External"/><Relationship Id="rId48" Type="http://schemas.openxmlformats.org/officeDocument/2006/relationships/hyperlink" Target="https://www.gov.uk/government/publications/the-report-of-the-commission-on-race-and-ethnic-disparities-supporting-research/ethnic-socio-economic-and-sex-inequalities-in-educational-achievement-at-age-16-by-professor-steve-strand" TargetMode="External"/><Relationship Id="rId56" Type="http://schemas.openxmlformats.org/officeDocument/2006/relationships/image" Target="media/image1.png"/><Relationship Id="rId8" Type="http://schemas.openxmlformats.org/officeDocument/2006/relationships/hyperlink" Target="https://doi.org/10.1111/j.1475-5661.2012.00511.x" TargetMode="External"/><Relationship Id="rId51" Type="http://schemas.openxmlformats.org/officeDocument/2006/relationships/hyperlink" Target="https://epi.org.uk/annual-report-2023/" TargetMode="External"/><Relationship Id="rId3" Type="http://schemas.openxmlformats.org/officeDocument/2006/relationships/settings" Target="settings.xml"/><Relationship Id="rId12" Type="http://schemas.openxmlformats.org/officeDocument/2006/relationships/hyperlink" Target="https://doi.org/10.1016/j.econedurev.2023.102405" TargetMode="External"/><Relationship Id="rId17" Type="http://schemas.openxmlformats.org/officeDocument/2006/relationships/hyperlink" Target="https://www.gov.uk/government/publications/link-between-attendance-and-attainment" TargetMode="External"/><Relationship Id="rId25" Type="http://schemas.openxmlformats.org/officeDocument/2006/relationships/hyperlink" Target="https://cep.lse.ac.uk/_new/publications/abstract.asp?index=5752" TargetMode="External"/><Relationship Id="rId33" Type="http://schemas.openxmlformats.org/officeDocument/2006/relationships/hyperlink" Target="https://www.nfer.ac.uk/publications/supporting-the-attainment-of-disadvantaged-pupils-articulating-success-and-good-practice/" TargetMode="External"/><Relationship Id="rId38" Type="http://schemas.openxmlformats.org/officeDocument/2006/relationships/hyperlink" Target="https://doi.org/10.1111/pcn.13714" TargetMode="External"/><Relationship Id="rId46" Type="http://schemas.openxmlformats.org/officeDocument/2006/relationships/hyperlink" Target="https://doi.org/10.3102/0013189X20949504" TargetMode="External"/><Relationship Id="rId59" Type="http://schemas.openxmlformats.org/officeDocument/2006/relationships/image" Target="media/image4.png"/><Relationship Id="rId20" Type="http://schemas.openxmlformats.org/officeDocument/2006/relationships/hyperlink" Target="https://doi.org/10.1016/j.jth.2023.101605" TargetMode="External"/><Relationship Id="rId41" Type="http://schemas.openxmlformats.org/officeDocument/2006/relationships/hyperlink" Target="https://doi.org/10.1007/s41105-017-0091-0" TargetMode="External"/><Relationship Id="rId54" Type="http://schemas.openxmlformats.org/officeDocument/2006/relationships/hyperlink" Target="https://doi.org/10.1016/j.sleep.2018.10.041"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102/01623737221092450" TargetMode="External"/><Relationship Id="rId23" Type="http://schemas.openxmlformats.org/officeDocument/2006/relationships/hyperlink" Target="https://doi.org/10.1186/1471-2458-13-1166" TargetMode="External"/><Relationship Id="rId28" Type="http://schemas.openxmlformats.org/officeDocument/2006/relationships/hyperlink" Target="https://doi.org/10.3390/educsci15010006" TargetMode="External"/><Relationship Id="rId36" Type="http://schemas.openxmlformats.org/officeDocument/2006/relationships/hyperlink" Target="https://doi.org/10.1098/rsif.2017.0213" TargetMode="External"/><Relationship Id="rId49" Type="http://schemas.openxmlformats.org/officeDocument/2006/relationships/hyperlink" Target="https://doi.org/10.1007/978-3-031-98300-9_17" TargetMode="External"/><Relationship Id="rId57" Type="http://schemas.openxmlformats.org/officeDocument/2006/relationships/image" Target="media/image2.png"/><Relationship Id="rId10" Type="http://schemas.openxmlformats.org/officeDocument/2006/relationships/hyperlink" Target="https://www.urban.org/sites/default/files/publication/99027/time_to_school_and_student_outcomes_in_dc_1.pdf" TargetMode="External"/><Relationship Id="rId31" Type="http://schemas.openxmlformats.org/officeDocument/2006/relationships/hyperlink" Target="https://doi.org/10.1371/journal.pmed.1003031" TargetMode="External"/><Relationship Id="rId44" Type="http://schemas.openxmlformats.org/officeDocument/2006/relationships/hyperlink" Target="https://www.gov.uk/government/publications/examining-the-london-advantage-in-attainment-evidence-from-lsype" TargetMode="External"/><Relationship Id="rId52" Type="http://schemas.openxmlformats.org/officeDocument/2006/relationships/hyperlink" Target="https://doi.org/10.1177/0739456X17725148" TargetMode="External"/><Relationship Id="rId6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doi.org/10.1080/0305764X.2024.2420611"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sf.io/x82j3/overview" TargetMode="External"/><Relationship Id="rId7" Type="http://schemas.openxmlformats.org/officeDocument/2006/relationships/hyperlink" Target="https://adam-dennett.shinyapps.io/School_Attainment_Policy_Simulator/" TargetMode="External"/><Relationship Id="rId2" Type="http://schemas.openxmlformats.org/officeDocument/2006/relationships/hyperlink" Target="https://osf.io/x82j3/overview" TargetMode="External"/><Relationship Id="rId1" Type="http://schemas.openxmlformats.org/officeDocument/2006/relationships/hyperlink" Target="https://www.gov.uk/national-curriculum" TargetMode="External"/><Relationship Id="rId6" Type="http://schemas.openxmlformats.org/officeDocument/2006/relationships/hyperlink" Target="https://www.brighton-hove.gov.uk/schools-and-learning/school-policies-reports-strategies-and-other-documents/better-outcomes-better-lives-brighton-hoves-strategy-tackling-educational-disadvantage" TargetMode="External"/><Relationship Id="rId5" Type="http://schemas.openxmlformats.org/officeDocument/2006/relationships/hyperlink" Target="https://osf.io/x82j3/overview" TargetMode="External"/><Relationship Id="rId4" Type="http://schemas.openxmlformats.org/officeDocument/2006/relationships/hyperlink" Target="https://osf.io/x82j3/overview"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25</TotalTime>
  <Pages>73</Pages>
  <Words>17093</Words>
  <Characters>97431</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Adam Dennett</cp:lastModifiedBy>
  <cp:revision>3</cp:revision>
  <dcterms:created xsi:type="dcterms:W3CDTF">2026-08-26T12:23:00Z</dcterms:created>
  <dcterms:modified xsi:type="dcterms:W3CDTF">2026-08-26T12:57:00Z</dcterms:modified>
</cp:coreProperties>
</file>