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52.png" ContentType="image/png"/>
  <Override PartName="/word/media/rId57.png" ContentType="image/png"/>
  <Override PartName="/word/media/rId67.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Pull the Right Lever: School Attainment, Open Data Analytics and Local Education Policy in England</w:t>
      </w:r>
    </w:p>
    <w:p>
      <w:pPr>
        <w:pStyle w:val="Subtitle"/>
      </w:pPr>
      <w:r>
        <w:t xml:space="preserve">Lessons from Brighton and Hove</w:t>
      </w:r>
    </w:p>
    <w:p>
      <w:pPr>
        <w:pStyle w:val="Author"/>
      </w:pPr>
      <w:r>
        <w:t xml:space="preserve">Adam Dennett</w:t>
      </w:r>
    </w:p>
    <w:p>
      <w:pPr>
        <w:pStyle w:val="Author"/>
      </w:pPr>
      <w:r>
        <w:t xml:space="preserve">Dan Campbell-Meiklejohn</w:t>
      </w:r>
    </w:p>
    <w:p>
      <w:pPr>
        <w:pStyle w:val="Date"/>
      </w:pPr>
      <w:r>
        <w:t xml:space="preserve">2026-04-14</w:t>
      </w:r>
    </w:p>
    <w:p>
      <w:pPr>
        <w:pStyle w:val="AbstractTitle"/>
      </w:pPr>
      <w:r>
        <w:t xml:space="preserve">Abstract</w:t>
      </w:r>
    </w:p>
    <w:p>
      <w:pPr>
        <w:pStyle w:val="Abstract"/>
      </w:pPr>
      <w:r>
        <w:t xml:space="preserve">In its 2026 White Paper, the UK government has set a worthwhile and ambitious target to halve the disadvantage attainment gap in education. Achieving improvements in disadvantaged student attainment requires local education authorities to understand their local situations and the specific drivers in their areas. But it is all too easy to pull the wrong policy lever when the research is complex and local intelligence is incomplete. Recent experiences in Brighton and Hove have highlighted the gap between open data and actionable information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would be reduced by moving children around a large city to increase mixing of socioeconomic status in schools. Our analysis revealed this policy would likely have little impact on attainment in the context of the city, but have considerable social costs. In contrast, Brighton and Hove has the second worst absence rate in England. The council policy was pulling a costly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of attainment in their areas and choose interventions accordingly.</w:t>
      </w:r>
    </w:p>
    <w:p>
      <w:pPr>
        <w:pStyle w:val="BodyText"/>
      </w:pPr>
      <w:r>
        <w:t xml:space="preserve">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secondary school admissions policy proposals in 2024–25 were designed around the wrong local attainment drivers, which would not have occurred if the policy was directly informed by the available data.</w:t>
      </w:r>
    </w:p>
    <w:p>
      <w:pPr>
        <w:pStyle w:val="BodyText"/>
      </w:pPr>
      <w:r>
        <w:t xml:space="preserve">Brighton and Hove provides a particularly instructive case. The city already has a distinctive and progressive admissions landscape featuring catchment areas with a lottery tie-break for oversubscribed schools, introduced following a secondary school closure in 2005</w:t>
      </w:r>
      <w:r>
        <w:t xml:space="preserve"> </w:t>
      </w:r>
      <w:r>
        <w:t xml:space="preserve">(Allen et al. 2013)</w:t>
      </w:r>
      <w:r>
        <w:t xml:space="preserve"> </w:t>
      </w:r>
      <w:r>
        <w:t xml:space="preserve">and an admissions priority for those on Free School Meals in all of its community schools. In 2024, the council launched proposals to shake things up even further by reducing Published Admission Numbers at popular central-catchment schools (and keeping them higher at less popular under-subscribed schools), reserving a number of places for out-of-catchment children in central catchments, ahead of in-catchment children and altering the catchment areas in the city. These new policy proposals were promoted to the public as premised on the assumption that attainment in the city was</w:t>
      </w:r>
      <w:r>
        <w:t xml:space="preserve"> </w:t>
      </w:r>
      <w:r>
        <w:t xml:space="preserve">‘driven by economic advantage’</w:t>
      </w:r>
      <w:r>
        <w:t xml:space="preserve"> </w:t>
      </w:r>
      <w:r>
        <w:t xml:space="preserve">and that redistributing pupils around the city would narrow the attainment gap. The response to the consultation was overwhelmingly negative from parents and schools alike, yet many did not have the tools to effectively challenge the council’s narrative and the core policy direction persisted - albeit eventually slightly watered down from the initial proposals.</w:t>
      </w:r>
    </w:p>
    <w:p>
      <w:pPr>
        <w:pStyle w:val="BodyText"/>
      </w:pPr>
      <w:r>
        <w:t xml:space="preserve">Raw data on the attainment gap, without context, was used by the local council as partial justification for the policies proposed. The city noted a correlation between concentration of disadvantage in schools, geography, and lower attainment. This was painted by the policy makers as a failure in need of urgent action to counter the assumed impact of economic advantage on school admissions. Due to the assumed dominance of the impact of economic advantage, the impacts of long school journeys to schools outside of local communities on safety, attainment, environment and wellbeing of affected children were not scrutinised in depth. It is our proposal that detailed data and analytics about the local situation would have led to a different frame of the city’s situation. Some rapidly produced analysis was put into the public domain by some of the authors of this paper</w:t>
      </w:r>
      <w:r>
        <w:rPr>
          <w:rStyle w:val="FootnoteReference"/>
        </w:rPr>
        <w:footnoteReference w:id="20"/>
      </w:r>
      <w:r>
        <w:t xml:space="preserve">, but this was produced as a response to, rather than contributing to, the creation of the policy. Consistent with the national picture, there is an attainment gap in Brighton and Hove. However, what we (the citizens of Brighton and Hove, including the local councillors developing policy) didn’t know it at the time, was prior to the policy proposals Brighton and Hove was one of the best performing Local Education Authorities in the Country for both disadvantaged (7th out of 152) and non-disadvantaged (5th out of 152) GCSE attainment, once you account for the factors we know influence that attainment. With this knowledge, the approach to improving outcomes for disadvantaged pupils could have been more effective by asking, for example,</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While we can’t know if open, accessible, location-specific analysis would have resulted in a change of policy direction, it would have facilitated far more informed policy development.</w:t>
      </w:r>
    </w:p>
    <w:p>
      <w:pPr>
        <w:pStyle w:val="BodyText"/>
      </w:pPr>
      <w:r>
        <w:t xml:space="preserve">The discussions that led to this paper took place over an 18 month period spanning the 2024 and 2025 secondary school admissions consultation in the city with a wide group of parents and stakeholders. Some were academics, some experienced in national policy making, some involved in school governance and teaching, others worked for the council in different capacities and others would simply identify as concerned parents. This diverse positionality motivates the analysis: we argue that better analytical tools, applied to readily available open data, could have substantially improved the quality of the policy debate and may have resulted in better policy formation.</w:t>
      </w:r>
    </w:p>
    <w:p>
      <w:pPr>
        <w:pStyle w:val="BodyText"/>
      </w:pPr>
      <w:r>
        <w:t xml:space="preserve">We are not claiming that the model outlined in this paper is the best possible or that our variable selection is optimal, or indeed novel (the variables and effects are very similar to those reported by</w:t>
      </w:r>
      <w:r>
        <w:t xml:space="preserve"> </w:t>
      </w:r>
      <w:r>
        <w:t xml:space="preserve">Macleod et al. (2015)</w:t>
      </w:r>
      <w:r>
        <w:t xml:space="preserve"> </w:t>
      </w:r>
      <w:r>
        <w:t xml:space="preserve">over 10 years ago). Our intention is to show that with open, freely available data and variables that are along the right lines, it is possible to build a model explaining over 80% of the variation in school-level attainment with just a handful of predictors. Then, when we know the vast majority of influences on attainment and how they interact in different local contexts, we can answer locally targeted questions such as:</w:t>
      </w:r>
      <w:r>
        <w:t xml:space="preserve"> </w:t>
      </w:r>
      <w:r>
        <w:t xml:space="preserve">‘is changing the social mix in schools likely to improve disadvantaged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w:t>
      </w:r>
    </w:p>
    <w:p>
      <w:pPr>
        <w:pStyle w:val="BodyText"/>
      </w:pPr>
      <w:r>
        <w:t xml:space="preserve">We are also acutely aware that statistical analysis does not always translate effectively into accessible policy relevant intelligence. While the reporting of standard deviation improvements is more statistically sound, trying to translate such an effect into a tangible outcome would be a challenge for most. Therefore in this paper we try to present the effects we observe in more readily understandable GCSE points so that they have more real-world meaning and potentially more resonance with policy makers.</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literature-review"/>
    <w:p>
      <w:pPr>
        <w:pStyle w:val="Heading1"/>
      </w:pPr>
      <w:r>
        <w:t xml:space="preserve">2. Literature review</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A crucial dimension is that inequalities in outcomes between disadvantaged and non-disadvantaged students at GCSE level are substantially mediated by prior attainment at National Curriculum Key Stage 2 (KS2 - the latter stages of Primary School from ages 7 to 11</w:t>
      </w:r>
      <w:r>
        <w:rPr>
          <w:rStyle w:val="FootnoteReference"/>
        </w:rPr>
        <w:footnoteReference w:id="23"/>
      </w:r>
      <w:r>
        <w:t xml:space="preserve">). Prior attainment at KS2 reflects accumulated inequalities from before secondary school</w:t>
      </w:r>
      <w:r>
        <w:t xml:space="preserve"> </w:t>
      </w:r>
      <w:r>
        <w:t xml:space="preserve">(Stopforth and Gayle 2025)</w:t>
      </w:r>
      <w:r>
        <w:t xml:space="preserve">, and</w:t>
      </w:r>
      <w:r>
        <w:t xml:space="preserve"> </w:t>
      </w:r>
      <w:r>
        <w:t xml:space="preserve">Gorard and Siddiqui (2019)</w:t>
      </w:r>
      <w:r>
        <w:t xml:space="preserve"> </w:t>
      </w:r>
      <w:r>
        <w:t xml:space="preserve">show that the duration of disadvantage is a stronger predictor than disadvantage at any single point. We will return to this later in the paper, however</w:t>
      </w:r>
      <w:r>
        <w:t xml:space="preserve"> </w:t>
      </w:r>
      <w:r>
        <w:t xml:space="preserve">Gorard and Siddiqui (2019)</w:t>
      </w:r>
      <w:r>
        <w:t xml:space="preserve"> </w:t>
      </w:r>
      <w:r>
        <w:t xml:space="preserve">take their focus on disadvantage further and also propose that pupils do worse in schools with higher concentrations of disadvantage, estimating improvements in grades of 0.05–0.15 standard deviations from greater social mixing. While they don’t translate this effect, it works out at approximately one GCSE grade in one subject (most students take around 8-10 GCSE subjects in total). One seductive policy point they make in their paper is that additional mixing can be achieved at</w:t>
      </w:r>
      <w:r>
        <w:t xml:space="preserve"> </w:t>
      </w:r>
      <w:r>
        <w:t xml:space="preserve">‘almost no cost’</w:t>
      </w:r>
      <w:r>
        <w:t xml:space="preserve">. However this is a conjecture that overlooks the real-world consequences for communities, particularly where local social geographies might mean that de-concentration might require children travelling long distances, either by choice or because they are no longer able to attend their most local school.</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Simon 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(Simon Burgess et al. 2023; S. Burgess et al. 2022)</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It’s clear from the review above that the factors affecting attainment are multifaceted, complex and interrelated. The research is extensive and many of the drivers well-established and evidenced through high-quality studies on thousands of pupils over long periods of time. As such, with so much evidence on the various different drivers of attainment it can be challenging for anyone comparing different studies to make a judgement on which driver(s) might be most relevant or important in a particular context. To do this, what is required is an analysis which is able to combine as many of these drivers at the same time so that their relative influences and interactions can be assessed concurrently — which is where we now turn.</w:t>
      </w:r>
    </w:p>
    <w:bookmarkEnd w:id="27"/>
    <w:bookmarkEnd w:id="28"/>
    <w:bookmarkStart w:id="35" w:name="data-and-methods"/>
    <w:p>
      <w:pPr>
        <w:pStyle w:val="Heading1"/>
      </w:pPr>
      <w:r>
        <w:t xml:space="preserve">3. Data and methods</w:t>
      </w:r>
    </w:p>
    <w:bookmarkStart w:id="31"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 special schools are excluded. After listwise exclusion of cases with missing predictor values required for the log-linear specification (principally missing workforce or Ofsted data), the analysis sample used in the models is approximately 12,200 observations. All data are school-level aggregates; interpretations relate to this level of aggregation.</w:t>
      </w:r>
    </w:p>
    <w:bookmarkEnd w:id="31"/>
    <w:bookmarkStart w:id="34"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log(% overall absence), log(% pupils with English not first language),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2"/>
      </w:r>
      <w:r>
        <w:t xml:space="preserve">.</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REML estimation.</w:t>
      </w:r>
    </w:p>
    <w:bookmarkEnd w:id="34"/>
    <w:bookmarkEnd w:id="35"/>
    <w:bookmarkStart w:id="51" w:name="results"/>
    <w:p>
      <w:pPr>
        <w:pStyle w:val="Heading1"/>
      </w:pPr>
      <w:r>
        <w:t xml:space="preserve">4. Results</w:t>
      </w:r>
    </w:p>
    <w:bookmarkStart w:id="36" w:name="model-fit"/>
    <w:p>
      <w:pPr>
        <w:pStyle w:val="Heading2"/>
      </w:pPr>
      <w:r>
        <w:t xml:space="preserve">4.1 Model fit</w:t>
      </w:r>
    </w:p>
    <w:p>
      <w:pPr>
        <w:pStyle w:val="FirstParagraph"/>
      </w:pPr>
      <w:r>
        <w:t xml:space="preserve">The models explain a substantial proportion of variance in school-level Attainment 8.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6"/>
    <w:bookmarkStart w:id="38"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7"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95"/>
              <w:gridCol w:w="623"/>
              <w:gridCol w:w="436"/>
              <w:gridCol w:w="623"/>
              <w:gridCol w:w="436"/>
              <w:gridCol w:w="623"/>
              <w:gridCol w:w="436"/>
              <w:gridCol w:w="623"/>
              <w:gridCol w:w="436"/>
              <w:gridCol w:w="623"/>
              <w:gridCol w:w="106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w:t>
                  </w:r>
                </w:p>
              </w:tc>
              <w:tc>
                <w:tcPr/>
                <w:p>
                  <w:pPr>
                    <w:pStyle w:val="Compact"/>
                    <w:jc w:val="left"/>
                    <w:jc w:val="center"/>
                  </w:pPr>
                  <w:r>
                    <w:t xml:space="preserve">621.25</w:t>
                  </w:r>
                </w:p>
              </w:tc>
              <w:tc>
                <w:tcPr/>
                <w:p>
                  <w:pPr>
                    <w:pStyle w:val="Compact"/>
                    <w:jc w:val="right"/>
                    <w:jc w:val="center"/>
                  </w:pPr>
                  <w:r>
                    <w:t xml:space="preserve">5.006***</w:t>
                  </w:r>
                </w:p>
              </w:tc>
              <w:tc>
                <w:tcPr/>
                <w:p>
                  <w:pPr>
                    <w:pStyle w:val="Compact"/>
                    <w:jc w:val="left"/>
                    <w:jc w:val="center"/>
                  </w:pPr>
                  <w:r>
                    <w:t xml:space="preserve">579.97</w:t>
                  </w:r>
                </w:p>
              </w:tc>
              <w:tc>
                <w:tcPr/>
                <w:p>
                  <w:pPr>
                    <w:pStyle w:val="Compact"/>
                    <w:jc w:val="right"/>
                    <w:jc w:val="center"/>
                  </w:pPr>
                  <w:r>
                    <w:t xml:space="preserve">4.833***</w:t>
                  </w:r>
                </w:p>
              </w:tc>
              <w:tc>
                <w:tcPr/>
                <w:p>
                  <w:pPr>
                    <w:pStyle w:val="Compact"/>
                    <w:jc w:val="left"/>
                    <w:jc w:val="center"/>
                  </w:pPr>
                  <w:r>
                    <w:t xml:space="preserve">547.18</w:t>
                  </w:r>
                </w:p>
              </w:tc>
              <w:tc>
                <w:tcPr/>
                <w:p>
                  <w:pPr>
                    <w:pStyle w:val="Compact"/>
                    <w:jc w:val="right"/>
                    <w:jc w:val="center"/>
                  </w:pPr>
                  <w:r>
                    <w:t xml:space="preserve">4.628***</w:t>
                  </w:r>
                </w:p>
              </w:tc>
              <w:tc>
                <w:tcPr/>
                <w:p>
                  <w:pPr>
                    <w:pStyle w:val="Compact"/>
                    <w:jc w:val="left"/>
                    <w:jc w:val="center"/>
                  </w:pPr>
                  <w:r>
                    <w:t xml:space="preserve">319.11</w:t>
                  </w:r>
                </w:p>
              </w:tc>
              <w:tc>
                <w:tcPr/>
                <w:p>
                  <w:pPr>
                    <w:pStyle w:val="Compact"/>
                    <w:jc w:val="right"/>
                    <w:jc w:val="center"/>
                  </w:pPr>
                  <w:r>
                    <w:t xml:space="preserve">4.633***</w:t>
                  </w:r>
                </w:p>
              </w:tc>
              <w:tc>
                <w:tcPr/>
                <w:p>
                  <w:pPr>
                    <w:pStyle w:val="Compact"/>
                    <w:jc w:val="left"/>
                    <w:jc w:val="center"/>
                  </w:pPr>
                  <w:r>
                    <w:t xml:space="preserve">125.61</w:t>
                  </w:r>
                </w:p>
              </w:tc>
            </w:tr>
            <w:tr>
              <w:tc>
                <w:tcPr/>
                <w:p>
                  <w:pPr>
                    <w:pStyle w:val="Compact"/>
                    <w:jc w:val="left"/>
                    <w:jc w:val="center"/>
                  </w:pPr>
                  <w:r>
                    <w:t xml:space="preserve">log(% FSM)</w:t>
                  </w:r>
                </w:p>
              </w:tc>
              <w:tc>
                <w:tcPr/>
                <w:p>
                  <w:pPr>
                    <w:pStyle w:val="Compact"/>
                    <w:jc w:val="right"/>
                    <w:jc w:val="center"/>
                  </w:pPr>
                  <w:r>
                    <w:t xml:space="preserve">-0.201***</w:t>
                  </w:r>
                </w:p>
              </w:tc>
              <w:tc>
                <w:tcPr/>
                <w:p>
                  <w:pPr>
                    <w:pStyle w:val="Compact"/>
                    <w:jc w:val="left"/>
                    <w:jc w:val="center"/>
                  </w:pPr>
                  <w:r>
                    <w:t xml:space="preserve">-88.94</w:t>
                  </w:r>
                </w:p>
              </w:tc>
              <w:tc>
                <w:tcPr/>
                <w:p>
                  <w:pPr>
                    <w:pStyle w:val="Compact"/>
                    <w:jc w:val="right"/>
                    <w:jc w:val="center"/>
                  </w:pPr>
                  <w:r>
                    <w:t xml:space="preserve">-0.122***</w:t>
                  </w:r>
                </w:p>
              </w:tc>
              <w:tc>
                <w:tcPr/>
                <w:p>
                  <w:pPr>
                    <w:pStyle w:val="Compact"/>
                    <w:jc w:val="left"/>
                    <w:jc w:val="center"/>
                  </w:pPr>
                  <w:r>
                    <w:t xml:space="preserve">-59.66</w:t>
                  </w:r>
                </w:p>
              </w:tc>
              <w:tc>
                <w:tcPr/>
                <w:p>
                  <w:pPr>
                    <w:pStyle w:val="Compact"/>
                    <w:jc w:val="right"/>
                    <w:jc w:val="center"/>
                  </w:pPr>
                  <w:r>
                    <w:t xml:space="preserve">-0.073***</w:t>
                  </w:r>
                </w:p>
              </w:tc>
              <w:tc>
                <w:tcPr/>
                <w:p>
                  <w:pPr>
                    <w:pStyle w:val="Compact"/>
                    <w:jc w:val="left"/>
                    <w:jc w:val="center"/>
                  </w:pPr>
                  <w:r>
                    <w:t xml:space="preserve">-33.46</w:t>
                  </w:r>
                </w:p>
              </w:tc>
              <w:tc>
                <w:tcPr/>
                <w:p>
                  <w:pPr>
                    <w:pStyle w:val="Compact"/>
                    <w:jc w:val="right"/>
                    <w:jc w:val="center"/>
                  </w:pPr>
                  <w:r>
                    <w:t xml:space="preserve">-0.071***</w:t>
                  </w:r>
                </w:p>
              </w:tc>
              <w:tc>
                <w:tcPr/>
                <w:p>
                  <w:pPr>
                    <w:pStyle w:val="Compact"/>
                    <w:jc w:val="left"/>
                    <w:jc w:val="center"/>
                  </w:pPr>
                  <w:r>
                    <w:t xml:space="preserve">-28.60</w:t>
                  </w:r>
                </w:p>
              </w:tc>
              <w:tc>
                <w:tcPr/>
                <w:p>
                  <w:pPr>
                    <w:pStyle w:val="Compact"/>
                    <w:jc w:val="right"/>
                    <w:jc w:val="center"/>
                  </w:pPr>
                  <w:r>
                    <w:t xml:space="preserve">-0.067***</w:t>
                  </w:r>
                </w:p>
              </w:tc>
              <w:tc>
                <w:tcPr/>
                <w:p>
                  <w:pPr>
                    <w:pStyle w:val="Compact"/>
                    <w:jc w:val="left"/>
                    <w:jc w:val="center"/>
                  </w:pPr>
                  <w:r>
                    <w:t xml:space="preserve">-24.90</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w:t>
                  </w:r>
                </w:p>
              </w:tc>
              <w:tc>
                <w:tcPr/>
                <w:p>
                  <w:pPr>
                    <w:pStyle w:val="Compact"/>
                    <w:jc w:val="left"/>
                    <w:jc w:val="center"/>
                  </w:pPr>
                  <w:r>
                    <w:t xml:space="preserve">-82.87</w:t>
                  </w:r>
                </w:p>
              </w:tc>
              <w:tc>
                <w:tcPr/>
                <w:p>
                  <w:pPr>
                    <w:pStyle w:val="Compact"/>
                    <w:jc w:val="right"/>
                    <w:jc w:val="center"/>
                  </w:pPr>
                  <w:r>
                    <w:t xml:space="preserve">-0.287***</w:t>
                  </w:r>
                </w:p>
              </w:tc>
              <w:tc>
                <w:tcPr/>
                <w:p>
                  <w:pPr>
                    <w:pStyle w:val="Compact"/>
                    <w:jc w:val="left"/>
                    <w:jc w:val="center"/>
                  </w:pPr>
                  <w:r>
                    <w:t xml:space="preserve">-65.28</w:t>
                  </w:r>
                </w:p>
              </w:tc>
              <w:tc>
                <w:tcPr/>
                <w:p>
                  <w:pPr>
                    <w:pStyle w:val="Compact"/>
                    <w:jc w:val="right"/>
                    <w:jc w:val="center"/>
                  </w:pPr>
                  <w:r>
                    <w:t xml:space="preserve">-0.242***</w:t>
                  </w:r>
                </w:p>
              </w:tc>
              <w:tc>
                <w:tcPr/>
                <w:p>
                  <w:pPr>
                    <w:pStyle w:val="Compact"/>
                    <w:jc w:val="left"/>
                    <w:jc w:val="center"/>
                  </w:pPr>
                  <w:r>
                    <w:t xml:space="preserve">-51.65</w:t>
                  </w:r>
                </w:p>
              </w:tc>
              <w:tc>
                <w:tcPr/>
                <w:p>
                  <w:pPr>
                    <w:pStyle w:val="Compact"/>
                    <w:jc w:val="right"/>
                    <w:jc w:val="center"/>
                  </w:pPr>
                  <w:r>
                    <w:t xml:space="preserve">-0.213***</w:t>
                  </w:r>
                </w:p>
              </w:tc>
              <w:tc>
                <w:tcPr/>
                <w:p>
                  <w:pPr>
                    <w:pStyle w:val="Compact"/>
                    <w:jc w:val="left"/>
                    <w:jc w:val="center"/>
                  </w:pPr>
                  <w:r>
                    <w:t xml:space="preserve">-46.03</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13.69</w:t>
                  </w:r>
                </w:p>
              </w:tc>
              <w:tc>
                <w:tcPr/>
                <w:p>
                  <w:pPr>
                    <w:pStyle w:val="Compact"/>
                    <w:jc w:val="right"/>
                    <w:jc w:val="center"/>
                  </w:pPr>
                  <w:r>
                    <w:t xml:space="preserve">0.006***</w:t>
                  </w:r>
                </w:p>
              </w:tc>
              <w:tc>
                <w:tcPr/>
                <w:p>
                  <w:pPr>
                    <w:pStyle w:val="Compact"/>
                    <w:jc w:val="left"/>
                    <w:jc w:val="center"/>
                  </w:pPr>
                  <w:r>
                    <w:t xml:space="preserve">4.92</w:t>
                  </w:r>
                </w:p>
              </w:tc>
            </w:tr>
            <w:tr>
              <w:tc>
                <w:tcPr/>
                <w:p>
                  <w:pPr>
                    <w:pStyle w:val="Compact"/>
                    <w:jc w:val="left"/>
                    <w:jc w:val="center"/>
                  </w:pPr>
                  <w:r>
                    <w:t xml:space="preserve">% Low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-0.006***</w:t>
                  </w:r>
                </w:p>
              </w:tc>
              <w:tc>
                <w:tcPr/>
                <w:p>
                  <w:pPr>
                    <w:pStyle w:val="Compact"/>
                    <w:jc w:val="left"/>
                    <w:jc w:val="center"/>
                  </w:pPr>
                  <w:r>
                    <w:t xml:space="preserve">-45.75</w:t>
                  </w:r>
                </w:p>
              </w:tc>
              <w:tc>
                <w:tcPr/>
                <w:p>
                  <w:pPr>
                    <w:pStyle w:val="Compact"/>
                    <w:jc w:val="right"/>
                    <w:jc w:val="center"/>
                  </w:pPr>
                  <w:r>
                    <w:t xml:space="preserve">-0.005***</w:t>
                  </w:r>
                </w:p>
              </w:tc>
              <w:tc>
                <w:tcPr/>
                <w:p>
                  <w:pPr>
                    <w:pStyle w:val="Compact"/>
                    <w:jc w:val="left"/>
                    <w:jc w:val="center"/>
                  </w:pPr>
                  <w:r>
                    <w:t xml:space="preserve">-37.59</w:t>
                  </w:r>
                </w:p>
              </w:tc>
              <w:tc>
                <w:tcPr/>
                <w:p>
                  <w:pPr>
                    <w:pStyle w:val="Compact"/>
                    <w:jc w:val="right"/>
                    <w:jc w:val="center"/>
                  </w:pPr>
                  <w:r>
                    <w:t xml:space="preserve">-0.006***</w:t>
                  </w:r>
                </w:p>
              </w:tc>
              <w:tc>
                <w:tcPr/>
                <w:p>
                  <w:pPr>
                    <w:pStyle w:val="Compact"/>
                    <w:jc w:val="left"/>
                    <w:jc w:val="center"/>
                  </w:pPr>
                  <w:r>
                    <w:t xml:space="preserve">-41.35</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0.051***</w:t>
                  </w:r>
                </w:p>
              </w:tc>
              <w:tc>
                <w:tcPr/>
                <w:p>
                  <w:pPr>
                    <w:pStyle w:val="Compact"/>
                    <w:jc w:val="left"/>
                    <w:jc w:val="center"/>
                  </w:pPr>
                  <w:r>
                    <w:t xml:space="preserve">11.01</w:t>
                  </w:r>
                </w:p>
              </w:tc>
              <w:tc>
                <w:tcPr/>
                <w:p>
                  <w:pPr>
                    <w:pStyle w:val="Compact"/>
                    <w:jc w:val="right"/>
                    <w:jc w:val="center"/>
                  </w:pPr>
                  <w:r>
                    <w:t xml:space="preserve">0.001</w:t>
                  </w:r>
                </w:p>
              </w:tc>
              <w:tc>
                <w:tcPr/>
                <w:p>
                  <w:pPr>
                    <w:pStyle w:val="Compact"/>
                    <w:jc w:val="left"/>
                    <w:jc w:val="center"/>
                  </w:pPr>
                  <w:r>
                    <w:t xml:space="preserve">0.08</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0.140***</w:t>
                  </w:r>
                </w:p>
              </w:tc>
              <w:tc>
                <w:tcPr/>
                <w:p>
                  <w:pPr>
                    <w:pStyle w:val="Compact"/>
                    <w:jc w:val="left"/>
                    <w:jc w:val="center"/>
                  </w:pPr>
                  <w:r>
                    <w:t xml:space="preserve">19.96</w:t>
                  </w:r>
                </w:p>
              </w:tc>
              <w:tc>
                <w:tcPr/>
                <w:p>
                  <w:pPr>
                    <w:pStyle w:val="Compact"/>
                    <w:jc w:val="right"/>
                    <w:jc w:val="center"/>
                  </w:pPr>
                  <w:r>
                    <w:t xml:space="preserve">0.108***</w:t>
                  </w:r>
                </w:p>
              </w:tc>
              <w:tc>
                <w:tcPr/>
                <w:p>
                  <w:pPr>
                    <w:pStyle w:val="Compact"/>
                    <w:jc w:val="left"/>
                    <w:jc w:val="center"/>
                  </w:pPr>
                  <w:r>
                    <w:t xml:space="preserve">16.20</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0.052</w:t>
                  </w:r>
                </w:p>
              </w:tc>
              <w:tc>
                <w:tcPr/>
                <w:p>
                  <w:pPr>
                    <w:pStyle w:val="Compact"/>
                    <w:jc w:val="left"/>
                    <w:jc w:val="center"/>
                  </w:pPr>
                  <w:r>
                    <w:t xml:space="preserve">1.92</w:t>
                  </w:r>
                </w:p>
              </w:tc>
              <w:tc>
                <w:tcPr/>
                <w:p>
                  <w:pPr>
                    <w:pStyle w:val="Compact"/>
                    <w:jc w:val="right"/>
                    <w:jc w:val="center"/>
                  </w:pPr>
                  <w:r>
                    <w:t xml:space="preserve">-0.033</w:t>
                  </w:r>
                </w:p>
              </w:tc>
              <w:tc>
                <w:tcPr/>
                <w:p>
                  <w:pPr>
                    <w:pStyle w:val="Compact"/>
                    <w:jc w:val="left"/>
                    <w:jc w:val="center"/>
                  </w:pPr>
                  <w:r>
                    <w:t xml:space="preserve">-0.69</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12.92</w:t>
                  </w:r>
                </w:p>
              </w:tc>
              <w:tc>
                <w:tcPr/>
                <w:p>
                  <w:pPr>
                    <w:pStyle w:val="Compact"/>
                    <w:jc w:val="right"/>
                    <w:jc w:val="center"/>
                  </w:pPr>
                  <w:r>
                    <w:t xml:space="preserve">0.000***</w:t>
                  </w:r>
                </w:p>
              </w:tc>
              <w:tc>
                <w:tcPr/>
                <w:p>
                  <w:pPr>
                    <w:pStyle w:val="Compact"/>
                    <w:jc w:val="left"/>
                    <w:jc w:val="center"/>
                  </w:pPr>
                  <w:r>
                    <w:t xml:space="preserve">10.20</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-6.10</w:t>
                  </w:r>
                </w:p>
              </w:tc>
              <w:tc>
                <w:tcPr/>
                <w:p>
                  <w:pPr>
                    <w:pStyle w:val="Compact"/>
                    <w:jc w:val="right"/>
                    <w:jc w:val="center"/>
                  </w:pPr>
                  <w:r>
                    <w:t xml:space="preserve">-0.001***</w:t>
                  </w:r>
                </w:p>
              </w:tc>
              <w:tc>
                <w:tcPr/>
                <w:p>
                  <w:pPr>
                    <w:pStyle w:val="Compact"/>
                    <w:jc w:val="left"/>
                    <w:jc w:val="center"/>
                  </w:pPr>
                  <w:r>
                    <w:t xml:space="preserve">-5.39</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-0.016***</w:t>
                  </w:r>
                </w:p>
              </w:tc>
              <w:tc>
                <w:tcPr/>
                <w:p>
                  <w:pPr>
                    <w:pStyle w:val="Compact"/>
                    <w:jc w:val="left"/>
                    <w:jc w:val="center"/>
                  </w:pPr>
                  <w:r>
                    <w:t xml:space="preserve">-6.08</w:t>
                  </w:r>
                </w:p>
              </w:tc>
              <w:tc>
                <w:tcPr/>
                <w:p>
                  <w:pPr>
                    <w:pStyle w:val="Compact"/>
                    <w:jc w:val="right"/>
                    <w:jc w:val="center"/>
                  </w:pPr>
                  <w:r>
                    <w:t xml:space="preserve">-0.015***</w:t>
                  </w:r>
                </w:p>
              </w:tc>
              <w:tc>
                <w:tcPr/>
                <w:p>
                  <w:pPr>
                    <w:pStyle w:val="Compact"/>
                    <w:jc w:val="left"/>
                    <w:jc w:val="center"/>
                  </w:pPr>
                  <w:r>
                    <w:t xml:space="preserve">-6.17</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0.030</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0.017</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0.047</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0.044</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0.094</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0.669</w:t>
                  </w:r>
                </w:p>
              </w:tc>
              <w:tc>
                <w:tcPr/>
                <w:p>
                  <w:pPr>
                    <w:pStyle w:val="Compact"/>
                  </w:pPr>
                </w:p>
              </w:tc>
              <w:tc>
                <w:tcPr/>
                <w:p>
                  <w:pPr>
                    <w:pStyle w:val="Compact"/>
                    <w:jc w:val="right"/>
                    <w:jc w:val="center"/>
                  </w:pPr>
                  <w:r>
                    <w:t xml:space="preserve">0.693</w:t>
                  </w:r>
                </w:p>
              </w:tc>
              <w:tc>
                <w:tcPr/>
                <w:p>
                  <w:pPr>
                    <w:pStyle w:val="Compact"/>
                  </w:pPr>
                </w:p>
              </w:tc>
              <w:tc>
                <w:tcPr/>
                <w:p>
                  <w:pPr>
                    <w:pStyle w:val="Compact"/>
                    <w:jc w:val="right"/>
                    <w:jc w:val="center"/>
                  </w:pPr>
                  <w:r>
                    <w:t xml:space="preserve">0.632</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0.771</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37"/>
          <w:p/>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w:t>
      </w:r>
    </w:p>
    <w:bookmarkEnd w:id="38"/>
    <w:bookmarkStart w:id="50"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2" w:name="fig-standardised-coefficients"/>
          <w:p>
            <w:pPr>
              <w:pStyle w:val="Compact"/>
              <w:jc w:val="center"/>
            </w:pPr>
            <w:r>
              <w:drawing>
                <wp:inline>
                  <wp:extent cx="5334000" cy="3810000"/>
                  <wp:effectExtent b="0" l="0" r="0" t="0"/>
                  <wp:docPr descr="" title="" id="40" name="Picture"/>
                  <a:graphic>
                    <a:graphicData uri="http://schemas.openxmlformats.org/drawingml/2006/picture">
                      <pic:pic>
                        <pic:nvPicPr>
                          <pic:cNvPr descr="JEP_Paper_files/figure-docx/fig-standardised-coefficients-1.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2"/>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3"/>
      </w:r>
      <w:r>
        <w:t xml:space="preserve"> </w:t>
      </w:r>
      <w:r>
        <w:t xml:space="preserve">across all three pupil groups (all pupils, disadvantaged pupils and non-disadvantaged pupils - full model outputs available in the supplementary materials</w:t>
      </w:r>
      <w:r>
        <w:rPr>
          <w:rStyle w:val="FootnoteReference"/>
        </w:rPr>
        <w:footnoteReference w:id="44"/>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r>
        <w:t xml:space="preserve">The most contentious finding in our analysis concerns concentrations of disadvantage (contentious in Brighton and Hove -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6"/>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For non-disadvantaged pupils, the effects of higher disadvantage concentrations are more clearly negative. Even after controlling for attendance and prior scores, being in a higher-disadvantage school depresses Attainment 8 for this group — possibly due to a peer effect or curriculum-resourcing dynamic. Both of these findings are contentious in the Brighton and Hove context as they challenge the</w:t>
      </w:r>
      <w:r>
        <w:t xml:space="preserve"> </w:t>
      </w:r>
      <w:r>
        <w:t xml:space="preserve">‘no cost’</w:t>
      </w:r>
      <w:r>
        <w:t xml:space="preserve"> </w:t>
      </w:r>
      <w:r>
        <w:t xml:space="preserve">conjecture, but perhaps most importantly suggest that policy efforts to make the schools in the city more mixed than they already are (Brighton and Hove’s schools are already in the top third for integration of disadvantaged and non-disadvantaged students when using the Gorard Segregation index</w:t>
      </w:r>
      <w:r>
        <w:rPr>
          <w:rStyle w:val="FootnoteReference"/>
        </w:rPr>
        <w:footnoteReference w:id="48"/>
      </w:r>
      <w:r>
        <w:t xml:space="preserve"> </w:t>
      </w:r>
      <w:r>
        <w:t xml:space="preserve">– a fact that emerged during the 2024 consultation, but not one that on its own moved the dial) might actually be counter productive as a policy to improve disadvantaged attainment.</w:t>
      </w:r>
    </w:p>
    <w:p>
      <w:pPr>
        <w:pStyle w:val="BodyText"/>
      </w:pPr>
      <w:r>
        <w:t xml:space="preserve">Absence remains consistently the biggest predictor across all groups and is even more important for disadvantaged pupils. Nearly half of the difference in school-level performance for disadvantaged pupils is explained simply by whether they regularly attend. Disadvantaged pupils may lack the safety net of engaged parents, private tutors or revision resources that some less disadvantaged students have, which could be a factor in making classroom instruction more important for them. In this sense, attendance is the ultimate equity lever.</w:t>
      </w:r>
    </w:p>
    <w:p>
      <w:pPr>
        <w:pStyle w:val="BodyText"/>
      </w:pPr>
      <w:r>
        <w:t xml:space="preserve">These outcomes do not advocate for concentrating disadvantaged pupils. We do not. However, where the social and spatial composition of LEAs means that disadvantaged and non-disadvantaged students are not evenly spread across schools, deconcentration policies premised on the assumption that disadvantaged pupils inevitably fare worse in schools with lower concentrations of disadvantage are not supported by this evidence. And where remediating policies require longer journeys that risk increasing absence</w:t>
      </w:r>
      <w:r>
        <w:t xml:space="preserve"> </w:t>
      </w:r>
      <w:r>
        <w:t xml:space="preserve">(Thomson 2023)</w:t>
      </w:r>
      <w:r>
        <w:t xml:space="preserve">, they could be actively counter-productive given how much more negatively impactful absence is.</w:t>
      </w:r>
    </w:p>
    <w:bookmarkEnd w:id="50"/>
    <w:bookmarkEnd w:id="51"/>
    <w:bookmarkStart w:id="72" w:name="brighton-and-hove-case-study"/>
    <w:p>
      <w:pPr>
        <w:pStyle w:val="Heading1"/>
      </w:pPr>
      <w:r>
        <w:t xml:space="preserve">5. Brighton and Hove case study</w:t>
      </w:r>
    </w:p>
    <w:bookmarkStart w:id="56"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Following the 2023 local elections, the Labour Party took overall control and implemented a Leader and Cabinet system, concentrating decision-making power. In October 2024, the council launched proposals to reduce Published Admission Numbers at popular central schools, redraw catchment boundaries, and reserve 20% of places in some schools for out-of-catchment children. The stated aims were to improve educational outcomes for disadvantaged pupils and ensure financial viability of under-subscribed schools located at the geographic periphery of the city. Underpinning the proposals was an assertion that attainment in the city was</w:t>
      </w:r>
      <w:r>
        <w:t xml:space="preserve"> </w:t>
      </w:r>
      <w:r>
        <w:t xml:space="preserve">‘driven by economic advantage’</w:t>
      </w:r>
      <w:r>
        <w:t xml:space="preserve"> </w:t>
      </w:r>
      <w:r>
        <w:t xml:space="preserve">(e.g. housing costs near better performing schools - another common misconception empirically disproven in Brighton and Hove</w:t>
      </w:r>
      <w:r>
        <w:t xml:space="preserve"> </w:t>
      </w:r>
      <w:r>
        <w:t xml:space="preserve">Tan and Dennett (2025)</w:t>
      </w:r>
      <w:r>
        <w:t xml:space="preserve">) and that redistributing disadvantaged pupils would narrow the attainment gap, drawing on the work of</w:t>
      </w:r>
      <w:r>
        <w:t xml:space="preserve"> </w:t>
      </w:r>
      <w:r>
        <w:t xml:space="preserve">Gorard and Siddiqui (2019)</w:t>
      </w:r>
      <w:r>
        <w:t xml:space="preserve"> </w:t>
      </w:r>
      <w:r>
        <w:t xml:space="preserve">on school segregation.</w:t>
      </w:r>
    </w:p>
    <w:p>
      <w:pPr>
        <w:pStyle w:val="BodyText"/>
      </w:pPr>
      <w:r>
        <w:t xml:space="preserve">The public response was overwhelmingly negative, with the council’s feedback summary from the pre-consultation engagement exercise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attend schools at the periphery of the city, potentially requiring over two hours of daily school commuting for many pupils.</w:t>
      </w:r>
    </w:p>
    <w:p>
      <w:pPr>
        <w:pStyle w:val="BodyText"/>
      </w:pPr>
      <w:r>
        <w:t xml:space="preserve">From the papers accompanying the proposals and the content of the scrutiny committee meetings, it was clear the council had settled on affecting increased social mixing — beyond levels already in the top third nationally — in the belief this would narrow the attainment gap (presumably by raising disadvantaged attainment). This was in addition to a 2023 policy giving FSM-eligible pupils priority in admissions, which was already affecting further mixing without majority opposition. That the central catchments were perceived as more</w:t>
      </w:r>
      <w:r>
        <w:t xml:space="preserve"> </w:t>
      </w:r>
      <w:r>
        <w:t xml:space="preserve">‘middle-class’</w:t>
      </w:r>
      <w:r>
        <w:t xml:space="preserve"> </w:t>
      </w:r>
      <w:r>
        <w:t xml:space="preserve">and the peripheral schools, particularly in the east of the city, as more</w:t>
      </w:r>
      <w:r>
        <w:t xml:space="preserve"> </w:t>
      </w:r>
      <w:r>
        <w:t xml:space="preserve">‘working-class’</w:t>
      </w:r>
      <w:r>
        <w:t xml:space="preserve">, may have factored into this policy design.</w:t>
      </w:r>
    </w:p>
    <w:p>
      <w:pPr>
        <w:pStyle w:val="BodyText"/>
      </w:pPr>
      <w:r>
        <w:t xml:space="preserve">Whether the availability of better evidence would have changed the political outcome is unknowable. But with lived experience of responding to the council’s proposals, we can say that accessible evidence</w:t>
      </w:r>
      <w:r>
        <w:t xml:space="preserve"> </w:t>
      </w:r>
      <w:r>
        <w:rPr>
          <w:i/>
          <w:iCs/>
        </w:rPr>
        <w:t xml:space="preserve">would</w:t>
      </w:r>
      <w:r>
        <w:t xml:space="preserve"> </w:t>
      </w:r>
      <w:r>
        <w:t xml:space="preserve">have enabled earlier and more constructive engagement. Without ease of data access, the compressed consultation timeline left inadequate time to assemble and present counter-evidence for the complexity of the issues at stake. What follows is an attempt to demonstrate what that evidence looks like.</w:t>
      </w:r>
    </w:p>
    <w:tbl>
      <w:tblPr>
        <w:tblStyle w:val="Table"/>
        <w:tblW w:type="pct" w:w="5000"/>
        <w:tblLayout w:type="fixed"/>
        <w:tblLook w:firstRow="0" w:lastRow="0" w:firstColumn="0" w:lastColumn="0" w:noHBand="0" w:noVBand="0" w:val="0000"/>
      </w:tblPr>
      <w:tblGrid>
        <w:gridCol w:w="7920"/>
      </w:tblGrid>
      <w:tr>
        <w:tc>
          <w:tcPr/>
          <w:bookmarkStart w:id="55" w:name="fig-catchments"/>
          <w:p>
            <w:pPr>
              <w:pStyle w:val="Compact"/>
              <w:jc w:val="center"/>
            </w:pPr>
            <w:r>
              <w:drawing>
                <wp:inline>
                  <wp:extent cx="5334000" cy="4572000"/>
                  <wp:effectExtent b="0" l="0" r="0" t="0"/>
                  <wp:docPr descr="" title="" id="53" name="Picture"/>
                  <a:graphic>
                    <a:graphicData uri="http://schemas.openxmlformats.org/drawingml/2006/picture">
                      <pic:pic>
                        <pic:nvPicPr>
                          <pic:cNvPr descr="JEP_Paper_files/figure-docx/fig-catchments-1.png" id="54" name="Picture"/>
                          <pic:cNvPicPr>
                            <a:picLocks noChangeArrowheads="1" noChangeAspect="1"/>
                          </pic:cNvPicPr>
                        </pic:nvPicPr>
                        <pic:blipFill>
                          <a:blip r:embed="rId52"/>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55"/>
        </w:tc>
      </w:tr>
    </w:tbl>
    <w:bookmarkEnd w:id="56"/>
    <w:bookmarkStart w:id="61"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60" w:name="fig-caterpillar"/>
          <w:p>
            <w:pPr>
              <w:pStyle w:val="Compact"/>
              <w:jc w:val="center"/>
            </w:pPr>
            <w:r>
              <w:drawing>
                <wp:inline>
                  <wp:extent cx="5334000" cy="4572000"/>
                  <wp:effectExtent b="0" l="0" r="0" t="0"/>
                  <wp:docPr descr="" title="" id="58" name="Picture"/>
                  <a:graphic>
                    <a:graphicData uri="http://schemas.openxmlformats.org/drawingml/2006/picture">
                      <pic:pic>
                        <pic:nvPicPr>
                          <pic:cNvPr descr="JEP_Paper_files/figure-docx/fig-caterpillar-1.png" id="59" name="Picture"/>
                          <pic:cNvPicPr>
                            <a:picLocks noChangeArrowheads="1" noChangeAspect="1"/>
                          </pic:cNvPicPr>
                        </pic:nvPicPr>
                        <pic:blipFill>
                          <a:blip r:embed="rId57"/>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60"/>
        </w:tc>
      </w:tr>
    </w:tbl>
    <w:p>
      <w:pPr>
        <w:pStyle w:val="BodyText"/>
      </w:pPr>
      <w:hyperlink w:anchor="fig-caterpillar">
        <w:r>
          <w:rPr>
            <w:rStyle w:val="Hyperlink"/>
          </w:rPr>
          <w:t xml:space="preserve">Figure 3</w:t>
        </w:r>
      </w:hyperlink>
      <w:r>
        <w:t xml:space="preserve"> </w:t>
      </w:r>
      <w:r>
        <w:t xml:space="preserve">shows that Brighton and Hove ranks 7th out of 152 LEAs for disadvantaged attainment once structural factors are accounted for in the multilevel model presented earlier. For non-disadvantaged pupils it ranks 5th; for all pupils, 4th. The positive random intercept of approximately +0.06 translates to around a 6% uplift in Attainment 8 — roughly 2 GCSE points above what structural factors would predict. This was unknown at the time of the 2024 consultation and entirely absent from the public narrative, which was framed around a premise of failure, based on limited analysis.</w:t>
      </w:r>
    </w:p>
    <w:bookmarkEnd w:id="61"/>
    <w:bookmarkStart w:id="66"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65" w:name="fig-accelerating-returns"/>
          <w:p>
            <w:pPr>
              <w:pStyle w:val="Compact"/>
              <w:jc w:val="center"/>
            </w:pPr>
            <w:r>
              <w:drawing>
                <wp:inline>
                  <wp:extent cx="5334000" cy="3429000"/>
                  <wp:effectExtent b="0" l="0" r="0" t="0"/>
                  <wp:docPr descr="" title="" id="63" name="Picture"/>
                  <a:graphic>
                    <a:graphicData uri="http://schemas.openxmlformats.org/drawingml/2006/picture">
                      <pic:pic>
                        <pic:nvPicPr>
                          <pic:cNvPr descr="JEP_Paper_files/figure-docx/fig-accelerating-returns-1.png" id="64" name="Picture"/>
                          <pic:cNvPicPr>
                            <a:picLocks noChangeArrowheads="1" noChangeAspect="1"/>
                          </pic:cNvPicPr>
                        </pic:nvPicPr>
                        <pic:blipFill>
                          <a:blip r:embed="rId62"/>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65"/>
        </w:tc>
      </w:tr>
    </w:tbl>
    <w:p>
      <w:pPr>
        <w:pStyle w:val="BodyText"/>
      </w:pPr>
      <w:r>
        <w:t xml:space="preserve">Three features are immediately visible. First, the absence curve sits above the FSM curve at every starting level. Second, the gap</w:t>
      </w:r>
      <w:r>
        <w:t xml:space="preserve"> </w:t>
      </w:r>
      <w:r>
        <w:rPr>
          <w:i/>
          <w:iCs/>
        </w:rPr>
        <w:t xml:space="preserve">widens</w:t>
      </w:r>
      <w:r>
        <w:t xml:space="preserve"> </w:t>
      </w:r>
      <w:r>
        <w:t xml:space="preserve">as values improve. Third, Brighton and Hove schools cluster in the flatter right-hand portion for both variables, but the city’s position is far more extreme for absence.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The policy was pulling a lever with relatively little mechanical advantage while ignoring one with considerably more.</w:t>
      </w:r>
    </w:p>
    <w:bookmarkEnd w:id="66"/>
    <w:bookmarkStart w:id="71"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70" w:name="fig-obs-vs-pred"/>
          <w:p>
            <w:pPr>
              <w:pStyle w:val="Compact"/>
              <w:jc w:val="center"/>
            </w:pPr>
            <w:r>
              <w:drawing>
                <wp:inline>
                  <wp:extent cx="5334000" cy="6858000"/>
                  <wp:effectExtent b="0" l="0" r="0" t="0"/>
                  <wp:docPr descr="" title="" id="68" name="Picture"/>
                  <a:graphic>
                    <a:graphicData uri="http://schemas.openxmlformats.org/drawingml/2006/picture">
                      <pic:pic>
                        <pic:nvPicPr>
                          <pic:cNvPr descr="JEP_Paper_files/figure-docx/fig-obs-vs-pred-1.png" id="69" name="Picture"/>
                          <pic:cNvPicPr>
                            <a:picLocks noChangeArrowheads="1" noChangeAspect="1"/>
                          </pic:cNvPicPr>
                        </pic:nvPicPr>
                        <pic:blipFill>
                          <a:blip r:embed="rId67"/>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70"/>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71"/>
    <w:bookmarkEnd w:id="72"/>
    <w:bookmarkStart w:id="94" w:name="discussion"/>
    <w:p>
      <w:pPr>
        <w:pStyle w:val="Heading1"/>
      </w:pPr>
      <w:r>
        <w:t xml:space="preserve">6. Discussion</w:t>
      </w:r>
    </w:p>
    <w:bookmarkStart w:id="75" w:name="Xd3364b35d543c93770b334c5dc736f1edb746ee"/>
    <w:p>
      <w:pPr>
        <w:pStyle w:val="Heading2"/>
      </w:pPr>
      <w:r>
        <w:t xml:space="preserve">6.1 The danger of single-lever policy thinking</w:t>
      </w:r>
    </w:p>
    <w:p>
      <w:pPr>
        <w:pStyle w:val="FirstParagraph"/>
      </w:pPr>
      <w:r>
        <w:t xml:space="preserve">The Brighton and Hove experience illustrates what happens when policy makers latch onto a single causal narrative. The council’s 2024 proposals were built almost entirely on the premise that redistributing disadvantaged pupils would narrow the attainment gap. In the consultation papers released to the public</w:t>
      </w:r>
      <w:r>
        <w:rPr>
          <w:rStyle w:val="FootnoteReference"/>
        </w:rPr>
        <w:footnoteReference w:id="73"/>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While this premise is false in the context of</w:t>
      </w:r>
      <w:r>
        <w:t xml:space="preserve"> </w:t>
      </w:r>
      <w:r>
        <w:t xml:space="preserve">Macleod et al. (2015)</w:t>
      </w:r>
      <w:r>
        <w:t xml:space="preserve">’s analysis for the DfE, our more up-to-date modelling confirms this was, at best, a flawed understanding; at worst a policy with many losers and few clear winners. Concentrations of disadvantage are one of the weaker available levers, and for disadvantaged pupils specifically, the direction of the effect runs in the opposite direction to the policy assumptions. Reducing absence to the national average at the worst-affected schools could yield gains of 3–5 GCSE points; even dramatic FSM reductions would yield closer to 1–2 points and possibly only for the non-disadvantaged students.</w:t>
      </w:r>
    </w:p>
    <w:p>
      <w:pPr>
        <w:pStyle w:val="BodyText"/>
      </w:pPr>
      <w:r>
        <w:t xml:space="preserve">Furthermore, the chosen lever carried its own risks. Of the many negative impacts of longer journeys imposed by redistribution policies - e.g.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including stress</w:t>
      </w:r>
      <w:r>
        <w:t xml:space="preserve"> </w:t>
      </w:r>
      <w:r>
        <w:t xml:space="preserve">(Karan et al. 2021)</w:t>
      </w:r>
      <w:r>
        <w:t xml:space="preserve"> </w:t>
      </w:r>
      <w:r>
        <w:t xml:space="preserve">and general wellbeing</w:t>
      </w:r>
      <w:r>
        <w:t xml:space="preserve"> </w:t>
      </w:r>
      <w:r>
        <w:t xml:space="preserve">(Ding et al. 2023)</w:t>
      </w:r>
      <w:r>
        <w:t xml:space="preserve"> </w:t>
      </w:r>
      <w:r>
        <w:t xml:space="preserve">- they are also associated with higher absence in many countries</w:t>
      </w:r>
      <w:r>
        <w:t xml:space="preserve"> </w:t>
      </w:r>
      <w:r>
        <w:t xml:space="preserve">(Otsuka et al. 2025; Cordes et al. 2022; Blagg et al. 2018)</w:t>
      </w:r>
      <w:r>
        <w:t xml:space="preserve"> </w:t>
      </w:r>
      <w:r>
        <w:t xml:space="preserve">including England</w:t>
      </w:r>
      <w:r>
        <w:t xml:space="preserve"> </w:t>
      </w:r>
      <w:r>
        <w:t xml:space="preserve">(Thomson 2023)</w:t>
      </w:r>
      <w:r>
        <w:t xml:space="preserve"> </w:t>
      </w:r>
      <w:r>
        <w:t xml:space="preserve">— precisely the factor that most drags on attainment and the biggest problem already besetting Brighton and Hove. The council could be imposing policies that actively make the outcomes for disadvantaged children much worse through failing to engage with the evidence properly. The claim that social mixing can be achieved at</w:t>
      </w:r>
      <w:r>
        <w:t xml:space="preserve"> </w:t>
      </w:r>
      <w:r>
        <w:t xml:space="preserve">‘almost no cost’</w:t>
      </w:r>
      <w:r>
        <w:t xml:space="preserve"> </w:t>
      </w:r>
      <w:r>
        <w:t xml:space="preserve">(Gorard and Siddiqui 2019)</w:t>
      </w:r>
      <w:r>
        <w:t xml:space="preserve"> </w:t>
      </w:r>
      <w:r>
        <w:t xml:space="preserve">overlooks these second-order effects and could be the kind of comment that without context, could do a lot of damage.</w:t>
      </w:r>
    </w:p>
    <w:bookmarkEnd w:id="75"/>
    <w:bookmarkStart w:id="78" w:name="absence-as-the-primary-policy-lever"/>
    <w:p>
      <w:pPr>
        <w:pStyle w:val="Heading2"/>
      </w:pPr>
      <w:r>
        <w:t xml:space="preserve">6.2 Absence as the primary policy lever</w:t>
      </w:r>
    </w:p>
    <w:p>
      <w:pPr>
        <w:pStyle w:val="FirstParagraph"/>
      </w:pPr>
      <w:r>
        <w:t xml:space="preserve">Perhaps the most striking finding is the complete absence of absence from the policy narrative. The city had the second worst absence rate in England in 2024–25 and has been consistently among the worst in England. Yet absence was not part of the policy conversation. It was not mentioned in any of the presentation slides in the initial public facing engagement</w:t>
      </w:r>
      <w:r>
        <w:rPr>
          <w:rStyle w:val="FootnoteReference"/>
        </w:rPr>
        <w:footnoteReference w:id="76"/>
      </w:r>
      <w:r>
        <w:t xml:space="preserve"> </w:t>
      </w:r>
      <w:r>
        <w:t xml:space="preserve">or any of the published materials accompanying the consultations. The irony is considerable: the city ranks 7th best for disadvantaged attainment after structural adjustments, but this strong underlying performance is still likely being dragged down by an extreme absence problem.</w:t>
      </w:r>
    </w:p>
    <w:p>
      <w:pPr>
        <w:pStyle w:val="BodyText"/>
      </w:pPr>
      <w:r>
        <w:t xml:space="preserve">Brighton and Hove’s absence rates are not a necessary consequence of its intake composition. The city has near-average FSM eligibility levels but near-worst absence, suggesting the problem is likely driven by local factors — attendance culture, enforcement practices, or community dynamics — rather than being an unavoidable correlate of disadvantage.</w:t>
      </w:r>
    </w:p>
    <w:bookmarkEnd w:id="78"/>
    <w:bookmarkStart w:id="86" w:name="X3fc496a95cceb2f31de10765d345b6860b0e78e"/>
    <w:p>
      <w:pPr>
        <w:pStyle w:val="Heading2"/>
      </w:pPr>
      <w:r>
        <w:t xml:space="preserve">6.3 The BACA paradox and contextualised benchmarking</w:t>
      </w:r>
    </w:p>
    <w:p>
      <w:pPr>
        <w:pStyle w:val="FirstParagraph"/>
      </w:pPr>
      <w:r>
        <w:t xml:space="preserve">The case of Brighton Alridge Community Academy (BACA) offers a particularly sharp illustration of the damage done when school quality is assessed through crude metrics and policy narratives are misleading.</w:t>
      </w:r>
    </w:p>
    <w:tbl>
      <w:tblPr>
        <w:tblStyle w:val="Table"/>
        <w:tblW w:type="pct" w:w="5000"/>
        <w:tblLayout w:type="fixed"/>
        <w:tblLook w:firstRow="0" w:lastRow="0" w:firstColumn="0" w:lastColumn="0" w:noHBand="0" w:noVBand="0" w:val="0000"/>
      </w:tblPr>
      <w:tblGrid>
        <w:gridCol w:w="7920"/>
      </w:tblGrid>
      <w:tr>
        <w:tc>
          <w:tcPr/>
          <w:bookmarkStart w:id="79" w:name="tbl-league"/>
          <w:p>
            <w:pPr>
              <w:jc w:val="center"/>
            </w:pPr>
            <w:pPr>
              <w:jc w:val="left"/>
              <w:spacing w:before="200"/>
              <w:pStyle w:val="ImageCaption"/>
            </w:pPr>
            <w:r>
              <w:t xml:space="preserve">Table 2: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+3.5</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+5.2</w:t>
                  </w:r>
                </w:p>
              </w:tc>
              <w:tc>
                <w:tcPr/>
                <w:p>
                  <w:pPr>
                    <w:pStyle w:val="Compact"/>
                    <w:jc w:val="right"/>
                    <w:jc w:val="center"/>
                  </w:pPr>
                  <w:r>
                    <w:t xml:space="preserve">+3.8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+4.0</w:t>
                  </w:r>
                </w:p>
              </w:tc>
              <w:tc>
                <w:tcPr/>
                <w:p>
                  <w:pPr>
                    <w:pStyle w:val="Compact"/>
                    <w:jc w:val="right"/>
                    <w:jc w:val="center"/>
                  </w:pPr>
                  <w:r>
                    <w:t xml:space="preserve">+3.3</w:t>
                  </w:r>
                </w:p>
              </w:tc>
              <w:tc>
                <w:tcPr/>
                <w:p>
                  <w:pPr>
                    <w:pStyle w:val="Compact"/>
                    <w:jc w:val="right"/>
                    <w:jc w:val="center"/>
                  </w:pPr>
                  <w:r>
                    <w:t xml:space="preserve">+6.0</w:t>
                  </w:r>
                </w:p>
              </w:tc>
              <w:tc>
                <w:tcPr/>
                <w:p>
                  <w:pPr>
                    <w:pStyle w:val="Compact"/>
                    <w:jc w:val="right"/>
                    <w:jc w:val="center"/>
                  </w:pPr>
                  <w:r>
                    <w:t xml:space="preserve">+1.2</w:t>
                  </w:r>
                </w:p>
              </w:tc>
              <w:tc>
                <w:tcPr/>
                <w:p>
                  <w:pPr>
                    <w:pStyle w:val="Compact"/>
                    <w:jc w:val="right"/>
                    <w:jc w:val="center"/>
                  </w:pPr>
                  <w:r>
                    <w:t xml:space="preserve">+3.6</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+0.1</w:t>
                  </w:r>
                </w:p>
              </w:tc>
              <w:tc>
                <w:tcPr/>
                <w:p>
                  <w:pPr>
                    <w:pStyle w:val="Compact"/>
                    <w:jc w:val="right"/>
                    <w:jc w:val="center"/>
                  </w:pPr>
                  <w:r>
                    <w:t xml:space="preserve">+5.9</w:t>
                  </w:r>
                </w:p>
              </w:tc>
              <w:tc>
                <w:tcPr/>
                <w:p>
                  <w:pPr>
                    <w:pStyle w:val="Compact"/>
                    <w:jc w:val="right"/>
                    <w:jc w:val="center"/>
                  </w:pPr>
                  <w:r>
                    <w:t xml:space="preserve">+0.8</w:t>
                  </w:r>
                </w:p>
              </w:tc>
              <w:tc>
                <w:tcPr/>
                <w:p>
                  <w:pPr>
                    <w:pStyle w:val="Compact"/>
                    <w:jc w:val="right"/>
                    <w:jc w:val="center"/>
                  </w:pPr>
                  <w:r>
                    <w:t xml:space="preserve">+2.9</w:t>
                  </w:r>
                </w:p>
              </w:tc>
            </w:tr>
            <w:tr>
              <w:tc>
                <w:tcPr/>
                <w:p>
                  <w:pPr>
                    <w:pStyle w:val="Compact"/>
                    <w:jc w:val="right"/>
                    <w:jc w:val="center"/>
                  </w:pPr>
                  <w:r>
                    <w:t xml:space="preserve">4</w:t>
                  </w:r>
                </w:p>
              </w:tc>
              <w:tc>
                <w:tcPr/>
                <w:p>
                  <w:pPr>
                    <w:pStyle w:val="Compact"/>
                    <w:jc w:val="left"/>
                    <w:jc w:val="center"/>
                  </w:pPr>
                  <w:r>
                    <w:t xml:space="preserve">Portslade Aldridge Community Academy</w:t>
                  </w:r>
                </w:p>
              </w:tc>
              <w:tc>
                <w:tcPr/>
                <w:p>
                  <w:pPr>
                    <w:pStyle w:val="Compact"/>
                    <w:jc w:val="right"/>
                    <w:jc w:val="center"/>
                  </w:pPr>
                  <w:r>
                    <w:t xml:space="preserve">+2.9</w:t>
                  </w:r>
                </w:p>
              </w:tc>
              <w:tc>
                <w:tcPr/>
                <w:p>
                  <w:pPr>
                    <w:pStyle w:val="Compact"/>
                    <w:jc w:val="right"/>
                    <w:jc w:val="center"/>
                  </w:pPr>
                  <w:r>
                    <w:t xml:space="preserve">-0.4</w:t>
                  </w:r>
                </w:p>
              </w:tc>
              <w:tc>
                <w:tcPr/>
                <w:p>
                  <w:pPr>
                    <w:pStyle w:val="Compact"/>
                    <w:jc w:val="right"/>
                    <w:jc w:val="center"/>
                  </w:pPr>
                  <w:r>
                    <w:t xml:space="preserve">+3.1</w:t>
                  </w:r>
                </w:p>
              </w:tc>
              <w:tc>
                <w:tcPr/>
                <w:p>
                  <w:pPr>
                    <w:pStyle w:val="Compact"/>
                    <w:jc w:val="right"/>
                    <w:jc w:val="center"/>
                  </w:pPr>
                  <w:r>
                    <w:t xml:space="preserve">-0.5</w:t>
                  </w:r>
                </w:p>
              </w:tc>
              <w:tc>
                <w:tcPr/>
                <w:p>
                  <w:pPr>
                    <w:pStyle w:val="Compact"/>
                    <w:jc w:val="right"/>
                    <w:jc w:val="center"/>
                  </w:pPr>
                  <w:r>
                    <w:t xml:space="preserve">+1.3</w:t>
                  </w:r>
                </w:p>
              </w:tc>
            </w:tr>
            <w:tr>
              <w:tc>
                <w:tcPr/>
                <w:p>
                  <w:pPr>
                    <w:pStyle w:val="Compact"/>
                    <w:jc w:val="right"/>
                    <w:jc w:val="center"/>
                  </w:pPr>
                  <w:r>
                    <w:t xml:space="preserve">5</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+1.2</w:t>
                  </w:r>
                </w:p>
              </w:tc>
              <w:tc>
                <w:tcPr/>
                <w:p>
                  <w:pPr>
                    <w:pStyle w:val="Compact"/>
                    <w:jc w:val="right"/>
                    <w:jc w:val="center"/>
                  </w:pPr>
                  <w:r>
                    <w:t xml:space="preserve">+0.4</w:t>
                  </w:r>
                </w:p>
              </w:tc>
              <w:tc>
                <w:tcPr/>
                <w:p>
                  <w:pPr>
                    <w:pStyle w:val="Compact"/>
                    <w:jc w:val="right"/>
                    <w:jc w:val="center"/>
                  </w:pPr>
                  <w:r>
                    <w:t xml:space="preserve">-0.0</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-2.2</w:t>
                  </w:r>
                </w:p>
              </w:tc>
              <w:tc>
                <w:tcPr/>
                <w:p>
                  <w:pPr>
                    <w:pStyle w:val="Compact"/>
                    <w:jc w:val="right"/>
                    <w:jc w:val="center"/>
                  </w:pPr>
                  <w:r>
                    <w:t xml:space="preserve">-0.8</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+0.6</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+0.6</w:t>
                  </w:r>
                </w:p>
              </w:tc>
              <w:tc>
                <w:tcPr/>
                <w:p>
                  <w:pPr>
                    <w:pStyle w:val="Compact"/>
                    <w:jc w:val="right"/>
                    <w:jc w:val="center"/>
                  </w:pPr>
                  <w:r>
                    <w:t xml:space="preserve">+2.0</w:t>
                  </w:r>
                </w:p>
              </w:tc>
              <w:tc>
                <w:tcPr/>
                <w:p>
                  <w:pPr>
                    <w:pStyle w:val="Compact"/>
                    <w:jc w:val="right"/>
                    <w:jc w:val="center"/>
                  </w:pPr>
                  <w:r>
                    <w:t xml:space="preserve">+0.4</w:t>
                  </w:r>
                </w:p>
              </w:tc>
              <w:tc>
                <w:tcPr/>
                <w:p>
                  <w:pPr>
                    <w:pStyle w:val="Compact"/>
                    <w:jc w:val="right"/>
                    <w:jc w:val="center"/>
                  </w:pPr>
                  <w:r>
                    <w:t xml:space="preserve">-0.6</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+0.4</w:t>
                  </w:r>
                </w:p>
              </w:tc>
              <w:tc>
                <w:tcPr/>
                <w:p>
                  <w:pPr>
                    <w:pStyle w:val="Compact"/>
                    <w:jc w:val="right"/>
                    <w:jc w:val="center"/>
                  </w:pPr>
                  <w:r>
                    <w:t xml:space="preserve">-1.7</w:t>
                  </w:r>
                </w:p>
              </w:tc>
              <w:tc>
                <w:tcPr/>
                <w:p>
                  <w:pPr>
                    <w:pStyle w:val="Compact"/>
                    <w:jc w:val="right"/>
                    <w:jc w:val="center"/>
                  </w:pPr>
                  <w:r>
                    <w:t xml:space="preserve">+1.2</w:t>
                  </w:r>
                </w:p>
              </w:tc>
              <w:tc>
                <w:tcPr/>
                <w:p>
                  <w:pPr>
                    <w:pStyle w:val="Compact"/>
                    <w:jc w:val="right"/>
                    <w:jc w:val="center"/>
                  </w:pPr>
                  <w:r>
                    <w:t xml:space="preserve">-1.3</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+0.4</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-3.4</w:t>
                  </w:r>
                </w:p>
              </w:tc>
              <w:tc>
                <w:tcPr/>
                <w:p>
                  <w:pPr>
                    <w:pStyle w:val="Compact"/>
                    <w:jc w:val="right"/>
                    <w:jc w:val="center"/>
                  </w:pPr>
                  <w:r>
                    <w:t xml:space="preserve">-1.8</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-3.2</w:t>
                  </w:r>
                </w:p>
              </w:tc>
              <w:tc>
                <w:tcPr/>
                <w:p>
                  <w:pPr>
                    <w:pStyle w:val="Compact"/>
                    <w:jc w:val="right"/>
                    <w:jc w:val="center"/>
                  </w:pPr>
                  <w:r>
                    <w:t xml:space="preserve">-2.7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-3.6</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+4.1</w:t>
                  </w:r>
                </w:p>
              </w:tc>
              <w:tc>
                <w:tcPr/>
                <w:p>
                  <w:pPr>
                    <w:pStyle w:val="Compact"/>
                    <w:jc w:val="right"/>
                    <w:jc w:val="center"/>
                  </w:pPr>
                  <w:r>
                    <w:t xml:space="preserve">+5.2</w:t>
                  </w:r>
                </w:p>
              </w:tc>
              <w:tc>
                <w:tcPr/>
                <w:p>
                  <w:pPr>
                    <w:pStyle w:val="Compact"/>
                    <w:jc w:val="right"/>
                    <w:jc w:val="center"/>
                  </w:pPr>
                  <w:r>
                    <w:t xml:space="preserve">+2.8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+3.2</w:t>
                  </w:r>
                </w:p>
              </w:tc>
              <w:tc>
                <w:tcPr/>
                <w:p>
                  <w:pPr>
                    <w:pStyle w:val="Compact"/>
                    <w:jc w:val="right"/>
                    <w:jc w:val="center"/>
                  </w:pPr>
                  <w:r>
                    <w:t xml:space="preserve">+3.6</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right"/>
                    <w:jc w:val="center"/>
                  </w:pPr>
                  <w:r>
                    <w:t xml:space="preserve">3</w:t>
                  </w:r>
                </w:p>
              </w:tc>
              <w:tc>
                <w:tcPr/>
                <w:p>
                  <w:pPr>
                    <w:pStyle w:val="Compact"/>
                    <w:jc w:val="left"/>
                    <w:jc w:val="center"/>
                  </w:pPr>
                  <w:r>
                    <w:t xml:space="preserve">Dorothy Stringer School</w:t>
                  </w:r>
                </w:p>
              </w:tc>
              <w:tc>
                <w:tcPr/>
                <w:p>
                  <w:pPr>
                    <w:pStyle w:val="Compact"/>
                    <w:jc w:val="right"/>
                    <w:jc w:val="center"/>
                  </w:pPr>
                  <w:r>
                    <w:t xml:space="preserve">+2.9</w:t>
                  </w:r>
                </w:p>
              </w:tc>
              <w:tc>
                <w:tcPr/>
                <w:p>
                  <w:pPr>
                    <w:pStyle w:val="Compact"/>
                    <w:jc w:val="right"/>
                    <w:jc w:val="center"/>
                  </w:pPr>
                  <w:r>
                    <w:t xml:space="preserve">+3.2</w:t>
                  </w:r>
                </w:p>
              </w:tc>
              <w:tc>
                <w:tcPr/>
                <w:p>
                  <w:pPr>
                    <w:pStyle w:val="Compact"/>
                    <w:jc w:val="right"/>
                    <w:jc w:val="center"/>
                  </w:pPr>
                  <w:r>
                    <w:t xml:space="preserve">+0.3</w:t>
                  </w:r>
                </w:p>
              </w:tc>
              <w:tc>
                <w:tcPr/>
                <w:p>
                  <w:pPr>
                    <w:pStyle w:val="Compact"/>
                    <w:jc w:val="right"/>
                    <w:jc w:val="center"/>
                  </w:pPr>
                  <w:r>
                    <w:t xml:space="preserve">+1.7</w:t>
                  </w:r>
                </w:p>
              </w:tc>
              <w:tc>
                <w:tcPr/>
                <w:p>
                  <w:pPr>
                    <w:pStyle w:val="Compact"/>
                    <w:jc w:val="right"/>
                    <w:jc w:val="center"/>
                  </w:pPr>
                  <w:r>
                    <w:t xml:space="preserve">+2.0</w:t>
                  </w:r>
                </w:p>
              </w:tc>
            </w:tr>
            <w:tr>
              <w:tc>
                <w:tcPr/>
                <w:p>
                  <w:pPr>
                    <w:pStyle w:val="Compact"/>
                    <w:jc w:val="right"/>
                    <w:jc w:val="center"/>
                  </w:pPr>
                  <w:r>
                    <w:t xml:space="preserve">4</w:t>
                  </w:r>
                </w:p>
              </w:tc>
              <w:tc>
                <w:tcPr/>
                <w:p>
                  <w:pPr>
                    <w:pStyle w:val="Compact"/>
                    <w:jc w:val="left"/>
                    <w:jc w:val="center"/>
                  </w:pPr>
                  <w:r>
                    <w:t xml:space="preserve">Cardinal Newman Catholic School</w:t>
                  </w:r>
                </w:p>
              </w:tc>
              <w:tc>
                <w:tcPr/>
                <w:p>
                  <w:pPr>
                    <w:pStyle w:val="Compact"/>
                    <w:jc w:val="right"/>
                    <w:jc w:val="center"/>
                  </w:pPr>
                  <w:r>
                    <w:t xml:space="preserve">+2.4</w:t>
                  </w:r>
                </w:p>
              </w:tc>
              <w:tc>
                <w:tcPr/>
                <w:p>
                  <w:pPr>
                    <w:pStyle w:val="Compact"/>
                    <w:jc w:val="right"/>
                    <w:jc w:val="center"/>
                  </w:pPr>
                  <w:r>
                    <w:t xml:space="preserve">-5.0</w:t>
                  </w:r>
                </w:p>
              </w:tc>
              <w:tc>
                <w:tcPr/>
                <w:p>
                  <w:pPr>
                    <w:pStyle w:val="Compact"/>
                    <w:jc w:val="right"/>
                    <w:jc w:val="center"/>
                  </w:pPr>
                  <w:r>
                    <w:t xml:space="preserve">+6.5</w:t>
                  </w:r>
                </w:p>
              </w:tc>
              <w:tc>
                <w:tcPr/>
                <w:p>
                  <w:pPr>
                    <w:pStyle w:val="Compact"/>
                    <w:jc w:val="right"/>
                    <w:jc w:val="center"/>
                  </w:pPr>
                  <w:r>
                    <w:t xml:space="preserve">+2.5</w:t>
                  </w:r>
                </w:p>
              </w:tc>
              <w:tc>
                <w:tcPr/>
                <w:p>
                  <w:pPr>
                    <w:pStyle w:val="Compact"/>
                    <w:jc w:val="right"/>
                    <w:jc w:val="center"/>
                  </w:pPr>
                  <w:r>
                    <w:t xml:space="preserve">+1.6</w:t>
                  </w:r>
                </w:p>
              </w:tc>
            </w:tr>
            <w:tr>
              <w:tc>
                <w:tcPr/>
                <w:p>
                  <w:pPr>
                    <w:pStyle w:val="Compact"/>
                    <w:jc w:val="right"/>
                    <w:jc w:val="center"/>
                  </w:pPr>
                  <w:r>
                    <w:t xml:space="preserve">5</w:t>
                  </w:r>
                </w:p>
              </w:tc>
              <w:tc>
                <w:tcPr/>
                <w:p>
                  <w:pPr>
                    <w:pStyle w:val="Compact"/>
                    <w:jc w:val="left"/>
                    <w:jc w:val="center"/>
                  </w:pPr>
                  <w:r>
                    <w:t xml:space="preserve">King’s School</w:t>
                  </w:r>
                </w:p>
              </w:tc>
              <w:tc>
                <w:tcPr/>
                <w:p>
                  <w:pPr>
                    <w:pStyle w:val="Compact"/>
                    <w:jc w:val="right"/>
                    <w:jc w:val="center"/>
                  </w:pPr>
                  <w:r>
                    <w:t xml:space="preserve">+5.8</w:t>
                  </w:r>
                </w:p>
              </w:tc>
              <w:tc>
                <w:tcPr/>
                <w:p>
                  <w:pPr>
                    <w:pStyle w:val="Compact"/>
                    <w:jc w:val="right"/>
                    <w:jc w:val="center"/>
                  </w:pPr>
                  <w:r>
                    <w:t xml:space="preserve">+0.9</w:t>
                  </w:r>
                </w:p>
              </w:tc>
              <w:tc>
                <w:tcPr/>
                <w:p>
                  <w:pPr>
                    <w:pStyle w:val="Compact"/>
                    <w:jc w:val="right"/>
                    <w:jc w:val="center"/>
                  </w:pPr>
                  <w:r>
                    <w:t xml:space="preserve">+4.4</w:t>
                  </w:r>
                </w:p>
              </w:tc>
              <w:tc>
                <w:tcPr/>
                <w:p>
                  <w:pPr>
                    <w:pStyle w:val="Compact"/>
                    <w:jc w:val="right"/>
                    <w:jc w:val="center"/>
                  </w:pPr>
                  <w:r>
                    <w:t xml:space="preserve">-5.4</w:t>
                  </w:r>
                </w:p>
              </w:tc>
              <w:tc>
                <w:tcPr/>
                <w:p>
                  <w:pPr>
                    <w:pStyle w:val="Compact"/>
                    <w:jc w:val="right"/>
                    <w:jc w:val="center"/>
                  </w:pPr>
                  <w:r>
                    <w:t xml:space="preserve">+1.5</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-5.4</w:t>
                  </w:r>
                </w:p>
              </w:tc>
              <w:tc>
                <w:tcPr/>
                <w:p>
                  <w:pPr>
                    <w:pStyle w:val="Compact"/>
                    <w:jc w:val="right"/>
                    <w:jc w:val="center"/>
                  </w:pPr>
                  <w:r>
                    <w:t xml:space="preserve">+1.3</w:t>
                  </w:r>
                </w:p>
              </w:tc>
              <w:tc>
                <w:tcPr/>
                <w:p>
                  <w:pPr>
                    <w:pStyle w:val="Compact"/>
                    <w:jc w:val="right"/>
                    <w:jc w:val="center"/>
                  </w:pPr>
                  <w:r>
                    <w:t xml:space="preserve">+5.2</w:t>
                  </w:r>
                </w:p>
              </w:tc>
              <w:tc>
                <w:tcPr/>
                <w:p>
                  <w:pPr>
                    <w:pStyle w:val="Compact"/>
                    <w:jc w:val="right"/>
                    <w:jc w:val="center"/>
                  </w:pPr>
                  <w:r>
                    <w:t xml:space="preserve">+3.4</w:t>
                  </w:r>
                </w:p>
              </w:tc>
              <w:tc>
                <w:tcPr/>
                <w:p>
                  <w:pPr>
                    <w:pStyle w:val="Compact"/>
                    <w:jc w:val="right"/>
                    <w:jc w:val="center"/>
                  </w:pPr>
                  <w:r>
                    <w:t xml:space="preserve">+1.1</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+2.4</w:t>
                  </w:r>
                </w:p>
              </w:tc>
              <w:tc>
                <w:tcPr/>
                <w:p>
                  <w:pPr>
                    <w:pStyle w:val="Compact"/>
                    <w:jc w:val="right"/>
                    <w:jc w:val="center"/>
                  </w:pPr>
                  <w:r>
                    <w:t xml:space="preserve">-1.7</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+2.6</w:t>
                  </w:r>
                </w:p>
              </w:tc>
              <w:tc>
                <w:tcPr/>
                <w:p>
                  <w:pPr>
                    <w:pStyle w:val="Compact"/>
                    <w:jc w:val="right"/>
                    <w:jc w:val="center"/>
                  </w:pPr>
                  <w:r>
                    <w:t xml:space="preserve">-4.0</w:t>
                  </w:r>
                </w:p>
              </w:tc>
              <w:tc>
                <w:tcPr/>
                <w:p>
                  <w:pPr>
                    <w:pStyle w:val="Compact"/>
                    <w:jc w:val="right"/>
                    <w:jc w:val="center"/>
                  </w:pPr>
                  <w:r>
                    <w:t xml:space="preserve">+4.7</w:t>
                  </w:r>
                </w:p>
              </w:tc>
              <w:tc>
                <w:tcPr/>
                <w:p>
                  <w:pPr>
                    <w:pStyle w:val="Compact"/>
                    <w:jc w:val="right"/>
                    <w:jc w:val="center"/>
                  </w:pPr>
                  <w:r>
                    <w:t xml:space="preserve">-1.3</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+3.8</w:t>
                  </w:r>
                </w:p>
              </w:tc>
              <w:tc>
                <w:tcPr/>
                <w:p>
                  <w:pPr>
                    <w:pStyle w:val="Compact"/>
                    <w:jc w:val="right"/>
                    <w:jc w:val="center"/>
                  </w:pPr>
                  <w:r>
                    <w:t xml:space="preserve">+1.6</w:t>
                  </w:r>
                </w:p>
              </w:tc>
              <w:tc>
                <w:tcPr/>
                <w:p>
                  <w:pPr>
                    <w:pStyle w:val="Compact"/>
                    <w:jc w:val="right"/>
                    <w:jc w:val="center"/>
                  </w:pPr>
                  <w:r>
                    <w:t xml:space="preserve">-11.9</w:t>
                  </w:r>
                </w:p>
              </w:tc>
              <w:tc>
                <w:tcPr/>
                <w:p>
                  <w:pPr>
                    <w:pStyle w:val="Compact"/>
                    <w:jc w:val="right"/>
                    <w:jc w:val="center"/>
                  </w:pPr>
                  <w:r>
                    <w:t xml:space="preserve">-3.7</w:t>
                  </w:r>
                </w:p>
              </w:tc>
              <w:tc>
                <w:tcPr/>
                <w:p>
                  <w:pPr>
                    <w:pStyle w:val="Compact"/>
                    <w:jc w:val="right"/>
                    <w:jc w:val="center"/>
                  </w:pPr>
                  <w:r>
                    <w:t xml:space="preserve">-2.6</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-4.6</w:t>
                  </w:r>
                </w:p>
              </w:tc>
              <w:tc>
                <w:tcPr/>
                <w:p>
                  <w:pPr>
                    <w:pStyle w:val="Compact"/>
                    <w:jc w:val="right"/>
                    <w:jc w:val="center"/>
                  </w:pPr>
                  <w:r>
                    <w:t xml:space="preserve">-6.2</w:t>
                  </w:r>
                </w:p>
              </w:tc>
              <w:tc>
                <w:tcPr/>
                <w:p>
                  <w:pPr>
                    <w:pStyle w:val="Compact"/>
                    <w:jc w:val="right"/>
                    <w:jc w:val="center"/>
                  </w:pPr>
                  <w:r>
                    <w:t xml:space="preserve">+0.8</w:t>
                  </w:r>
                </w:p>
              </w:tc>
              <w:tc>
                <w:tcPr/>
                <w:p>
                  <w:pPr>
                    <w:pStyle w:val="Compact"/>
                    <w:jc w:val="right"/>
                    <w:jc w:val="center"/>
                  </w:pPr>
                  <w:r>
                    <w:t xml:space="preserve">-1.4</w:t>
                  </w:r>
                </w:p>
              </w:tc>
              <w:tc>
                <w:tcPr/>
                <w:p>
                  <w:pPr>
                    <w:pStyle w:val="Compact"/>
                    <w:jc w:val="right"/>
                    <w:jc w:val="center"/>
                  </w:pPr>
                  <w:r>
                    <w:t xml:space="preserve">-2.9</w:t>
                  </w:r>
                </w:p>
              </w:tc>
            </w:tr>
          </w:tbl>
          <w:bookmarkEnd w:id="79"/>
          <w:p/>
        </w:tc>
      </w:tr>
    </w:tbl>
    <w:p>
      <w:pPr>
        <w:pStyle w:val="BodyText"/>
      </w:pPr>
      <w:r>
        <w:t xml:space="preserve">In the period of the 2024 consultation the public debate in the city shifted slightly, away from how the council’s proposals were going to improve disadvantaged attainment to how they were facilitating parental choice. Choice in this instance was largely to do with parents perceiving their local options to be poor and wanting access to alternatives. An activist group (Equity in Education</w:t>
      </w:r>
      <w:r>
        <w:rPr>
          <w:rStyle w:val="FootnoteReference"/>
        </w:rPr>
        <w:footnoteReference w:id="80"/>
      </w:r>
      <w:r>
        <w:t xml:space="preserve"> </w:t>
      </w:r>
      <w:r>
        <w:t xml:space="preserve">— supported by another more established activist group — Class Divide</w:t>
      </w:r>
      <w:r>
        <w:rPr>
          <w:rStyle w:val="FootnoteReference"/>
        </w:rPr>
        <w:footnoteReference w:id="82"/>
      </w:r>
      <w:r>
        <w:t xml:space="preserve">) emerged from within the BACA catchment advocating for parents to have more options available to</w:t>
      </w:r>
      <w:r>
        <w:t xml:space="preserve"> </w:t>
      </w:r>
      <w:r>
        <w:rPr>
          <w:i/>
          <w:iCs/>
        </w:rPr>
        <w:t xml:space="preserve">not</w:t>
      </w:r>
      <w:r>
        <w:t xml:space="preserve"> </w:t>
      </w:r>
      <w:r>
        <w:t xml:space="preserve">send their children to that school. At the time BACAs Ofsted rating was</w:t>
      </w:r>
      <w:r>
        <w:t xml:space="preserve"> </w:t>
      </w:r>
      <w:r>
        <w:t xml:space="preserve">‘requires improvement’</w:t>
      </w:r>
      <w:r>
        <w:t xml:space="preserve"> </w:t>
      </w:r>
      <w:r>
        <w:t xml:space="preserve">and its raw attainment scores were some of the lowest in the city — creating an impression of that school being a poor option.</w:t>
      </w:r>
    </w:p>
    <w:p>
      <w:pPr>
        <w:pStyle w:val="BodyText"/>
      </w:pPr>
      <w:r>
        <w:t xml:space="preserve">As a family deciding on where to send their child, they can decide based on how the school performs overall, or where their child is most likely to succeed. These do not always lead to the same answer. The latter means looking beyond the structural causes of attainment, and understanding how a school performs</w:t>
      </w:r>
      <w:r>
        <w:t xml:space="preserve"> </w:t>
      </w:r>
      <w:r>
        <w:rPr>
          <w:i/>
          <w:iCs/>
        </w:rPr>
        <w:t xml:space="preserve">beyond</w:t>
      </w:r>
      <w:r>
        <w:t xml:space="preserve"> </w:t>
      </w:r>
      <w:r>
        <w:t xml:space="preserve">the influence of those factors. In Brighton and Hove, one of the outcomes that emerged from the vocal public debate, was a considerable number of parents from the BACA catchment opting to send their children to Patcham School (in the neighbouring catchment — see</w:t>
      </w:r>
      <w:r>
        <w:t xml:space="preserve"> </w:t>
      </w:r>
      <w:hyperlink w:anchor="fig-catchments">
        <w:r>
          <w:rPr>
            <w:rStyle w:val="Hyperlink"/>
          </w:rPr>
          <w:t xml:space="preserve">Figure 2</w:t>
        </w:r>
      </w:hyperlink>
      <w:r>
        <w:t xml:space="preserve">) for entry in 2025 and 2026 — a school rated</w:t>
      </w:r>
      <w:r>
        <w:t xml:space="preserve"> </w:t>
      </w:r>
      <w:r>
        <w:t xml:space="preserve">‘Good’</w:t>
      </w:r>
      <w:r>
        <w:t xml:space="preserve"> </w:t>
      </w:r>
      <w:r>
        <w:t xml:space="preserve">by Ofsted and with raw attainment scores placing somewhere mid-table in the city. However, if we move beyond the raw attainment scores and blunt single-word Ofsted ratings, a very different picture of the two schools emerges. BACA is situated in one of the most economically deprived parts of Brighton and Hove, Patcham, one of the more economically prosperous. BACAs absence rates have been in excess of the very high city average. Patcham is one of two schools in the City with absence rates below the national average. The number of pupils entitled to Free School Meals attending BACA is around 50%, at Patcham it is around 25%. Around 30% of the pupils attending BACA have low prior attainment, at Patcham it is around 16%. When we account for these stark cohort differences in our model, a very different picture of school effectiveness occurs.</w:t>
      </w:r>
    </w:p>
    <w:p>
      <w:pPr>
        <w:pStyle w:val="BodyText"/>
      </w:pPr>
      <w:r>
        <w:t xml:space="preserve">As the league tables in</w:t>
      </w:r>
      <w:r>
        <w:t xml:space="preserve"> </w:t>
      </w:r>
      <w:hyperlink w:anchor="tbl-league">
        <w:r>
          <w:rPr>
            <w:rStyle w:val="Hyperlink"/>
          </w:rPr>
          <w:t xml:space="preserve">Table 2</w:t>
        </w:r>
      </w:hyperlink>
      <w:r>
        <w:t xml:space="preserve">, derived from</w:t>
      </w:r>
      <w:r>
        <w:t xml:space="preserve"> </w:t>
      </w:r>
      <w:hyperlink w:anchor="fig-obs-vs-pred">
        <w:r>
          <w:rPr>
            <w:rStyle w:val="Hyperlink"/>
          </w:rPr>
          <w:t xml:space="preserve">Figure 5</w:t>
        </w:r>
      </w:hyperlink>
      <w:r>
        <w:t xml:space="preserve"> </w:t>
      </w:r>
      <w:r>
        <w:t xml:space="preserve">in above reveal, in 2024-25, a disadvantaged pupil attending the less popular BACA and taking their GSCEs would have, on average, left that school with GCSEs 5-points higher than if they’d attended a similar school with a similar profile elsewhere in England. Over the last 4 years, this would have averaged around 3 points higher. This is a boost way in excess of the fraction of a point differences that might be expected from altering the disadvantage mix in schools. BACA is doing incredibly well for its disadvantaged students and indeed out-performs every other school in the city by some margin — even those which in the popular imagination are viewed as the</w:t>
      </w:r>
      <w:r>
        <w:t xml:space="preserve"> </w:t>
      </w:r>
      <w:r>
        <w:t xml:space="preserve">‘best’</w:t>
      </w:r>
      <w:r>
        <w:t xml:space="preserve"> </w:t>
      </w:r>
      <w:r>
        <w:t xml:space="preserve">or most desirable schools in the city, e.g. Varndean, Cardinal Newman. BACA in some ways is the case study that illuminates the findings in the national data earlier in this paper which showed that disadvantaged attainment is higher in schools with bigger concentrations of disadvantaged students and in direct contradiction to the statement in Brighton and Hove City Council’s consultation materials. In April 2025, BACA received a new Ofsted report which rated it</w:t>
      </w:r>
      <w:r>
        <w:t xml:space="preserve"> </w:t>
      </w:r>
      <w:r>
        <w:t xml:space="preserve">‘Good’</w:t>
      </w:r>
      <w:r>
        <w:t xml:space="preserve"> </w:t>
      </w:r>
      <w:r>
        <w:t xml:space="preserve">in all 5 areas of provision</w:t>
      </w:r>
      <w:r>
        <w:rPr>
          <w:rStyle w:val="FootnoteReference"/>
        </w:rPr>
        <w:footnoteReference w:id="84"/>
      </w:r>
      <w:r>
        <w:t xml:space="preserve"> </w:t>
      </w:r>
      <w:r>
        <w:t xml:space="preserve">— a result unsurprising in the context of this data analysis, but probably more surprising to anyone just looking at raw prior attainment and previous Ofsted report.</w:t>
      </w:r>
    </w:p>
    <w:p>
      <w:pPr>
        <w:pStyle w:val="BodyText"/>
      </w:pPr>
      <w:r>
        <w:t xml:space="preserve">If we contrast BACA — the school popular narrative discouraged parents from sending their children to — with Patcham — the school many from BACA catchment in the end opted for, the differences on this alternative league table are stark. Disadvantaged pupils attending Patcham on average over the last 4 years and compared to other disadvantaged pupils attending schools with similar profiles elsewhere in England, would leave with around 2.6 GCSE points fewer than they might be expected to compared to similar schools elsewhere in England. In 2023-24, the difference was in double figures. These differences have been hidden from view amongst the comfortable mid-table position, in raw attainment terms, the school has enjoyed. There might be many reasons why parents would want to opt for Patcham High School over BACA, but the nuance afforded to the effectiveness of these schools by the modelling in this paper might have provided an alternative view that could have made some of parents from BACA catchment who opted to send their children to Patcham, make a different decision.</w:t>
      </w:r>
    </w:p>
    <w:p>
      <w:pPr>
        <w:pStyle w:val="BodyText"/>
      </w:pPr>
      <w:r>
        <w:t xml:space="preserve">One thing other schools in the city certainly could learn from Patcham High School is in how to improve attendance rates. The school is one of only two in the city with attendance better than the national average. This is an actionable policy lever at the school-level. Without a deeper dive into attendance issues at the different schools in the city, it’s impossible to know what the drivers of this issue are. But given we now know where the real problems in Brighton and Hove lie at the LEA level, one useful policy focus at the city level could well be exploring how schools like Patcham are able to keep attendance relatively high, while then allowing more school-level investigations into where under-performance might be occurring given our new knowledge of interacting structural drivers within the city.</w:t>
      </w:r>
    </w:p>
    <w:bookmarkEnd w:id="86"/>
    <w:bookmarkStart w:id="87" w:name="X40b1884cedc541d2941047d67c0b6e8ce71c267"/>
    <w:p>
      <w:pPr>
        <w:pStyle w:val="Heading2"/>
      </w:pPr>
      <w:r>
        <w:t xml:space="preserve">6.4 Conflicting incentives: viability versus attainment</w:t>
      </w:r>
    </w:p>
    <w:p>
      <w:pPr>
        <w:pStyle w:val="FirstParagraph"/>
      </w:pPr>
      <w:r>
        <w:t xml:space="preserve">It is worth acknowledging what was only partially articulated during the consultation: that a significant driver of the proposals was financial rather than educational. Reducing PANs at popular schools and creating out-of-catchment priority places were designed, at least in part, to redirect pupil flows toward under-subscribed schools at the periphery of the city. Complicating things further, the closure of a school in an economically deprived area of the city in the mid 2000s has meant that students in this area were already forced to make long journeys to school to these under-subscribed schools on the outskirts of the city. Due to the effects of having large proportions of disadvantaged students in these peripheral schools captured by our model, this can cause lower raw score results and can further reduce applications to attend those schools. Since schools receive funding on a per pupil basis, keeping these schools financially viable is a legitimate concern. However, there is an inherent tension between optimising for financial sustainability and optimising for educational outcomes. At the city level, it is easy for a policy-maker to point to surface level data and assume the disadvantage concentrations in a school are a driving effect of attainment and popularity. The two are related, but for Brighton and Hove, it does not appear to be the case that rebalancing disadvantage levels across schools would have a net positive effect on attainment for individual pupils or the city. If the net effect is to move children from schools adding more value to schools adding less, the aggregate impact on city-wide attainment could be negative. The financial and educational cases needed to be weighed transparently, and it is not clear this trade-off was adequately acknowledged in Brighton and Hove.</w:t>
      </w:r>
    </w:p>
    <w:p>
      <w:pPr>
        <w:pStyle w:val="BodyText"/>
      </w:pPr>
      <w:r>
        <w:t xml:space="preserve">Following widespread opposition and appeals to the Schools Adjudicator, the proposed PAN reductions were rejected and the 20% out-of-catchment priority was reduced to 5%. While displacement was minimised, the policy reverberations continued through the choices expressed by parents already influenced by the preceding debate.</w:t>
      </w:r>
    </w:p>
    <w:bookmarkEnd w:id="87"/>
    <w:bookmarkStart w:id="89" w:name="the-cost-of-speed-over-evidence"/>
    <w:p>
      <w:pPr>
        <w:pStyle w:val="Heading2"/>
      </w:pPr>
      <w:r>
        <w:t xml:space="preserve">6.5 The cost of speed over evidence</w:t>
      </w:r>
    </w:p>
    <w:p>
      <w:pPr>
        <w:pStyle w:val="FirstParagraph"/>
      </w:pPr>
      <w:r>
        <w:t xml:space="preserve">The institutional context deserves reflection. The shift to a Leader and Cabinet system concentrated decision-making power and enabled policy to be enacted through a whipped voting system. The consultation was compressed in timeline and limited in scope for deliberative engagement. This matters because the evidence base for school attainment is complex — the factors are multiple, interacting, non-linear and context-dependent. Institutional structures that compress deliberation timelines are particularly dangerous when the evidence requires careful handling and its implications are counterintuitive. Had the analysis presented here been available at the outset, the quality of public scrutiny would have been substantially higher, even if the political outcome had remained the same.</w:t>
      </w:r>
    </w:p>
    <w:bookmarkStart w:id="88" w:name="X6c85e6b131c00160602066b25667ec048f9fb77"/>
    <w:p>
      <w:pPr>
        <w:pStyle w:val="Heading3"/>
      </w:pPr>
      <w:r>
        <w:t xml:space="preserve">6.5.1 What Is Driving the Brighton and Hove’s Over-Achievement? And What We Don’t Yet Know</w:t>
      </w:r>
    </w:p>
    <w:p>
      <w:pPr>
        <w:pStyle w:val="FirstParagraph"/>
      </w:pPr>
      <w:r>
        <w:t xml:space="preserve">The LEA random effect for Brighton and Hove is large and statistically significant across all three attainment groups. After accounting for the structural factors in the model — disadvantage, absence, prior attainment, workforce characteristics, selectivity and segregation — schools in the city consistently outperform what the national picture would predict. For disadvantaged pupils, the city ranks 7th; for non-disadvantaged pupils, 5th; for all pupils, 4th in England.</w:t>
      </w:r>
    </w:p>
    <w:p>
      <w:pPr>
        <w:pStyle w:val="BodyText"/>
      </w:pPr>
      <w:r>
        <w:t xml:space="preserve">This is a genuinely important finding that should re-frame the policy conversation. The starting point for the 2024 consultation was a narrative of failure — the city was presented as uniquely failing its disadvantaged students, sitting on a vast attainment gap, with radical structural reform required to address the problem. The evidence suggests the opposite: Brighton and Hove is one of the highest-performing LEAs in the country once we account for the factors that we know drive attainment. Rather than asking what the city is doing wrong, the more productive question is what it is doing right — and how that can be protected and extended?</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Identifying the sources of this over-performance is an important research question in its own right, and one that could require additional qualitative investigation or access to pupil-level data that goes beyond what is publicly available. What is clear, however, is that policy interventions which risk disrupting a well-functioning system without understanding what makes it function well carry substantial downside risk.</w:t>
      </w:r>
    </w:p>
    <w:bookmarkEnd w:id="88"/>
    <w:bookmarkEnd w:id="89"/>
    <w:bookmarkStart w:id="92"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have developed an interactive Policy Simulator tool,</w:t>
      </w:r>
      <w:r>
        <w:rPr>
          <w:rStyle w:val="FootnoteReference"/>
        </w:rPr>
        <w:footnoteReference w:id="90"/>
      </w:r>
      <w:r>
        <w:t xml:space="preserve"> </w:t>
      </w:r>
      <w:r>
        <w:t xml:space="preserve">underpinned by the models in this paper, to begin bridging that gap. The tool allows users to explore any school in England, compare against contextual expectations, and model the indicative impact of changes to key variables.</w:t>
      </w:r>
    </w:p>
    <w:bookmarkEnd w:id="92"/>
    <w:bookmarkStart w:id="93"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93"/>
    <w:bookmarkEnd w:id="94"/>
    <w:bookmarkStart w:id="95"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School-level Attainment 8 is remarkably predictable from a small number of variables, and that predictability creates opportunities for better-informed local policy. The Brighton and Hove case study — motivated by the authors’ direct experience of a flawed consultation process — provides a cautionary illustration of what happens when policy is anchored to a single causal narrative without adequate regard for the full evidence base.</w:t>
      </w:r>
    </w:p>
    <w:p>
      <w:pPr>
        <w:pStyle w:val="BodyText"/>
      </w:pPr>
      <w:r>
        <w:t xml:space="preserve">Our recommendations are directed at three audiences. For the DfE: invest in analytical infrastructure at the local level and consider how contextualised benchmarking tools might be developed at scale. For LEAs: resist single causal narratives and create institutional space for genuine deliberation before irreversible decisions. The factors affecting attainment are multiple, interacting, non-linear and context-dependent. For schools, governors and parents: contextualised benchmarking offers a fairer basis for understanding school quality than raw scores or single-word Ofsted ratings.</w:t>
      </w:r>
    </w:p>
    <w:p>
      <w:pPr>
        <w:pStyle w:val="BodyText"/>
      </w:pPr>
      <w:r>
        <w:t xml:space="preserve">The challenge is to ensure that this understanding reaches decision makers in a usable form</w:t>
      </w:r>
      <w:r>
        <w:t xml:space="preserve"> </w:t>
      </w:r>
      <w:r>
        <w:rPr>
          <w:i/>
          <w:iCs/>
        </w:rPr>
        <w:t xml:space="preserve">before</w:t>
      </w:r>
      <w:r>
        <w:t xml:space="preserve"> </w:t>
      </w:r>
      <w:r>
        <w:t xml:space="preserve">decisions are made — not after. The raw materials already exist. What is needed is the analytical capacity and institutional willingness to use them.</w:t>
      </w:r>
    </w:p>
    <w:bookmarkEnd w:id="95"/>
    <w:bookmarkStart w:id="96" w:name="acknowledgements"/>
    <w:p>
      <w:pPr>
        <w:pStyle w:val="Heading1"/>
      </w:pPr>
      <w:r>
        <w:t xml:space="preserve">Acknowledgements</w:t>
      </w:r>
    </w:p>
    <w:p>
      <w:pPr>
        <w:pStyle w:val="FirstParagraph"/>
      </w:pPr>
      <w:r>
        <w:t xml:space="preserve">Development of the Policy Simulator tool was substantially accelerated by large language model assistance (Anthropic’s Claude) as part of work supported by the UKRI National AI Research Hub for Collective Intelligence (AI4CI). All of this work has been co-designed through many hours of conversations over the last 18 months or so with a group of parents in Brighton and Hove who have come together under the banner of the</w:t>
      </w:r>
      <w:r>
        <w:t xml:space="preserve"> </w:t>
      </w:r>
      <w:r>
        <w:t xml:space="preserve">‘Parent Support Group’</w:t>
      </w:r>
      <w:r>
        <w:t xml:space="preserve">. The range of perspectives and breadth of expertise within this group has been inspirational.</w:t>
      </w:r>
    </w:p>
    <w:bookmarkEnd w:id="96"/>
    <w:bookmarkStart w:id="97" w:name="declaration-of-interest"/>
    <w:p>
      <w:pPr>
        <w:pStyle w:val="Heading1"/>
      </w:pPr>
      <w:r>
        <w:t xml:space="preserve">Declaration of interest</w:t>
      </w:r>
    </w:p>
    <w:p>
      <w:pPr>
        <w:pStyle w:val="FirstParagraph"/>
      </w:pPr>
      <w:r>
        <w:t xml:space="preserve">The authors are residents of Brighton and Hove with lived experience of the effects of the admissions policy process described. Some authors are involved in local school governance. No financial conflicts of interest exist.</w:t>
      </w:r>
    </w:p>
    <w:bookmarkEnd w:id="97"/>
    <w:bookmarkStart w:id="184" w:name="references"/>
    <w:p>
      <w:pPr>
        <w:pStyle w:val="Heading1"/>
      </w:pPr>
      <w:r>
        <w:t xml:space="preserve">References</w:t>
      </w:r>
    </w:p>
    <w:bookmarkStart w:id="183" w:name="refs"/>
    <w:bookmarkStart w:id="99"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98">
        <w:r>
          <w:rPr>
            <w:rStyle w:val="Hyperlink"/>
          </w:rPr>
          <w:t xml:space="preserve">https://doi.org/10.1080/09645292.2017.1366425</w:t>
        </w:r>
      </w:hyperlink>
      <w:r>
        <w:t xml:space="preserve">.</w:t>
      </w:r>
    </w:p>
    <w:bookmarkEnd w:id="99"/>
    <w:bookmarkStart w:id="101"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100">
        <w:r>
          <w:rPr>
            <w:rStyle w:val="Hyperlink"/>
          </w:rPr>
          <w:t xml:space="preserve">https://doi.org/10.1111/j.1475-5661.2012.00511.x</w:t>
        </w:r>
      </w:hyperlink>
      <w:r>
        <w:t xml:space="preserve">.</w:t>
      </w:r>
    </w:p>
    <w:bookmarkEnd w:id="101"/>
    <w:bookmarkStart w:id="103"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02">
        <w:r>
          <w:rPr>
            <w:rStyle w:val="Hyperlink"/>
          </w:rPr>
          <w:t xml:space="preserve">https://doi.org/10.1080/0305764X.2024.2420611</w:t>
        </w:r>
      </w:hyperlink>
      <w:r>
        <w:t xml:space="preserve">.</w:t>
      </w:r>
    </w:p>
    <w:bookmarkEnd w:id="103"/>
    <w:bookmarkStart w:id="105"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104">
        <w:r>
          <w:rPr>
            <w:rStyle w:val="Hyperlink"/>
          </w:rPr>
          <w:t xml:space="preserve">https://www.urban.org/sites/default/files/publication/99027/time_to_school_and_student_outcomes_in_dc_1.pdf</w:t>
        </w:r>
      </w:hyperlink>
      <w:r>
        <w:t xml:space="preserve">.</w:t>
      </w:r>
    </w:p>
    <w:bookmarkEnd w:id="105"/>
    <w:bookmarkStart w:id="107"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06">
        <w:r>
          <w:rPr>
            <w:rStyle w:val="Hyperlink"/>
          </w:rPr>
          <w:t xml:space="preserve">https://doi.org/10.1177/0308518X18787820</w:t>
        </w:r>
      </w:hyperlink>
      <w:r>
        <w:t xml:space="preserve">.</w:t>
      </w:r>
    </w:p>
    <w:bookmarkEnd w:id="107"/>
    <w:bookmarkStart w:id="109"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08">
        <w:r>
          <w:rPr>
            <w:rStyle w:val="Hyperlink"/>
          </w:rPr>
          <w:t xml:space="preserve">https://doi.org/10.1016/j.econedurev.2023.102405</w:t>
        </w:r>
      </w:hyperlink>
      <w:r>
        <w:t xml:space="preserve">.</w:t>
      </w:r>
    </w:p>
    <w:bookmarkEnd w:id="109"/>
    <w:bookmarkStart w:id="111" w:name="ref-Burgess2022"/>
    <w:p>
      <w:pPr>
        <w:pStyle w:val="Bibliography"/>
      </w:pPr>
      <w:r>
        <w:t xml:space="preserve">Burgess, S., S. Rawal, and E. Taylor. 2022.</w:t>
      </w:r>
      <w:r>
        <w:t xml:space="preserve"> </w:t>
      </w:r>
      <w:r>
        <w:rPr>
          <w:i/>
          <w:iCs/>
        </w:rPr>
        <w:t xml:space="preserve">Characterising Effective Teaching</w:t>
      </w:r>
      <w:r>
        <w:t xml:space="preserve">. Nuffield Foundation.</w:t>
      </w:r>
      <w:r>
        <w:t xml:space="preserve"> </w:t>
      </w:r>
      <w:hyperlink r:id="rId110">
        <w:r>
          <w:rPr>
            <w:rStyle w:val="Hyperlink"/>
          </w:rPr>
          <w:t xml:space="preserve">https://www.nuffieldfoundation.org/project/characterising-effective-teaching-2</w:t>
        </w:r>
      </w:hyperlink>
      <w:r>
        <w:t xml:space="preserve">.</w:t>
      </w:r>
    </w:p>
    <w:bookmarkEnd w:id="111"/>
    <w:bookmarkStart w:id="113"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112">
        <w:r>
          <w:rPr>
            <w:rStyle w:val="Hyperlink"/>
          </w:rPr>
          <w:t xml:space="preserve">https://doi.org/10.1371/journal.pone.0314687</w:t>
        </w:r>
      </w:hyperlink>
      <w:r>
        <w:t xml:space="preserve">.</w:t>
      </w:r>
    </w:p>
    <w:bookmarkEnd w:id="113"/>
    <w:bookmarkStart w:id="115"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14">
        <w:r>
          <w:rPr>
            <w:rStyle w:val="Hyperlink"/>
          </w:rPr>
          <w:t xml:space="preserve">https://committees.parliament.uk/committee/203/education-committee/news/156024/forgotten-white-workingclass-pupils-let-down-by-decades-of-neglect-mps-say/</w:t>
        </w:r>
      </w:hyperlink>
      <w:r>
        <w:t xml:space="preserve">.</w:t>
      </w:r>
    </w:p>
    <w:bookmarkEnd w:id="115"/>
    <w:bookmarkStart w:id="117"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116">
        <w:r>
          <w:rPr>
            <w:rStyle w:val="Hyperlink"/>
          </w:rPr>
          <w:t xml:space="preserve">https://doi.org/10.3102/01623737221092450</w:t>
        </w:r>
      </w:hyperlink>
      <w:r>
        <w:t xml:space="preserve">.</w:t>
      </w:r>
    </w:p>
    <w:bookmarkEnd w:id="117"/>
    <w:bookmarkStart w:id="119"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18">
        <w:r>
          <w:rPr>
            <w:rStyle w:val="Hyperlink"/>
          </w:rPr>
          <w:t xml:space="preserve">https://explore-education-statistics.service.gov.uk/find-statistics/the-link-between-absence-and-attainment-at-ks2-and-ks4/2018-19</w:t>
        </w:r>
      </w:hyperlink>
      <w:r>
        <w:t xml:space="preserve">.</w:t>
      </w:r>
    </w:p>
    <w:bookmarkEnd w:id="119"/>
    <w:bookmarkStart w:id="121"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20">
        <w:r>
          <w:rPr>
            <w:rStyle w:val="Hyperlink"/>
          </w:rPr>
          <w:t xml:space="preserve">https://www.gov.uk/government/publications/link-between-attendance-and-attainment</w:t>
        </w:r>
      </w:hyperlink>
      <w:r>
        <w:t xml:space="preserve">.</w:t>
      </w:r>
    </w:p>
    <w:bookmarkEnd w:id="121"/>
    <w:bookmarkStart w:id="123"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22">
        <w:r>
          <w:rPr>
            <w:rStyle w:val="Hyperlink"/>
          </w:rPr>
          <w:t xml:space="preserve">https://explore-education-statistics.service.gov.uk/find-statistics/pupil-absence-in-schools-in-england/2024-25-autumn-and-spring-term</w:t>
        </w:r>
      </w:hyperlink>
      <w:r>
        <w:t xml:space="preserve">.</w:t>
      </w:r>
    </w:p>
    <w:bookmarkEnd w:id="123"/>
    <w:bookmarkStart w:id="125"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24">
        <w:r>
          <w:rPr>
            <w:rStyle w:val="Hyperlink"/>
          </w:rPr>
          <w:t xml:space="preserve">https://www.gov.uk/government/publications/every-child-achieving-and-thriving/every-child-achieving-and-thriving-html-version</w:t>
        </w:r>
      </w:hyperlink>
      <w:r>
        <w:t xml:space="preserve">.</w:t>
      </w:r>
    </w:p>
    <w:bookmarkEnd w:id="125"/>
    <w:bookmarkStart w:id="127"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26">
        <w:r>
          <w:rPr>
            <w:rStyle w:val="Hyperlink"/>
          </w:rPr>
          <w:t xml:space="preserve">https://doi.org/10.1016/j.jth.2023.101605</w:t>
        </w:r>
      </w:hyperlink>
      <w:r>
        <w:t xml:space="preserve">.</w:t>
      </w:r>
    </w:p>
    <w:bookmarkEnd w:id="127"/>
    <w:bookmarkStart w:id="129"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28">
        <w:r>
          <w:rPr>
            <w:rStyle w:val="Hyperlink"/>
          </w:rPr>
          <w:t xml:space="preserve">https://doi.org/10.1002/berj.3992</w:t>
        </w:r>
      </w:hyperlink>
      <w:r>
        <w:t xml:space="preserve">.</w:t>
      </w:r>
    </w:p>
    <w:bookmarkEnd w:id="129"/>
    <w:bookmarkStart w:id="131"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30">
        <w:r>
          <w:rPr>
            <w:rStyle w:val="Hyperlink"/>
          </w:rPr>
          <w:t xml:space="preserve">https://doi.org/10.1093/ooec/odad029</w:t>
        </w:r>
      </w:hyperlink>
      <w:r>
        <w:t xml:space="preserve">.</w:t>
      </w:r>
    </w:p>
    <w:bookmarkEnd w:id="131"/>
    <w:bookmarkStart w:id="133"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32">
        <w:r>
          <w:rPr>
            <w:rStyle w:val="Hyperlink"/>
          </w:rPr>
          <w:t xml:space="preserve">https://doi.org/10.1186/1471-2458-13-1166</w:t>
        </w:r>
      </w:hyperlink>
      <w:r>
        <w:t xml:space="preserve">.</w:t>
      </w:r>
    </w:p>
    <w:bookmarkEnd w:id="133"/>
    <w:bookmarkStart w:id="135" w:name="ref-Fredriksen2004"/>
    <w:p>
      <w:pPr>
        <w:pStyle w:val="Bibliography"/>
      </w:pPr>
      <w:r>
        <w:t xml:space="preserve">Fredriksen, Katia, Jean Rhodes, Ranjini Reddy, and Niobe Way. 2004.</w:t>
      </w:r>
      <w:r>
        <w:t xml:space="preserve"> </w:t>
      </w:r>
      <w:r>
        <w:t xml:space="preserve">“Sleepless in</w:t>
      </w:r>
      <w:r>
        <w:t xml:space="preserve"> </w:t>
      </w:r>
      <w:r>
        <w:t xml:space="preserve">Chicago</w:t>
      </w:r>
      <w:r>
        <w:t xml:space="preserve">: Tracking the Effects of Adolescent Sleep Loss During the Middle School Years.”</w:t>
      </w:r>
      <w:r>
        <w:t xml:space="preserve"> </w:t>
      </w:r>
      <w:r>
        <w:rPr>
          <w:i/>
          <w:iCs/>
        </w:rPr>
        <w:t xml:space="preserve">Child Development</w:t>
      </w:r>
      <w:r>
        <w:t xml:space="preserve"> </w:t>
      </w:r>
      <w:r>
        <w:t xml:space="preserve">75 (1): 84–95.</w:t>
      </w:r>
      <w:r>
        <w:t xml:space="preserve"> </w:t>
      </w:r>
      <w:hyperlink r:id="rId134">
        <w:r>
          <w:rPr>
            <w:rStyle w:val="Hyperlink"/>
          </w:rPr>
          <w:t xml:space="preserve">https://doi.org/10.1111/j.1467-8624.2004.00655.x</w:t>
        </w:r>
      </w:hyperlink>
      <w:r>
        <w:t xml:space="preserve">.</w:t>
      </w:r>
    </w:p>
    <w:bookmarkEnd w:id="135"/>
    <w:bookmarkStart w:id="137"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36">
        <w:r>
          <w:rPr>
            <w:rStyle w:val="Hyperlink"/>
          </w:rPr>
          <w:t xml:space="preserve">https://cep.lse.ac.uk/_new/publications/abstract.asp?index=5752</w:t>
        </w:r>
      </w:hyperlink>
      <w:r>
        <w:t xml:space="preserve">.</w:t>
      </w:r>
    </w:p>
    <w:bookmarkEnd w:id="137"/>
    <w:bookmarkStart w:id="139"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38">
        <w:r>
          <w:rPr>
            <w:rStyle w:val="Hyperlink"/>
          </w:rPr>
          <w:t xml:space="preserve">https://doi.org/10.1002/berj.3297</w:t>
        </w:r>
      </w:hyperlink>
      <w:r>
        <w:t xml:space="preserve">.</w:t>
      </w:r>
    </w:p>
    <w:bookmarkEnd w:id="139"/>
    <w:bookmarkStart w:id="141"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40">
        <w:r>
          <w:rPr>
            <w:rStyle w:val="Hyperlink"/>
          </w:rPr>
          <w:t xml:space="preserve">https://doi.org/10.1177/2158244018825171</w:t>
        </w:r>
      </w:hyperlink>
      <w:r>
        <w:t xml:space="preserve">.</w:t>
      </w:r>
    </w:p>
    <w:bookmarkEnd w:id="141"/>
    <w:bookmarkStart w:id="143"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42">
        <w:r>
          <w:rPr>
            <w:rStyle w:val="Hyperlink"/>
          </w:rPr>
          <w:t xml:space="preserve">https://doi.org/10.3390/educsci15010006</w:t>
        </w:r>
      </w:hyperlink>
      <w:r>
        <w:t xml:space="preserve">.</w:t>
      </w:r>
    </w:p>
    <w:bookmarkEnd w:id="143"/>
    <w:bookmarkStart w:id="145"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44">
        <w:r>
          <w:rPr>
            <w:rStyle w:val="Hyperlink"/>
          </w:rPr>
          <w:t xml:space="preserve">https://opendocs.ids.ac.uk/articles/report/The_Contribution_of_Education_to_Economic_Growth/26453986/1</w:t>
        </w:r>
      </w:hyperlink>
      <w:r>
        <w:t xml:space="preserve">.</w:t>
      </w:r>
    </w:p>
    <w:bookmarkEnd w:id="145"/>
    <w:bookmarkStart w:id="147"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46">
        <w:r>
          <w:rPr>
            <w:rStyle w:val="Hyperlink"/>
          </w:rPr>
          <w:t xml:space="preserve">https://doi.org/10.1186/s12889-025-22847-5</w:t>
        </w:r>
      </w:hyperlink>
      <w:r>
        <w:t xml:space="preserve">.</w:t>
      </w:r>
    </w:p>
    <w:bookmarkEnd w:id="147"/>
    <w:bookmarkStart w:id="149"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48">
        <w:r>
          <w:rPr>
            <w:rStyle w:val="Hyperlink"/>
          </w:rPr>
          <w:t xml:space="preserve">https://doi.org/10.1016/j.psyneuen.2021.105371</w:t>
        </w:r>
      </w:hyperlink>
      <w:r>
        <w:t xml:space="preserve">.</w:t>
      </w:r>
    </w:p>
    <w:bookmarkEnd w:id="149"/>
    <w:bookmarkStart w:id="151"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50">
        <w:r>
          <w:rPr>
            <w:rStyle w:val="Hyperlink"/>
          </w:rPr>
          <w:t xml:space="preserve">https://www.nfer.ac.uk/publications/supporting-the-attainment-of-disadvantaged-pupils-articulating-success-and-good-practice/</w:t>
        </w:r>
      </w:hyperlink>
      <w:r>
        <w:t xml:space="preserve">.</w:t>
      </w:r>
    </w:p>
    <w:bookmarkEnd w:id="151"/>
    <w:bookmarkStart w:id="153"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52">
        <w:r>
          <w:rPr>
            <w:rStyle w:val="Hyperlink"/>
          </w:rPr>
          <w:t xml:space="preserve">https://doi.org/10.14324/LRE.21.1.20</w:t>
        </w:r>
      </w:hyperlink>
      <w:r>
        <w:t xml:space="preserve">.</w:t>
      </w:r>
    </w:p>
    <w:bookmarkEnd w:id="153"/>
    <w:bookmarkStart w:id="155"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54">
        <w:r>
          <w:rPr>
            <w:rStyle w:val="Hyperlink"/>
          </w:rPr>
          <w:t xml:space="preserve">https://doi.org/10.1111/pcn.13708</w:t>
        </w:r>
      </w:hyperlink>
      <w:r>
        <w:t xml:space="preserve">.</w:t>
      </w:r>
    </w:p>
    <w:bookmarkEnd w:id="155"/>
    <w:bookmarkStart w:id="157"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56">
        <w:r>
          <w:rPr>
            <w:rStyle w:val="Hyperlink"/>
          </w:rPr>
          <w:t xml:space="preserve">https://doi.org/10.1265/ehpm.25-00089</w:t>
        </w:r>
      </w:hyperlink>
      <w:r>
        <w:t xml:space="preserve">.</w:t>
      </w:r>
    </w:p>
    <w:bookmarkEnd w:id="157"/>
    <w:bookmarkStart w:id="159"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58">
        <w:r>
          <w:rPr>
            <w:rStyle w:val="Hyperlink"/>
          </w:rPr>
          <w:t xml:space="preserve">https://doi.org/10.3109/07420528.2013.826238</w:t>
        </w:r>
      </w:hyperlink>
      <w:r>
        <w:t xml:space="preserve">.</w:t>
      </w:r>
    </w:p>
    <w:bookmarkEnd w:id="159"/>
    <w:bookmarkStart w:id="161"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60">
        <w:r>
          <w:rPr>
            <w:rStyle w:val="Hyperlink"/>
          </w:rPr>
          <w:t xml:space="preserve">https://doi.org/10.1007/s41105-017-0086-x</w:t>
        </w:r>
      </w:hyperlink>
      <w:r>
        <w:t xml:space="preserve">.</w:t>
      </w:r>
    </w:p>
    <w:bookmarkEnd w:id="161"/>
    <w:bookmarkStart w:id="163"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62">
        <w:r>
          <w:rPr>
            <w:rStyle w:val="Hyperlink"/>
          </w:rPr>
          <w:t xml:space="preserve">https://www.gov.uk/government/publications/against-the-odds</w:t>
        </w:r>
      </w:hyperlink>
      <w:r>
        <w:t xml:space="preserve">.</w:t>
      </w:r>
    </w:p>
    <w:bookmarkEnd w:id="163"/>
    <w:bookmarkStart w:id="165"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64">
        <w:r>
          <w:rPr>
            <w:rStyle w:val="Hyperlink"/>
          </w:rPr>
          <w:t xml:space="preserve">https://www.gov.uk/government/publications/examining-the-london-advantage-in-attainment-evidence-from-lsype</w:t>
        </w:r>
      </w:hyperlink>
      <w:r>
        <w:t xml:space="preserve">.</w:t>
      </w:r>
    </w:p>
    <w:bookmarkEnd w:id="165"/>
    <w:bookmarkStart w:id="166"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66"/>
    <w:bookmarkStart w:id="168"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67">
        <w:r>
          <w:rPr>
            <w:rStyle w:val="Hyperlink"/>
          </w:rPr>
          <w:t xml:space="preserve">https://doi.org/10.1080/01425692.2025.2474040</w:t>
        </w:r>
      </w:hyperlink>
      <w:r>
        <w:t xml:space="preserve">.</w:t>
      </w:r>
    </w:p>
    <w:bookmarkEnd w:id="168"/>
    <w:bookmarkStart w:id="170"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69">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70"/>
    <w:bookmarkStart w:id="172"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71">
        <w:r>
          <w:rPr>
            <w:rStyle w:val="Hyperlink"/>
          </w:rPr>
          <w:t xml:space="preserve">https://doi.org/10.1007/978-3-031-98300-9_17</w:t>
        </w:r>
      </w:hyperlink>
      <w:r>
        <w:t xml:space="preserve">.</w:t>
      </w:r>
    </w:p>
    <w:bookmarkEnd w:id="172"/>
    <w:bookmarkStart w:id="174"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73">
        <w:r>
          <w:rPr>
            <w:rStyle w:val="Hyperlink"/>
          </w:rPr>
          <w:t xml:space="preserve">https://ffteducationdatalab.org.uk/2023/11/are-pupils-who-live-further-away-from-their-school-absent-more-often/</w:t>
        </w:r>
      </w:hyperlink>
      <w:r>
        <w:t xml:space="preserve">.</w:t>
      </w:r>
    </w:p>
    <w:bookmarkEnd w:id="174"/>
    <w:bookmarkStart w:id="176"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75">
        <w:r>
          <w:rPr>
            <w:rStyle w:val="Hyperlink"/>
          </w:rPr>
          <w:t xml:space="preserve">https://epi.org.uk/annual-report-2023/</w:t>
        </w:r>
      </w:hyperlink>
      <w:r>
        <w:t xml:space="preserve">.</w:t>
      </w:r>
    </w:p>
    <w:bookmarkEnd w:id="176"/>
    <w:bookmarkStart w:id="178"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177">
        <w:r>
          <w:rPr>
            <w:rStyle w:val="Hyperlink"/>
          </w:rPr>
          <w:t xml:space="preserve">https://doi.org/10.1177/0739456X17725148</w:t>
        </w:r>
      </w:hyperlink>
      <w:r>
        <w:t xml:space="preserve">.</w:t>
      </w:r>
    </w:p>
    <w:bookmarkEnd w:id="178"/>
    <w:bookmarkStart w:id="180"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79">
        <w:r>
          <w:rPr>
            <w:rStyle w:val="Hyperlink"/>
          </w:rPr>
          <w:t xml:space="preserve">https://doi.org/10.1016/j.sleep.2018.12.004</w:t>
        </w:r>
      </w:hyperlink>
      <w:r>
        <w:t xml:space="preserve">.</w:t>
      </w:r>
    </w:p>
    <w:bookmarkEnd w:id="180"/>
    <w:bookmarkStart w:id="182"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81">
        <w:r>
          <w:rPr>
            <w:rStyle w:val="Hyperlink"/>
          </w:rPr>
          <w:t xml:space="preserve">https://epi.org.uk/publications-and-research/the-influence-of-headteachers-on-their-schools/</w:t>
        </w:r>
      </w:hyperlink>
      <w:r>
        <w:t xml:space="preserve">.</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https://adamdennett.github.io/BH_Schools_Consultation/about.html</w:t>
        </w:r>
      </w:hyperlink>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30">
        <w:r>
          <w:rPr>
            <w:rStyle w:val="Hyperlink"/>
          </w:rPr>
          <w:t xml:space="preserve">https://adamdennett.github.io/school_attainment_tool/</w:t>
        </w:r>
      </w:hyperlink>
    </w:p>
  </w:footnote>
  <w:footnote w:id="32">
    <w:p>
      <w:pPr>
        <w:pStyle w:val="FootnoteText"/>
      </w:pPr>
      <w:r>
        <w:rPr>
          <w:rStyle w:val="FootnoteReference"/>
        </w:rPr>
        <w:footnoteRef/>
      </w:r>
      <w:r>
        <w:t xml:space="preserve"> </w:t>
      </w:r>
      <w:r>
        <w:t xml:space="preserve">See data overview for details</w:t>
      </w:r>
      <w:r>
        <w:t xml:space="preserve"> </w:t>
      </w:r>
      <w:hyperlink r:id="rId33">
        <w:r>
          <w:rPr>
            <w:rStyle w:val="Hyperlink"/>
          </w:rPr>
          <w:t xml:space="preserve">https://adamdennett.github.io/school_attainment_tool/data_overview.html</w:t>
        </w:r>
      </w:hyperlink>
    </w:p>
  </w:footnote>
  <w:footnote w:id="43">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4">
    <w:p>
      <w:pPr>
        <w:pStyle w:val="FootnoteText"/>
      </w:pPr>
      <w:r>
        <w:rPr>
          <w:rStyle w:val="FootnoteReference"/>
        </w:rPr>
        <w:footnoteRef/>
      </w:r>
      <w:r>
        <w:t xml:space="preserve"> </w:t>
      </w:r>
      <w:r>
        <w:t xml:space="preserve">Stepwise Models for all pupil groups</w:t>
      </w:r>
      <w:r>
        <w:t xml:space="preserve"> </w:t>
      </w:r>
      <w:hyperlink r:id="rId45">
        <w:r>
          <w:rPr>
            <w:rStyle w:val="Hyperlink"/>
          </w:rPr>
          <w:t xml:space="preserve">https://adamdennett.github.io/school_attainment_tool/model_results.html#stepwise-model-building</w:t>
        </w:r>
      </w:hyperlink>
    </w:p>
  </w:footnote>
  <w:footnote w:id="46">
    <w:p>
      <w:pPr>
        <w:pStyle w:val="FootnoteText"/>
      </w:pPr>
      <w:r>
        <w:rPr>
          <w:rStyle w:val="FootnoteReference"/>
        </w:rPr>
        <w:footnoteRef/>
      </w:r>
      <w:r>
        <w:t xml:space="preserve"> </w:t>
      </w:r>
      <w:r>
        <w:t xml:space="preserve">See supplementary material for robustness checks:</w:t>
      </w:r>
      <w:r>
        <w:t xml:space="preserve"> </w:t>
      </w:r>
      <w:hyperlink r:id="rId47">
        <w:r>
          <w:rPr>
            <w:rStyle w:val="Hyperlink"/>
          </w:rPr>
          <w:t xml:space="preserve">https://adamdennett.github.io/school_attainment_tool/model_experiments.html</w:t>
        </w:r>
      </w:hyperlink>
    </w:p>
  </w:footnote>
  <w:footnote w:id="48">
    <w:p>
      <w:pPr>
        <w:pStyle w:val="FootnoteText"/>
      </w:pPr>
      <w:r>
        <w:rPr>
          <w:rStyle w:val="FootnoteReference"/>
        </w:rPr>
        <w:footnoteRef/>
      </w:r>
      <w:r>
        <w:t xml:space="preserve"> </w:t>
      </w:r>
      <w:r>
        <w:t xml:space="preserve">Gorard Segregation was calculated for all LEAs in 2022-23 and shown visually in this piece</w:t>
      </w:r>
      <w:r>
        <w:t xml:space="preserve"> </w:t>
      </w:r>
      <w:hyperlink r:id="rId49">
        <w:r>
          <w:rPr>
            <w:rStyle w:val="Hyperlink"/>
          </w:rPr>
          <w:t xml:space="preserve">https://adamdennett.github.io/BH_Schools_Consultation/absence.html#trick-or-treatment</w:t>
        </w:r>
      </w:hyperlink>
    </w:p>
  </w:footnote>
  <w:footnote w:id="73">
    <w:p>
      <w:pPr>
        <w:pStyle w:val="FootnoteText"/>
      </w:pPr>
      <w:r>
        <w:rPr>
          <w:rStyle w:val="FootnoteReference"/>
        </w:rPr>
        <w:footnoteRef/>
      </w:r>
      <w:r>
        <w:t xml:space="preserve"> </w:t>
      </w:r>
      <w:r>
        <w:t xml:space="preserve">Brighton and Hove Council 2024 Consultation Papers can be downloaded from here:</w:t>
      </w:r>
      <w:r>
        <w:t xml:space="preserve"> </w:t>
      </w:r>
      <w:hyperlink r:id="rId74">
        <w:r>
          <w:rPr>
            <w:rStyle w:val="Hyperlink"/>
          </w:rPr>
          <w:t xml:space="preserve">https://yourvoice.brighton-hove.gov.uk/en-GB/projects/school-admission-arrangements-public-consultation/1</w:t>
        </w:r>
      </w:hyperlink>
    </w:p>
  </w:footnote>
  <w:footnote w:id="76">
    <w:p>
      <w:pPr>
        <w:pStyle w:val="FootnoteText"/>
      </w:pPr>
      <w:r>
        <w:rPr>
          <w:rStyle w:val="FootnoteReference"/>
        </w:rPr>
        <w:footnoteRef/>
      </w:r>
      <w:r>
        <w:t xml:space="preserve"> </w:t>
      </w:r>
      <w:r>
        <w:t xml:space="preserve">Slides available on the Brighton and Hove City Council Website here</w:t>
      </w:r>
      <w:r>
        <w:t xml:space="preserve"> </w:t>
      </w:r>
      <w:hyperlink r:id="rId77">
        <w:r>
          <w:rPr>
            <w:rStyle w:val="Hyperlink"/>
          </w:rPr>
          <w:t xml:space="preserve">https://yourvoice.brighton-hove.gov.uk/en-GB/projects/secondary-school-engagement-exercise/1</w:t>
        </w:r>
      </w:hyperlink>
    </w:p>
  </w:footnote>
  <w:footnote w:id="80">
    <w:p>
      <w:pPr>
        <w:pStyle w:val="FootnoteText"/>
      </w:pPr>
      <w:r>
        <w:rPr>
          <w:rStyle w:val="FootnoteReference"/>
        </w:rPr>
        <w:footnoteRef/>
      </w:r>
      <w:r>
        <w:t xml:space="preserve"> </w:t>
      </w:r>
      <w:hyperlink r:id="rId81">
        <w:r>
          <w:rPr>
            <w:rStyle w:val="Hyperlink"/>
          </w:rPr>
          <w:t xml:space="preserve">https://educationequity.kit.com/</w:t>
        </w:r>
      </w:hyperlink>
    </w:p>
  </w:footnote>
  <w:footnote w:id="82">
    <w:p>
      <w:pPr>
        <w:pStyle w:val="FootnoteText"/>
      </w:pPr>
      <w:r>
        <w:rPr>
          <w:rStyle w:val="FootnoteReference"/>
        </w:rPr>
        <w:footnoteRef/>
      </w:r>
      <w:r>
        <w:t xml:space="preserve"> </w:t>
      </w:r>
      <w:hyperlink r:id="rId83">
        <w:r>
          <w:rPr>
            <w:rStyle w:val="Hyperlink"/>
          </w:rPr>
          <w:t xml:space="preserve">https://www.classdivide.co.uk/</w:t>
        </w:r>
      </w:hyperlink>
    </w:p>
  </w:footnote>
  <w:footnote w:id="84">
    <w:p>
      <w:pPr>
        <w:pStyle w:val="FootnoteText"/>
      </w:pPr>
      <w:r>
        <w:rPr>
          <w:rStyle w:val="FootnoteReference"/>
        </w:rPr>
        <w:footnoteRef/>
      </w:r>
      <w:r>
        <w:t xml:space="preserve"> </w:t>
      </w:r>
      <w:hyperlink r:id="rId85">
        <w:r>
          <w:rPr>
            <w:rStyle w:val="Hyperlink"/>
          </w:rPr>
          <w:t xml:space="preserve">https://reports.ofsted.gov.uk/provider/23/136164</w:t>
        </w:r>
      </w:hyperlink>
    </w:p>
  </w:footnote>
  <w:footnote w:id="90">
    <w:p>
      <w:pPr>
        <w:pStyle w:val="FootnoteText"/>
      </w:pPr>
      <w:r>
        <w:rPr>
          <w:rStyle w:val="FootnoteReference"/>
        </w:rPr>
        <w:footnoteRef/>
      </w:r>
      <w:r>
        <w:t xml:space="preserve"> </w:t>
      </w:r>
      <w:r>
        <w:t xml:space="preserve">School Attainment Policy Simulator:</w:t>
      </w:r>
      <w:r>
        <w:t xml:space="preserve"> </w:t>
      </w:r>
      <w:hyperlink r:id="rId91">
        <w:r>
          <w:rPr>
            <w:rStyle w:val="Hyperlink"/>
          </w:rPr>
          <w:t xml:space="preserve">https://adam-dennett.shinyapps.io/School_Attainment_Policy_Simulator/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hyperlink" Id="rId91"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9"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3" Target="https://adamdennett.github.io/school_attainment_tool/data_overview.html" TargetMode="External" /><Relationship Type="http://schemas.openxmlformats.org/officeDocument/2006/relationships/hyperlink" Id="rId47" Target="https://adamdennett.github.io/school_attainment_tool/model_experiments.html" TargetMode="External" /><Relationship Type="http://schemas.openxmlformats.org/officeDocument/2006/relationships/hyperlink" Id="rId45" Target="https://adamdennett.github.io/school_attainment_tool/model_results.html#stepwise-model-building" TargetMode="External" /><Relationship Type="http://schemas.openxmlformats.org/officeDocument/2006/relationships/hyperlink" Id="rId136" Target="https://cep.lse.ac.uk/_new/publications/abstract.asp?index=5752" TargetMode="External" /><Relationship Type="http://schemas.openxmlformats.org/officeDocument/2006/relationships/hyperlink" Id="rId114" Target="https://committees.parliament.uk/committee/203/education-committee/news/156024/forgotten-white-workingclass-pupils-let-down-by-decades-of-neglect-mps-say/" TargetMode="External" /><Relationship Type="http://schemas.openxmlformats.org/officeDocument/2006/relationships/hyperlink" Id="rId138" Target="https://doi.org/10.1002/berj.3297" TargetMode="External" /><Relationship Type="http://schemas.openxmlformats.org/officeDocument/2006/relationships/hyperlink" Id="rId128" Target="https://doi.org/10.1002/berj.3992" TargetMode="External" /><Relationship Type="http://schemas.openxmlformats.org/officeDocument/2006/relationships/hyperlink" Id="rId171" Target="https://doi.org/10.1007/978-3-031-98300-9_17" TargetMode="External" /><Relationship Type="http://schemas.openxmlformats.org/officeDocument/2006/relationships/hyperlink" Id="rId160" Target="https://doi.org/10.1007/s41105-017-0086-x" TargetMode="External" /><Relationship Type="http://schemas.openxmlformats.org/officeDocument/2006/relationships/hyperlink" Id="rId108" Target="https://doi.org/10.1016/j.econedurev.2023.102405" TargetMode="External" /><Relationship Type="http://schemas.openxmlformats.org/officeDocument/2006/relationships/hyperlink" Id="rId126" Target="https://doi.org/10.1016/j.jth.2023.101605" TargetMode="External" /><Relationship Type="http://schemas.openxmlformats.org/officeDocument/2006/relationships/hyperlink" Id="rId148" Target="https://doi.org/10.1016/j.psyneuen.2021.105371" TargetMode="External" /><Relationship Type="http://schemas.openxmlformats.org/officeDocument/2006/relationships/hyperlink" Id="rId179" Target="https://doi.org/10.1016/j.sleep.2018.12.004" TargetMode="External" /><Relationship Type="http://schemas.openxmlformats.org/officeDocument/2006/relationships/hyperlink" Id="rId167" Target="https://doi.org/10.1080/01425692.2025.2474040" TargetMode="External" /><Relationship Type="http://schemas.openxmlformats.org/officeDocument/2006/relationships/hyperlink" Id="rId102" Target="https://doi.org/10.1080/0305764X.2024.2420611" TargetMode="External" /><Relationship Type="http://schemas.openxmlformats.org/officeDocument/2006/relationships/hyperlink" Id="rId98" Target="https://doi.org/10.1080/09645292.2017.1366425" TargetMode="External" /><Relationship Type="http://schemas.openxmlformats.org/officeDocument/2006/relationships/hyperlink" Id="rId130" Target="https://doi.org/10.1093/ooec/odad029" TargetMode="External" /><Relationship Type="http://schemas.openxmlformats.org/officeDocument/2006/relationships/hyperlink" Id="rId134" Target="https://doi.org/10.1111/j.1467-8624.2004.00655.x" TargetMode="External" /><Relationship Type="http://schemas.openxmlformats.org/officeDocument/2006/relationships/hyperlink" Id="rId100" Target="https://doi.org/10.1111/j.1475-5661.2012.00511.x" TargetMode="External" /><Relationship Type="http://schemas.openxmlformats.org/officeDocument/2006/relationships/hyperlink" Id="rId154" Target="https://doi.org/10.1111/pcn.13708" TargetMode="External" /><Relationship Type="http://schemas.openxmlformats.org/officeDocument/2006/relationships/hyperlink" Id="rId106" Target="https://doi.org/10.1177/0308518X18787820" TargetMode="External" /><Relationship Type="http://schemas.openxmlformats.org/officeDocument/2006/relationships/hyperlink" Id="rId177" Target="https://doi.org/10.1177/0739456X17725148" TargetMode="External" /><Relationship Type="http://schemas.openxmlformats.org/officeDocument/2006/relationships/hyperlink" Id="rId140" Target="https://doi.org/10.1177/2158244018825171" TargetMode="External" /><Relationship Type="http://schemas.openxmlformats.org/officeDocument/2006/relationships/hyperlink" Id="rId132" Target="https://doi.org/10.1186/1471-2458-13-1166" TargetMode="External" /><Relationship Type="http://schemas.openxmlformats.org/officeDocument/2006/relationships/hyperlink" Id="rId146" Target="https://doi.org/10.1186/s12889-025-22847-5" TargetMode="External" /><Relationship Type="http://schemas.openxmlformats.org/officeDocument/2006/relationships/hyperlink" Id="rId156" Target="https://doi.org/10.1265/ehpm.25-00089" TargetMode="External" /><Relationship Type="http://schemas.openxmlformats.org/officeDocument/2006/relationships/hyperlink" Id="rId112" Target="https://doi.org/10.1371/journal.pone.0314687" TargetMode="External" /><Relationship Type="http://schemas.openxmlformats.org/officeDocument/2006/relationships/hyperlink" Id="rId152" Target="https://doi.org/10.14324/LRE.21.1.20" TargetMode="External" /><Relationship Type="http://schemas.openxmlformats.org/officeDocument/2006/relationships/hyperlink" Id="rId116" Target="https://doi.org/10.3102/01623737221092450" TargetMode="External" /><Relationship Type="http://schemas.openxmlformats.org/officeDocument/2006/relationships/hyperlink" Id="rId158" Target="https://doi.org/10.3109/07420528.2013.826238" TargetMode="External" /><Relationship Type="http://schemas.openxmlformats.org/officeDocument/2006/relationships/hyperlink" Id="rId142" Target="https://doi.org/10.3390/educsci15010006" TargetMode="External" /><Relationship Type="http://schemas.openxmlformats.org/officeDocument/2006/relationships/hyperlink" Id="rId81" Target="https://educationequity.kit.com/" TargetMode="External" /><Relationship Type="http://schemas.openxmlformats.org/officeDocument/2006/relationships/hyperlink" Id="rId175" Target="https://epi.org.uk/annual-report-2023/" TargetMode="External" /><Relationship Type="http://schemas.openxmlformats.org/officeDocument/2006/relationships/hyperlink" Id="rId181" Target="https://epi.org.uk/publications-and-research/the-influence-of-headteachers-on-their-schools/" TargetMode="External" /><Relationship Type="http://schemas.openxmlformats.org/officeDocument/2006/relationships/hyperlink" Id="rId122" Target="https://explore-education-statistics.service.gov.uk/find-statistics/pupil-absence-in-schools-in-england/2024-25-autumn-and-spring-term" TargetMode="External" /><Relationship Type="http://schemas.openxmlformats.org/officeDocument/2006/relationships/hyperlink" Id="rId118" Target="https://explore-education-statistics.service.gov.uk/find-statistics/the-link-between-absence-and-attainment-at-ks2-and-ks4/2018-19" TargetMode="External" /><Relationship Type="http://schemas.openxmlformats.org/officeDocument/2006/relationships/hyperlink" Id="rId173" Target="https://ffteducationdatalab.org.uk/2023/11/are-pupils-who-live-further-away-from-their-school-absent-more-often/" TargetMode="External" /><Relationship Type="http://schemas.openxmlformats.org/officeDocument/2006/relationships/hyperlink" Id="rId144" Target="https://opendocs.ids.ac.uk/articles/report/The_Contribution_of_Education_to_Economic_Growth/26453986/1" TargetMode="External" /><Relationship Type="http://schemas.openxmlformats.org/officeDocument/2006/relationships/hyperlink" Id="rId85" Target="https://reports.ofsted.gov.uk/provider/23/136164" TargetMode="External" /><Relationship Type="http://schemas.openxmlformats.org/officeDocument/2006/relationships/hyperlink" Id="rId83" Target="https://www.classdivide.co.uk/" TargetMode="External" /><Relationship Type="http://schemas.openxmlformats.org/officeDocument/2006/relationships/hyperlink" Id="rId162" Target="https://www.gov.uk/government/publications/against-the-odds" TargetMode="External" /><Relationship Type="http://schemas.openxmlformats.org/officeDocument/2006/relationships/hyperlink" Id="rId124" Target="https://www.gov.uk/government/publications/every-child-achieving-and-thriving/every-child-achieving-and-thriving-html-version" TargetMode="External" /><Relationship Type="http://schemas.openxmlformats.org/officeDocument/2006/relationships/hyperlink" Id="rId164" Target="https://www.gov.uk/government/publications/examining-the-london-advantage-in-attainment-evidence-from-lsype" TargetMode="External" /><Relationship Type="http://schemas.openxmlformats.org/officeDocument/2006/relationships/hyperlink" Id="rId120" Target="https://www.gov.uk/government/publications/link-between-attendance-and-attainment" TargetMode="External" /><Relationship Type="http://schemas.openxmlformats.org/officeDocument/2006/relationships/hyperlink" Id="rId169"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50" Target="https://www.nfer.ac.uk/publications/supporting-the-attainment-of-disadvantaged-pupils-articulating-success-and-good-practice/" TargetMode="External" /><Relationship Type="http://schemas.openxmlformats.org/officeDocument/2006/relationships/hyperlink" Id="rId110" Target="https://www.nuffieldfoundation.org/project/characterising-effective-teaching-2" TargetMode="External" /><Relationship Type="http://schemas.openxmlformats.org/officeDocument/2006/relationships/hyperlink" Id="rId104" Target="https://www.urban.org/sites/default/files/publication/99027/time_to_school_and_student_outcomes_in_dc_1.pdf" TargetMode="External" /><Relationship Type="http://schemas.openxmlformats.org/officeDocument/2006/relationships/hyperlink" Id="rId74" Target="https://yourvoice.brighton-hove.gov.uk/en-GB/projects/school-admission-arrangements-public-consultation/1" TargetMode="External" /><Relationship Type="http://schemas.openxmlformats.org/officeDocument/2006/relationships/hyperlink" Id="rId77" Target="https://yourvoice.brighton-hove.gov.uk/en-GB/projects/secondary-school-engagement-exercise/1" TargetMode="External" /></Relationships>
</file>

<file path=word/_rels/footnotes.xml.rels><?xml version="1.0" encoding="UTF-8"?><Relationships xmlns="http://schemas.openxmlformats.org/package/2006/relationships"><Relationship Type="http://schemas.openxmlformats.org/officeDocument/2006/relationships/hyperlink" Id="rId91"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9"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3" Target="https://adamdennett.github.io/school_attainment_tool/data_overview.html" TargetMode="External" /><Relationship Type="http://schemas.openxmlformats.org/officeDocument/2006/relationships/hyperlink" Id="rId47" Target="https://adamdennett.github.io/school_attainment_tool/model_experiments.html" TargetMode="External" /><Relationship Type="http://schemas.openxmlformats.org/officeDocument/2006/relationships/hyperlink" Id="rId45" Target="https://adamdennett.github.io/school_attainment_tool/model_results.html#stepwise-model-building" TargetMode="External" /><Relationship Type="http://schemas.openxmlformats.org/officeDocument/2006/relationships/hyperlink" Id="rId136" Target="https://cep.lse.ac.uk/_new/publications/abstract.asp?index=5752" TargetMode="External" /><Relationship Type="http://schemas.openxmlformats.org/officeDocument/2006/relationships/hyperlink" Id="rId114" Target="https://committees.parliament.uk/committee/203/education-committee/news/156024/forgotten-white-workingclass-pupils-let-down-by-decades-of-neglect-mps-say/" TargetMode="External" /><Relationship Type="http://schemas.openxmlformats.org/officeDocument/2006/relationships/hyperlink" Id="rId138" Target="https://doi.org/10.1002/berj.3297" TargetMode="External" /><Relationship Type="http://schemas.openxmlformats.org/officeDocument/2006/relationships/hyperlink" Id="rId128" Target="https://doi.org/10.1002/berj.3992" TargetMode="External" /><Relationship Type="http://schemas.openxmlformats.org/officeDocument/2006/relationships/hyperlink" Id="rId171" Target="https://doi.org/10.1007/978-3-031-98300-9_17" TargetMode="External" /><Relationship Type="http://schemas.openxmlformats.org/officeDocument/2006/relationships/hyperlink" Id="rId160" Target="https://doi.org/10.1007/s41105-017-0086-x" TargetMode="External" /><Relationship Type="http://schemas.openxmlformats.org/officeDocument/2006/relationships/hyperlink" Id="rId108" Target="https://doi.org/10.1016/j.econedurev.2023.102405" TargetMode="External" /><Relationship Type="http://schemas.openxmlformats.org/officeDocument/2006/relationships/hyperlink" Id="rId126" Target="https://doi.org/10.1016/j.jth.2023.101605" TargetMode="External" /><Relationship Type="http://schemas.openxmlformats.org/officeDocument/2006/relationships/hyperlink" Id="rId148" Target="https://doi.org/10.1016/j.psyneuen.2021.105371" TargetMode="External" /><Relationship Type="http://schemas.openxmlformats.org/officeDocument/2006/relationships/hyperlink" Id="rId179" Target="https://doi.org/10.1016/j.sleep.2018.12.004" TargetMode="External" /><Relationship Type="http://schemas.openxmlformats.org/officeDocument/2006/relationships/hyperlink" Id="rId167" Target="https://doi.org/10.1080/01425692.2025.2474040" TargetMode="External" /><Relationship Type="http://schemas.openxmlformats.org/officeDocument/2006/relationships/hyperlink" Id="rId102" Target="https://doi.org/10.1080/0305764X.2024.2420611" TargetMode="External" /><Relationship Type="http://schemas.openxmlformats.org/officeDocument/2006/relationships/hyperlink" Id="rId98" Target="https://doi.org/10.1080/09645292.2017.1366425" TargetMode="External" /><Relationship Type="http://schemas.openxmlformats.org/officeDocument/2006/relationships/hyperlink" Id="rId130" Target="https://doi.org/10.1093/ooec/odad029" TargetMode="External" /><Relationship Type="http://schemas.openxmlformats.org/officeDocument/2006/relationships/hyperlink" Id="rId134" Target="https://doi.org/10.1111/j.1467-8624.2004.00655.x" TargetMode="External" /><Relationship Type="http://schemas.openxmlformats.org/officeDocument/2006/relationships/hyperlink" Id="rId100" Target="https://doi.org/10.1111/j.1475-5661.2012.00511.x" TargetMode="External" /><Relationship Type="http://schemas.openxmlformats.org/officeDocument/2006/relationships/hyperlink" Id="rId154" Target="https://doi.org/10.1111/pcn.13708" TargetMode="External" /><Relationship Type="http://schemas.openxmlformats.org/officeDocument/2006/relationships/hyperlink" Id="rId106" Target="https://doi.org/10.1177/0308518X18787820" TargetMode="External" /><Relationship Type="http://schemas.openxmlformats.org/officeDocument/2006/relationships/hyperlink" Id="rId177" Target="https://doi.org/10.1177/0739456X17725148" TargetMode="External" /><Relationship Type="http://schemas.openxmlformats.org/officeDocument/2006/relationships/hyperlink" Id="rId140" Target="https://doi.org/10.1177/2158244018825171" TargetMode="External" /><Relationship Type="http://schemas.openxmlformats.org/officeDocument/2006/relationships/hyperlink" Id="rId132" Target="https://doi.org/10.1186/1471-2458-13-1166" TargetMode="External" /><Relationship Type="http://schemas.openxmlformats.org/officeDocument/2006/relationships/hyperlink" Id="rId146" Target="https://doi.org/10.1186/s12889-025-22847-5" TargetMode="External" /><Relationship Type="http://schemas.openxmlformats.org/officeDocument/2006/relationships/hyperlink" Id="rId156" Target="https://doi.org/10.1265/ehpm.25-00089" TargetMode="External" /><Relationship Type="http://schemas.openxmlformats.org/officeDocument/2006/relationships/hyperlink" Id="rId112" Target="https://doi.org/10.1371/journal.pone.0314687" TargetMode="External" /><Relationship Type="http://schemas.openxmlformats.org/officeDocument/2006/relationships/hyperlink" Id="rId152" Target="https://doi.org/10.14324/LRE.21.1.20" TargetMode="External" /><Relationship Type="http://schemas.openxmlformats.org/officeDocument/2006/relationships/hyperlink" Id="rId116" Target="https://doi.org/10.3102/01623737221092450" TargetMode="External" /><Relationship Type="http://schemas.openxmlformats.org/officeDocument/2006/relationships/hyperlink" Id="rId158" Target="https://doi.org/10.3109/07420528.2013.826238" TargetMode="External" /><Relationship Type="http://schemas.openxmlformats.org/officeDocument/2006/relationships/hyperlink" Id="rId142" Target="https://doi.org/10.3390/educsci15010006" TargetMode="External" /><Relationship Type="http://schemas.openxmlformats.org/officeDocument/2006/relationships/hyperlink" Id="rId81" Target="https://educationequity.kit.com/" TargetMode="External" /><Relationship Type="http://schemas.openxmlformats.org/officeDocument/2006/relationships/hyperlink" Id="rId175" Target="https://epi.org.uk/annual-report-2023/" TargetMode="External" /><Relationship Type="http://schemas.openxmlformats.org/officeDocument/2006/relationships/hyperlink" Id="rId181" Target="https://epi.org.uk/publications-and-research/the-influence-of-headteachers-on-their-schools/" TargetMode="External" /><Relationship Type="http://schemas.openxmlformats.org/officeDocument/2006/relationships/hyperlink" Id="rId122" Target="https://explore-education-statistics.service.gov.uk/find-statistics/pupil-absence-in-schools-in-england/2024-25-autumn-and-spring-term" TargetMode="External" /><Relationship Type="http://schemas.openxmlformats.org/officeDocument/2006/relationships/hyperlink" Id="rId118" Target="https://explore-education-statistics.service.gov.uk/find-statistics/the-link-between-absence-and-attainment-at-ks2-and-ks4/2018-19" TargetMode="External" /><Relationship Type="http://schemas.openxmlformats.org/officeDocument/2006/relationships/hyperlink" Id="rId173" Target="https://ffteducationdatalab.org.uk/2023/11/are-pupils-who-live-further-away-from-their-school-absent-more-often/" TargetMode="External" /><Relationship Type="http://schemas.openxmlformats.org/officeDocument/2006/relationships/hyperlink" Id="rId144" Target="https://opendocs.ids.ac.uk/articles/report/The_Contribution_of_Education_to_Economic_Growth/26453986/1" TargetMode="External" /><Relationship Type="http://schemas.openxmlformats.org/officeDocument/2006/relationships/hyperlink" Id="rId85" Target="https://reports.ofsted.gov.uk/provider/23/136164" TargetMode="External" /><Relationship Type="http://schemas.openxmlformats.org/officeDocument/2006/relationships/hyperlink" Id="rId83" Target="https://www.classdivide.co.uk/" TargetMode="External" /><Relationship Type="http://schemas.openxmlformats.org/officeDocument/2006/relationships/hyperlink" Id="rId162" Target="https://www.gov.uk/government/publications/against-the-odds" TargetMode="External" /><Relationship Type="http://schemas.openxmlformats.org/officeDocument/2006/relationships/hyperlink" Id="rId124" Target="https://www.gov.uk/government/publications/every-child-achieving-and-thriving/every-child-achieving-and-thriving-html-version" TargetMode="External" /><Relationship Type="http://schemas.openxmlformats.org/officeDocument/2006/relationships/hyperlink" Id="rId164" Target="https://www.gov.uk/government/publications/examining-the-london-advantage-in-attainment-evidence-from-lsype" TargetMode="External" /><Relationship Type="http://schemas.openxmlformats.org/officeDocument/2006/relationships/hyperlink" Id="rId120" Target="https://www.gov.uk/government/publications/link-between-attendance-and-attainment" TargetMode="External" /><Relationship Type="http://schemas.openxmlformats.org/officeDocument/2006/relationships/hyperlink" Id="rId169"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50" Target="https://www.nfer.ac.uk/publications/supporting-the-attainment-of-disadvantaged-pupils-articulating-success-and-good-practice/" TargetMode="External" /><Relationship Type="http://schemas.openxmlformats.org/officeDocument/2006/relationships/hyperlink" Id="rId110" Target="https://www.nuffieldfoundation.org/project/characterising-effective-teaching-2" TargetMode="External" /><Relationship Type="http://schemas.openxmlformats.org/officeDocument/2006/relationships/hyperlink" Id="rId104" Target="https://www.urban.org/sites/default/files/publication/99027/time_to_school_and_student_outcomes_in_dc_1.pdf" TargetMode="External" /><Relationship Type="http://schemas.openxmlformats.org/officeDocument/2006/relationships/hyperlink" Id="rId74" Target="https://yourvoice.brighton-hove.gov.uk/en-GB/projects/school-admission-arrangements-public-consultation/1" TargetMode="External" /><Relationship Type="http://schemas.openxmlformats.org/officeDocument/2006/relationships/hyperlink" Id="rId77" Target="https://yourvoice.brighton-hove.gov.uk/en-GB/projects/secondary-school-engagement-exercis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Pull the Right Lever: School Attainment, Open Data Analytics and Local Education Policy in England</dc:title>
  <dc:creator>Adam Dennett; Dan Campbell-Meiklejohn</dc:creator>
  <cp:keywords>school attainment, education policy, school absence, disadvantage gap, multilevel modelling, open data</cp:keywords>
  <dcterms:created xsi:type="dcterms:W3CDTF">2026-04-14T19:49:46Z</dcterms:created>
  <dcterms:modified xsi:type="dcterms:W3CDTF">2026-04-14T19:49:46Z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its 2026 White Paper, the UK government has set a worthwhile and ambitious target to halve the disadvantage attainment gap in education. Achieving improvements in disadvantaged student attainment requires local education authorities to understand their local situations and the specific drivers in their areas. But it is all too easy to pull the wrong policy lever when the research is complex and local intelligence is incomplete. Recent experiences in Brighton and Hove have highlighted the gap between open data and actionable information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would be reduced by moving children around a large city to increase mixing of socioeconomic status in schools. Our analysis revealed this policy would likely have little impact on attainment in the context of the city, but have considerable social costs. In contrast, Brighton and Hove has the second worst absence rate in England. The council policy was pulling a costly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2026-04-14</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Lessons from Brighton and Hove</vt:lpwstr>
  </property>
  <property fmtid="{D5CDD505-2E9C-101B-9397-08002B2CF9AE}" pid="18" name="toc-title">
    <vt:lpwstr>Table of contents</vt:lpwstr>
  </property>
</Properties>
</file>