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48"/>
        </w:rPr>
        <w:t>UPDATED PROJECT HANDOFF</w:t>
        <w:br/>
        <w:t>DOMINION HOME DEALS / SENTINEL / DIALER</w:t>
      </w:r>
    </w:p>
    <w:p>
      <w:pPr>
        <w:jc w:val="center"/>
      </w:pPr>
      <w:r>
        <w:rPr>
          <w:i/>
          <w:color w:val="4B5563"/>
          <w:sz w:val="23"/>
        </w:rPr>
        <w:t>Trajectory reset based on the updated source documents and the implementation work completed through the current session</w:t>
      </w:r>
    </w:p>
    <w:tbl>
      <w:tblPr>
        <w:tblW w:type="auto" w:w="0"/>
        <w:jc w:val="center"/>
        <w:tblLayout w:type="fixed"/>
        <w:tblLook w:firstColumn="1" w:firstRow="1" w:lastColumn="0" w:lastRow="0" w:noHBand="0" w:noVBand="1" w:val="04A0"/>
        <w:tblBorders>
          <w:top w:val="single" w:sz="8" w:color="D9E2F2"/>
          <w:left w:val="single" w:sz="8" w:color="D9E2F2"/>
          <w:bottom w:val="single" w:sz="8" w:color="D9E2F2"/>
          <w:right w:val="single" w:sz="8" w:color="D9E2F2"/>
          <w:insideH w:val="single" w:sz="8" w:color="D9E2F2"/>
          <w:insideV w:val="single" w:sz="8" w:color="D9E2F2"/>
        </w:tblBorders>
      </w:tblPr>
      <w:tblGrid>
        <w:gridCol w:w="2880"/>
        <w:gridCol w:w="6624"/>
      </w:tblGrid>
      <w:tr>
        <w:tc>
          <w:tcPr>
            <w:tcW w:type="dxa" w:w="2880"/>
            <w:tcMar>
              <w:top w:w="90" w:type="dxa"/>
              <w:start w:w="110" w:type="dxa"/>
              <w:bottom w:w="90" w:type="dxa"/>
              <w:end w:w="110" w:type="dxa"/>
            </w:tcMar>
            <w:vAlign w:val="center"/>
            <w:shd w:fill="DCE6F1"/>
          </w:tcPr>
          <w:p>
            <w:r>
              <w:rPr>
                <w:b/>
                <w:color w:val="17365D"/>
                <w:sz w:val="20"/>
              </w:rPr>
              <w:t>Prepared for</w:t>
            </w:r>
          </w:p>
        </w:tc>
        <w:tc>
          <w:tcPr>
            <w:tcW w:type="dxa" w:w="6624"/>
            <w:tcMar>
              <w:top w:w="90" w:type="dxa"/>
              <w:start w:w="110" w:type="dxa"/>
              <w:bottom w:w="90" w:type="dxa"/>
              <w:end w:w="110" w:type="dxa"/>
            </w:tcMar>
            <w:vAlign w:val="center"/>
            <w:shd w:fill="F7FAFC"/>
          </w:tcPr>
          <w:p>
            <w:r>
              <w:rPr>
                <w:sz w:val="20"/>
              </w:rPr>
              <w:t>Dominion Home Deals / Sentinel product and implementation handoff</w:t>
            </w:r>
          </w:p>
        </w:tc>
      </w:tr>
      <w:tr>
        <w:tc>
          <w:tcPr>
            <w:tcW w:type="dxa" w:w="2880"/>
            <w:tcMar>
              <w:top w:w="90" w:type="dxa"/>
              <w:start w:w="110" w:type="dxa"/>
              <w:bottom w:w="90" w:type="dxa"/>
              <w:end w:w="110" w:type="dxa"/>
            </w:tcMar>
            <w:vAlign w:val="center"/>
            <w:shd w:fill="DCE6F1"/>
          </w:tcPr>
          <w:p>
            <w:r>
              <w:rPr>
                <w:b/>
                <w:color w:val="17365D"/>
                <w:sz w:val="20"/>
              </w:rPr>
              <w:t>Prepared from</w:t>
            </w:r>
          </w:p>
        </w:tc>
        <w:tc>
          <w:tcPr>
            <w:tcW w:type="dxa" w:w="6624"/>
            <w:tcMar>
              <w:top w:w="90" w:type="dxa"/>
              <w:start w:w="110" w:type="dxa"/>
              <w:bottom w:w="90" w:type="dxa"/>
              <w:end w:w="110" w:type="dxa"/>
            </w:tcMar>
            <w:vAlign w:val="center"/>
            <w:shd w:fill="F7FAFC"/>
          </w:tcPr>
          <w:p>
            <w:r>
              <w:rPr>
                <w:sz w:val="20"/>
              </w:rPr>
              <w:t>Updated dialer handoff, anticipatory master strategy, anticipatory 90-day priorities, and implementation status through this conversation</w:t>
            </w:r>
          </w:p>
        </w:tc>
      </w:tr>
      <w:tr>
        <w:tc>
          <w:tcPr>
            <w:tcW w:type="dxa" w:w="2880"/>
            <w:tcMar>
              <w:top w:w="90" w:type="dxa"/>
              <w:start w:w="110" w:type="dxa"/>
              <w:bottom w:w="90" w:type="dxa"/>
              <w:end w:w="110" w:type="dxa"/>
            </w:tcMar>
            <w:vAlign w:val="center"/>
            <w:shd w:fill="DCE6F1"/>
          </w:tcPr>
          <w:p>
            <w:r>
              <w:rPr>
                <w:b/>
                <w:color w:val="17365D"/>
                <w:sz w:val="20"/>
              </w:rPr>
              <w:t>Current position</w:t>
            </w:r>
          </w:p>
        </w:tc>
        <w:tc>
          <w:tcPr>
            <w:tcW w:type="dxa" w:w="6624"/>
            <w:tcMar>
              <w:top w:w="90" w:type="dxa"/>
              <w:start w:w="110" w:type="dxa"/>
              <w:bottom w:w="90" w:type="dxa"/>
              <w:end w:w="110" w:type="dxa"/>
            </w:tcMar>
            <w:vAlign w:val="center"/>
            <w:shd w:fill="F7FAFC"/>
          </w:tcPr>
          <w:p>
            <w:r>
              <w:rPr>
                <w:sz w:val="20"/>
              </w:rPr>
              <w:t>Phase 1 largely implemented on the session-backed Call Lead path; Phase 2 should begin as a tightly scoped intelligence-layer build, not a broad rewrite</w:t>
            </w:r>
          </w:p>
        </w:tc>
      </w:tr>
      <w:tr>
        <w:tc>
          <w:tcPr>
            <w:tcW w:type="dxa" w:w="2880"/>
            <w:tcMar>
              <w:top w:w="90" w:type="dxa"/>
              <w:start w:w="110" w:type="dxa"/>
              <w:bottom w:w="90" w:type="dxa"/>
              <w:end w:w="110" w:type="dxa"/>
            </w:tcMar>
            <w:vAlign w:val="center"/>
            <w:shd w:fill="DCE6F1"/>
          </w:tcPr>
          <w:p>
            <w:r>
              <w:rPr>
                <w:b/>
                <w:color w:val="17365D"/>
                <w:sz w:val="20"/>
              </w:rPr>
              <w:t>Primary goal</w:t>
            </w:r>
          </w:p>
        </w:tc>
        <w:tc>
          <w:tcPr>
            <w:tcW w:type="dxa" w:w="6624"/>
            <w:tcMar>
              <w:top w:w="90" w:type="dxa"/>
              <w:start w:w="110" w:type="dxa"/>
              <w:bottom w:w="90" w:type="dxa"/>
              <w:end w:w="110" w:type="dxa"/>
            </w:tcMar>
            <w:vAlign w:val="center"/>
            <w:shd w:fill="F7FAFC"/>
          </w:tcPr>
          <w:p>
            <w:r>
              <w:rPr>
                <w:sz w:val="20"/>
              </w:rPr>
              <w:t>Increase contracts per founder-hour by making the dialer a real conversation operating system around Logan, not a telephony add-on</w:t>
            </w:r>
          </w:p>
        </w:tc>
      </w:tr>
    </w:tbl>
    <w:p/>
    <w:p>
      <w:pPr>
        <w:pStyle w:val="Callout"/>
        <w:jc w:val="center"/>
      </w:pPr>
      <w:r>
        <w:rPr>
          <w:b/>
          <w:sz w:val="22"/>
        </w:rPr>
        <w:t>North star: build a two-person operating machine that closes more deals with less support labor. The dialer exists to improve seller conversations, follow-up reliability, context recall, and post-call discipline — not to become software theater.</w:t>
      </w:r>
    </w:p>
    <w:p/>
    <w:p/>
    <w:p>
      <w:r>
        <w:br w:type="page"/>
      </w:r>
    </w:p>
    <w:p>
      <w:pPr>
        <w:pStyle w:val="Heading1"/>
      </w:pPr>
      <w:r>
        <w:t>1. Executive orientation</w:t>
      </w:r>
    </w:p>
    <w:p>
      <w:r>
        <w:t>This handoff supersedes the earlier dialer-only handoff where they conflict. It keeps the original boundary rules, but updates the trajectory using the newer anticipatory strategy documents and the implementation work already completed. The goal is not to preserve old PR sequencing for its own sake; the goal is to keep the dialer on the shortest path to more seller conversations, cleaner follow-up, stronger memory, and more contracts per Logan-hour.</w:t>
      </w:r>
    </w:p>
    <w:tbl>
      <w:tblPr>
        <w:tblW w:type="auto" w:w="0"/>
        <w:tblLook w:firstColumn="1" w:firstRow="1" w:lastColumn="0" w:lastRow="0" w:noHBand="0" w:noVBand="1" w:val="04A0"/>
        <w:tblBorders>
          <w:top w:val="single" w:sz="8" w:color="BFD7EE"/>
          <w:left w:val="single" w:sz="8" w:color="BFD7EE"/>
          <w:bottom w:val="single" w:sz="8" w:color="BFD7EE"/>
          <w:right w:val="single" w:sz="8" w:color="BFD7EE"/>
          <w:insideH w:val="single" w:sz="8" w:color="BFD7EE"/>
          <w:insideV w:val="single" w:sz="8" w:color="BFD7EE"/>
        </w:tblBorders>
      </w:tblPr>
      <w:tblGrid>
        <w:gridCol w:w="9792"/>
      </w:tblGrid>
      <w:tr>
        <w:tc>
          <w:tcPr>
            <w:tcW w:type="dxa" w:w="9792"/>
            <w:shd w:fill="EFF6FF"/>
            <w:tcMar>
              <w:top w:w="120" w:type="dxa"/>
              <w:start w:w="130" w:type="dxa"/>
              <w:bottom w:w="120" w:type="dxa"/>
              <w:end w:w="130" w:type="dxa"/>
            </w:tcMar>
          </w:tcPr>
          <w:p>
            <w:r>
              <w:rPr>
                <w:b/>
                <w:color w:val="17365D"/>
                <w:sz w:val="21"/>
              </w:rPr>
              <w:t>Key interpretation: the dialer is no longer just “PR3 + PR3b.” It is now the active conversation workspace inside a larger Sentinel operating machine. Phase 2 should not be framed as “make it smarter in general.” It should be framed as “add the smallest intelligence layer that makes live calling, memory, and post-call discipline materially better without breaking the CRM/dialer boundary.”</w:t>
            </w:r>
          </w:p>
        </w:tc>
      </w:tr>
    </w:tbl>
    <w:p>
      <w:pPr>
        <w:pStyle w:val="Heading1"/>
      </w:pPr>
      <w:r>
        <w:t>2. Business objective and decision filter</w:t>
      </w:r>
    </w:p>
    <w:p>
      <w:r>
        <w:t>Everything in this dialer effort should still be filtered through one business question: does it improve contracts per founder-hour, speed-to-lead, follow-up reliability, trust, or monetization enough to justify the complexity?</w:t>
      </w:r>
    </w:p>
    <w:p>
      <w:pPr>
        <w:pStyle w:val="ListBullet"/>
      </w:pPr>
      <w:r>
        <w:rPr>
          <w:sz w:val="21"/>
        </w:rPr>
        <w:t>Do not optimize for anti-AI ideology.</w:t>
      </w:r>
    </w:p>
    <w:p>
      <w:pPr>
        <w:pStyle w:val="ListBullet"/>
      </w:pPr>
      <w:r>
        <w:rPr>
          <w:sz w:val="21"/>
        </w:rPr>
        <w:t>Do not optimize for “AI everywhere.”</w:t>
      </w:r>
    </w:p>
    <w:p>
      <w:pPr>
        <w:pStyle w:val="ListBullet"/>
      </w:pPr>
      <w:r>
        <w:rPr>
          <w:sz w:val="21"/>
        </w:rPr>
        <w:t>Optimize for a small team performing like a much larger operation.</w:t>
      </w:r>
    </w:p>
    <w:p>
      <w:pPr>
        <w:pStyle w:val="ListBullet"/>
      </w:pPr>
      <w:r>
        <w:rPr>
          <w:sz w:val="21"/>
        </w:rPr>
        <w:t>Prefer narrow, high-adoption workflow improvements over broad architecture gestures.</w:t>
      </w:r>
    </w:p>
    <w:p>
      <w:pPr>
        <w:pStyle w:val="Heading1"/>
      </w:pPr>
      <w:r>
        <w:t>3. Updated product doctrine for the dialer</w:t>
      </w:r>
    </w:p>
    <w:p>
      <w:r>
        <w:t>The dialer should be treated as a conversation operating system. That means it owns the live workspace around seller conversations before curated outputs are promoted into Sentinel.</w:t>
      </w:r>
    </w:p>
    <w:tbl>
      <w:tblPr>
        <w:tblW w:type="auto" w:w="0"/>
        <w:jc w:val="center"/>
        <w:tblLayout w:type="fixed"/>
        <w:tblLook w:firstColumn="1" w:firstRow="1" w:lastColumn="0" w:lastRow="0" w:noHBand="0" w:noVBand="1" w:val="04A0"/>
        <w:tblBorders>
          <w:top w:val="single" w:sz="8" w:color="D9E2F2"/>
          <w:left w:val="single" w:sz="8" w:color="D9E2F2"/>
          <w:bottom w:val="single" w:sz="8" w:color="D9E2F2"/>
          <w:right w:val="single" w:sz="8" w:color="D9E2F2"/>
          <w:insideH w:val="single" w:sz="8" w:color="D9E2F2"/>
          <w:insideV w:val="single" w:sz="8" w:color="D9E2F2"/>
        </w:tblBorders>
      </w:tblPr>
      <w:tblGrid>
        <w:gridCol w:w="2592"/>
        <w:gridCol w:w="7200"/>
      </w:tblGrid>
      <w:tr>
        <w:tc>
          <w:tcPr>
            <w:tcW w:type="dxa" w:w="4896"/>
            <w:shd w:fill="17365D"/>
            <w:tcMar>
              <w:top w:w="110" w:type="dxa"/>
              <w:start w:w="110" w:type="dxa"/>
              <w:bottom w:w="110" w:type="dxa"/>
              <w:end w:w="110" w:type="dxa"/>
            </w:tcMar>
          </w:tcPr>
          <w:p>
            <w:r>
              <w:rPr>
                <w:b/>
                <w:color w:val="FFFFFF"/>
                <w:sz w:val="21"/>
              </w:rPr>
              <w:t>Doctrine</w:t>
            </w:r>
          </w:p>
        </w:tc>
        <w:tc>
          <w:tcPr>
            <w:tcW w:type="dxa" w:w="4896"/>
            <w:shd w:fill="17365D"/>
            <w:tcMar>
              <w:top w:w="110" w:type="dxa"/>
              <w:start w:w="110" w:type="dxa"/>
              <w:bottom w:w="110" w:type="dxa"/>
              <w:end w:w="110" w:type="dxa"/>
            </w:tcMar>
          </w:tcPr>
          <w:p>
            <w:r>
              <w:rPr>
                <w:b/>
                <w:color w:val="FFFFFF"/>
                <w:sz w:val="21"/>
              </w:rPr>
              <w:t>Meaning</w:t>
            </w:r>
          </w:p>
        </w:tc>
      </w:tr>
      <w:tr>
        <w:tc>
          <w:tcPr>
            <w:tcW w:type="dxa" w:w="2592"/>
            <w:tcMar>
              <w:top w:w="100" w:type="dxa"/>
              <w:start w:w="110" w:type="dxa"/>
              <w:bottom w:w="100" w:type="dxa"/>
              <w:end w:w="110" w:type="dxa"/>
            </w:tcMar>
            <w:vAlign w:val="center"/>
            <w:shd w:fill="EAF1FB"/>
          </w:tcPr>
          <w:p>
            <w:r>
              <w:rPr>
                <w:b/>
              </w:rPr>
              <w:t>The dialer is</w:t>
            </w:r>
          </w:p>
        </w:tc>
        <w:tc>
          <w:tcPr>
            <w:tcW w:type="dxa" w:w="7200"/>
            <w:tcMar>
              <w:top w:w="100" w:type="dxa"/>
              <w:start w:w="110" w:type="dxa"/>
              <w:bottom w:w="100" w:type="dxa"/>
              <w:end w:w="110" w:type="dxa"/>
            </w:tcMar>
            <w:vAlign w:val="center"/>
            <w:shd w:fill="FAFCFE"/>
          </w:tcPr>
          <w:p>
            <w:r>
              <w:t>Active workspace during and immediately around the call; session owner; structured outcome capture; memory and suggestion layer; post-call discipline surface.</w:t>
            </w:r>
          </w:p>
        </w:tc>
      </w:tr>
      <w:tr>
        <w:tc>
          <w:tcPr>
            <w:tcW w:type="dxa" w:w="2592"/>
            <w:tcMar>
              <w:top w:w="100" w:type="dxa"/>
              <w:start w:w="110" w:type="dxa"/>
              <w:bottom w:w="100" w:type="dxa"/>
              <w:end w:w="110" w:type="dxa"/>
            </w:tcMar>
            <w:vAlign w:val="center"/>
            <w:shd w:fill="EAF1FB"/>
          </w:tcPr>
          <w:p>
            <w:r>
              <w:rPr>
                <w:b/>
              </w:rPr>
              <w:t>The dialer is not</w:t>
            </w:r>
          </w:p>
        </w:tc>
        <w:tc>
          <w:tcPr>
            <w:tcW w:type="dxa" w:w="7200"/>
            <w:tcMar>
              <w:top w:w="100" w:type="dxa"/>
              <w:start w:w="110" w:type="dxa"/>
              <w:bottom w:w="100" w:type="dxa"/>
              <w:end w:w="110" w:type="dxa"/>
            </w:tcMar>
            <w:vAlign w:val="center"/>
            <w:shd w:fill="FAFCFE"/>
          </w:tcPr>
          <w:p>
            <w:r>
              <w:t>A generic CRM module, a call-center ACD, a place for durable customer truth, or an excuse to stuff live call UI into the client-file modal.</w:t>
            </w:r>
          </w:p>
        </w:tc>
      </w:tr>
      <w:tr>
        <w:tc>
          <w:tcPr>
            <w:tcW w:type="dxa" w:w="2592"/>
            <w:tcMar>
              <w:top w:w="100" w:type="dxa"/>
              <w:start w:w="110" w:type="dxa"/>
              <w:bottom w:w="100" w:type="dxa"/>
              <w:end w:w="110" w:type="dxa"/>
            </w:tcMar>
            <w:vAlign w:val="center"/>
            <w:shd w:fill="EAF1FB"/>
          </w:tcPr>
          <w:p>
            <w:r>
              <w:rPr>
                <w:b/>
              </w:rPr>
              <w:t>Success standard</w:t>
            </w:r>
          </w:p>
        </w:tc>
        <w:tc>
          <w:tcPr>
            <w:tcW w:type="dxa" w:w="7200"/>
            <w:tcMar>
              <w:top w:w="100" w:type="dxa"/>
              <w:start w:w="110" w:type="dxa"/>
              <w:bottom w:w="100" w:type="dxa"/>
              <w:end w:w="110" w:type="dxa"/>
            </w:tcMar>
            <w:vAlign w:val="center"/>
            <w:shd w:fill="FAFCFE"/>
          </w:tcPr>
          <w:p>
            <w:r>
              <w:t>Every serious live call creates a structured record, lets the operator publish curated facts quickly, schedules the next follow-up, and improves the next conversation through better memory and preparation.</w:t>
            </w:r>
          </w:p>
        </w:tc>
      </w:tr>
    </w:tbl>
    <w:p>
      <w:pPr>
        <w:pStyle w:val="Heading1"/>
      </w:pPr>
      <w:r>
        <w:t>4. Boundary rules that remain non-negotiable</w:t>
      </w:r>
    </w:p>
    <w:p>
      <w:pPr>
        <w:pStyle w:val="ListBullet"/>
      </w:pPr>
      <w:r>
        <w:rPr>
          <w:sz w:val="21"/>
        </w:rPr>
        <w:t>Client file / CRM = durable truth. Dialer = volatile call-session workspace.</w:t>
      </w:r>
    </w:p>
    <w:p>
      <w:pPr>
        <w:pStyle w:val="ListBullet"/>
      </w:pPr>
      <w:r>
        <w:rPr>
          <w:sz w:val="21"/>
        </w:rPr>
        <w:t>crm-bridge.ts remains the only dialer read path into CRM-owned tables.</w:t>
      </w:r>
    </w:p>
    <w:p>
      <w:pPr>
        <w:pStyle w:val="ListBullet"/>
      </w:pPr>
      <w:r>
        <w:rPr>
          <w:sz w:val="21"/>
        </w:rPr>
        <w:t>publish-manager.ts remains the only dialer write path back into CRM-owned tables.</w:t>
      </w:r>
    </w:p>
    <w:p>
      <w:pPr>
        <w:pStyle w:val="ListBullet"/>
      </w:pPr>
      <w:r>
        <w:rPr>
          <w:sz w:val="21"/>
        </w:rPr>
        <w:t>master-client-file-modal.tsx must not absorb live call UI, AI suggestions, live notes, session state, or disposition UI.</w:t>
      </w:r>
    </w:p>
    <w:p>
      <w:pPr>
        <w:pStyle w:val="ListBullet"/>
      </w:pPr>
      <w:r>
        <w:rPr>
          <w:sz w:val="21"/>
        </w:rPr>
        <w:t>Twilio status/session-sync routes remain internal mirror/sync routes, not secondary business-logic centers.</w:t>
      </w:r>
    </w:p>
    <w:p>
      <w:pPr>
        <w:pStyle w:val="ListBullet"/>
      </w:pPr>
      <w:r>
        <w:rPr>
          <w:sz w:val="21"/>
        </w:rPr>
        <w:t>Be bold in internal intelligence; be conservative in external behavior.</w:t>
      </w:r>
    </w:p>
    <w:p>
      <w:pPr>
        <w:pStyle w:val="Heading1"/>
      </w:pPr>
      <w:r>
        <w:t>5. What has actually been completed so far</w:t>
      </w:r>
    </w:p>
    <w:p>
      <w:r>
        <w:t>The earlier handoff stopped at backend-only PR3. That is now outdated. The session-backed Call Lead path has materially advanced. The current implementation state should be treated as follows:</w:t>
      </w:r>
    </w:p>
    <w:tbl>
      <w:tblPr>
        <w:tblW w:type="auto" w:w="0"/>
        <w:jc w:val="center"/>
        <w:tblLayout w:type="fixed"/>
        <w:tblLook w:firstColumn="1" w:firstRow="1" w:lastColumn="0" w:lastRow="0" w:noHBand="0" w:noVBand="1" w:val="04A0"/>
        <w:tblBorders>
          <w:top w:val="single" w:sz="8" w:color="D9E2F2"/>
          <w:left w:val="single" w:sz="8" w:color="D9E2F2"/>
          <w:bottom w:val="single" w:sz="8" w:color="D9E2F2"/>
          <w:right w:val="single" w:sz="8" w:color="D9E2F2"/>
          <w:insideH w:val="single" w:sz="8" w:color="D9E2F2"/>
          <w:insideV w:val="single" w:sz="8" w:color="D9E2F2"/>
        </w:tblBorders>
      </w:tblPr>
      <w:tblGrid>
        <w:gridCol w:w="2736"/>
        <w:gridCol w:w="3312"/>
        <w:gridCol w:w="3888"/>
      </w:tblGrid>
      <w:tr>
        <w:tc>
          <w:tcPr>
            <w:tcW w:type="dxa" w:w="3264"/>
            <w:shd w:fill="17365D"/>
            <w:tcMar>
              <w:top w:w="110" w:type="dxa"/>
              <w:start w:w="100" w:type="dxa"/>
              <w:bottom w:w="110" w:type="dxa"/>
              <w:end w:w="100" w:type="dxa"/>
            </w:tcMar>
          </w:tcPr>
          <w:p>
            <w:r>
              <w:rPr>
                <w:b/>
                <w:color w:val="FFFFFF"/>
                <w:sz w:val="20"/>
              </w:rPr>
              <w:t>Layer</w:t>
            </w:r>
          </w:p>
        </w:tc>
        <w:tc>
          <w:tcPr>
            <w:tcW w:type="dxa" w:w="3264"/>
            <w:shd w:fill="17365D"/>
            <w:tcMar>
              <w:top w:w="110" w:type="dxa"/>
              <w:start w:w="100" w:type="dxa"/>
              <w:bottom w:w="110" w:type="dxa"/>
              <w:end w:w="100" w:type="dxa"/>
            </w:tcMar>
          </w:tcPr>
          <w:p>
            <w:r>
              <w:rPr>
                <w:b/>
                <w:color w:val="FFFFFF"/>
                <w:sz w:val="20"/>
              </w:rPr>
              <w:t>Current state</w:t>
            </w:r>
          </w:p>
        </w:tc>
        <w:tc>
          <w:tcPr>
            <w:tcW w:type="dxa" w:w="3264"/>
            <w:shd w:fill="17365D"/>
            <w:tcMar>
              <w:top w:w="110" w:type="dxa"/>
              <w:start w:w="100" w:type="dxa"/>
              <w:bottom w:w="110" w:type="dxa"/>
              <w:end w:w="100" w:type="dxa"/>
            </w:tcMar>
          </w:tcPr>
          <w:p>
            <w:r>
              <w:rPr>
                <w:b/>
                <w:color w:val="FFFFFF"/>
                <w:sz w:val="20"/>
              </w:rPr>
              <w:t>Implication</w:t>
            </w:r>
          </w:p>
        </w:tc>
      </w:tr>
      <w:tr>
        <w:tc>
          <w:tcPr>
            <w:tcW w:type="dxa" w:w="2736"/>
            <w:tcMar>
              <w:top w:w="100" w:type="dxa"/>
              <w:start w:w="100" w:type="dxa"/>
              <w:bottom w:w="100" w:type="dxa"/>
              <w:end w:w="100" w:type="dxa"/>
            </w:tcMar>
            <w:vAlign w:val="center"/>
            <w:shd w:fill="EAF1FB"/>
          </w:tcPr>
          <w:p>
            <w:r>
              <w:t>Session-backed publish loop</w:t>
            </w:r>
          </w:p>
        </w:tc>
        <w:tc>
          <w:tcPr>
            <w:tcW w:type="dxa" w:w="3312"/>
            <w:tcMar>
              <w:top w:w="100" w:type="dxa"/>
              <w:start w:w="100" w:type="dxa"/>
              <w:bottom w:w="100" w:type="dxa"/>
              <w:end w:w="100" w:type="dxa"/>
            </w:tcMar>
            <w:vAlign w:val="center"/>
            <w:shd w:fill="F9FBFD"/>
          </w:tcPr>
          <w:p>
            <w:r>
              <w:t>Implemented on the main Call Lead path: publish backend, PostCallPanel, sessionId wiring, callback scheduling override, qualification confirm, AI-assisted qualification prefill, and saved confirmation state.</w:t>
            </w:r>
          </w:p>
        </w:tc>
        <w:tc>
          <w:tcPr>
            <w:tcW w:type="dxa" w:w="3888"/>
            <w:tcMar>
              <w:top w:w="100" w:type="dxa"/>
              <w:start w:w="100" w:type="dxa"/>
              <w:bottom w:w="100" w:type="dxa"/>
              <w:end w:w="100" w:type="dxa"/>
            </w:tcMar>
            <w:vAlign w:val="center"/>
            <w:shd w:fill="F9FBFD"/>
          </w:tcPr>
          <w:p>
            <w:r>
              <w:t>The main production call path now behaves like a real post-call workflow instead of a loose telephony action.</w:t>
            </w:r>
          </w:p>
        </w:tc>
      </w:tr>
      <w:tr>
        <w:tc>
          <w:tcPr>
            <w:tcW w:type="dxa" w:w="2736"/>
            <w:tcMar>
              <w:top w:w="100" w:type="dxa"/>
              <w:start w:w="100" w:type="dxa"/>
              <w:bottom w:w="100" w:type="dxa"/>
              <w:end w:w="100" w:type="dxa"/>
            </w:tcMar>
            <w:vAlign w:val="center"/>
            <w:shd w:fill="EAF1FB"/>
          </w:tcPr>
          <w:p>
            <w:r>
              <w:t>Pre-call brief</w:t>
            </w:r>
          </w:p>
        </w:tc>
        <w:tc>
          <w:tcPr>
            <w:tcW w:type="dxa" w:w="3312"/>
            <w:tcMar>
              <w:top w:w="100" w:type="dxa"/>
              <w:start w:w="100" w:type="dxa"/>
              <w:bottom w:w="100" w:type="dxa"/>
              <w:end w:w="100" w:type="dxa"/>
            </w:tcMar>
            <w:vAlign w:val="center"/>
            <w:shd w:fill="F9FBFD"/>
          </w:tcPr>
          <w:p>
            <w:r>
              <w:t>Improved with motivation, seller timeline, last-contact recency, and seller-memory loop bug fix so prior AI summaries now flow into the brief.</w:t>
            </w:r>
          </w:p>
        </w:tc>
        <w:tc>
          <w:tcPr>
            <w:tcW w:type="dxa" w:w="3888"/>
            <w:tcMar>
              <w:top w:w="100" w:type="dxa"/>
              <w:start w:w="100" w:type="dxa"/>
              <w:bottom w:w="100" w:type="dxa"/>
              <w:end w:w="100" w:type="dxa"/>
            </w:tcMar>
            <w:vAlign w:val="center"/>
            <w:shd w:fill="F9FBFD"/>
          </w:tcPr>
          <w:p>
            <w:r>
              <w:t>Repeat calls can begin with real prior-conversation context instead of generic property-only context.</w:t>
            </w:r>
          </w:p>
        </w:tc>
      </w:tr>
      <w:tr>
        <w:tc>
          <w:tcPr>
            <w:tcW w:type="dxa" w:w="2736"/>
            <w:tcMar>
              <w:top w:w="100" w:type="dxa"/>
              <w:start w:w="100" w:type="dxa"/>
              <w:bottom w:w="100" w:type="dxa"/>
              <w:end w:w="100" w:type="dxa"/>
            </w:tcMar>
            <w:vAlign w:val="center"/>
            <w:shd w:fill="EAF1FB"/>
          </w:tcPr>
          <w:p>
            <w:r>
              <w:t>In-call notes</w:t>
            </w:r>
          </w:p>
        </w:tc>
        <w:tc>
          <w:tcPr>
            <w:tcW w:type="dxa" w:w="3312"/>
            <w:tcMar>
              <w:top w:w="100" w:type="dxa"/>
              <w:start w:w="100" w:type="dxa"/>
              <w:bottom w:w="100" w:type="dxa"/>
              <w:end w:w="100" w:type="dxa"/>
            </w:tcMar>
            <w:vAlign w:val="center"/>
            <w:shd w:fill="F9FBFD"/>
          </w:tcPr>
          <w:p>
            <w:r>
              <w:t>Operator notes exist; AI extraction from notes exists; structured note scaffold and stronger question-form prompts now guide note capture.</w:t>
            </w:r>
          </w:p>
        </w:tc>
        <w:tc>
          <w:tcPr>
            <w:tcW w:type="dxa" w:w="3888"/>
            <w:tcMar>
              <w:top w:w="100" w:type="dxa"/>
              <w:start w:w="100" w:type="dxa"/>
              <w:bottom w:w="100" w:type="dxa"/>
              <w:end w:w="100" w:type="dxa"/>
            </w:tcMar>
            <w:vAlign w:val="center"/>
            <w:shd w:fill="F9FBFD"/>
          </w:tcPr>
          <w:p>
            <w:r>
              <w:t>This is the first clean bridge into Phase 2 because it improves note quality without needing live STT yet.</w:t>
            </w:r>
          </w:p>
        </w:tc>
      </w:tr>
      <w:tr>
        <w:tc>
          <w:tcPr>
            <w:tcW w:type="dxa" w:w="2736"/>
            <w:tcMar>
              <w:top w:w="100" w:type="dxa"/>
              <w:start w:w="100" w:type="dxa"/>
              <w:bottom w:w="100" w:type="dxa"/>
              <w:end w:w="100" w:type="dxa"/>
            </w:tcMar>
            <w:vAlign w:val="center"/>
            <w:shd w:fill="EAF1FB"/>
          </w:tcPr>
          <w:p>
            <w:r>
              <w:t>Phase 1 ergonomics</w:t>
            </w:r>
          </w:p>
        </w:tc>
        <w:tc>
          <w:tcPr>
            <w:tcW w:type="dxa" w:w="3312"/>
            <w:tcMar>
              <w:top w:w="100" w:type="dxa"/>
              <w:start w:w="100" w:type="dxa"/>
              <w:bottom w:w="100" w:type="dxa"/>
              <w:end w:w="100" w:type="dxa"/>
            </w:tcMar>
            <w:vAlign w:val="center"/>
            <w:shd w:fill="F9FBFD"/>
          </w:tcPr>
          <w:p>
            <w:r>
              <w:t>Inline consent confirmation, saved-state flash, mute-state cleanup, and other small workflow fixes are in place.</w:t>
            </w:r>
          </w:p>
        </w:tc>
        <w:tc>
          <w:tcPr>
            <w:tcW w:type="dxa" w:w="3888"/>
            <w:tcMar>
              <w:top w:w="100" w:type="dxa"/>
              <w:start w:w="100" w:type="dxa"/>
              <w:bottom w:w="100" w:type="dxa"/>
              <w:end w:w="100" w:type="dxa"/>
            </w:tcMar>
            <w:vAlign w:val="center"/>
            <w:shd w:fill="F9FBFD"/>
          </w:tcPr>
          <w:p>
            <w:r>
              <w:t>Operator trust in the call loop is better, and fewer small UI leaks should trip real usage.</w:t>
            </w:r>
          </w:p>
        </w:tc>
      </w:tr>
    </w:tbl>
    <w:p>
      <w:pPr>
        <w:pStyle w:val="Heading1"/>
      </w:pPr>
      <w:r>
        <w:t>6. What is still missing or only partially real</w:t>
      </w:r>
    </w:p>
    <w:p>
      <w:pPr>
        <w:pStyle w:val="ListBullet"/>
      </w:pPr>
      <w:r>
        <w:rPr>
          <w:sz w:val="21"/>
        </w:rPr>
        <w:t>The liveNotes panel is mostly dead infrastructure today: the UI and realtime subscription exist, but there is still no live transcript/feed writer populating it during calls.</w:t>
      </w:r>
    </w:p>
    <w:p>
      <w:pPr>
        <w:pStyle w:val="ListBullet"/>
      </w:pPr>
      <w:r>
        <w:rPr>
          <w:sz w:val="21"/>
        </w:rPr>
        <w:t>There is no true conversation-native STT path yet. The current AI help is note-based and post-call/late-call, not a live copilot.</w:t>
      </w:r>
    </w:p>
    <w:p>
      <w:pPr>
        <w:pStyle w:val="ListBullet"/>
      </w:pPr>
      <w:r>
        <w:rPr>
          <w:sz w:val="21"/>
        </w:rPr>
        <w:t>Seller memory exists in a limited sense through AI summaries feeding the pre-call brief, but there is no formal seller-memory panel, write-gate policy, or unresolved-objection surface yet.</w:t>
      </w:r>
    </w:p>
    <w:p>
      <w:pPr>
        <w:pStyle w:val="ListBullet"/>
      </w:pPr>
      <w:r>
        <w:rPr>
          <w:sz w:val="21"/>
        </w:rPr>
        <w:t>Lead Detail calling and manual/test dial remain secondary paths and do not offer the same session-backed structured outcome loop as the main Call Lead workflow.</w:t>
      </w:r>
    </w:p>
    <w:p>
      <w:pPr>
        <w:pStyle w:val="ListBullet"/>
      </w:pPr>
      <w:r>
        <w:rPr>
          <w:sz w:val="21"/>
        </w:rPr>
        <w:t>AI control-plane basics are not yet clearly in place for the dialer: traces, prompt versions, eval datasets, review gates, and rollback discipline still need to be made explicit.</w:t>
      </w:r>
    </w:p>
    <w:p>
      <w:pPr>
        <w:pStyle w:val="ListBullet"/>
      </w:pPr>
      <w:r>
        <w:rPr>
          <w:sz w:val="21"/>
        </w:rPr>
        <w:t>The review console idea exists in the strategy, but the dialer still lacks a clear operator/admin review surface for bad summaries, bad extractions, or suggestion quality feedback.</w:t>
      </w:r>
    </w:p>
    <w:p>
      <w:pPr>
        <w:pStyle w:val="Heading1"/>
      </w:pPr>
      <w:r>
        <w:t>7. Phase assessment right now</w:t>
      </w:r>
    </w:p>
    <w:tbl>
      <w:tblPr>
        <w:tblW w:type="auto" w:w="0"/>
        <w:tblLook w:firstColumn="1" w:firstRow="1" w:lastColumn="0" w:lastRow="0" w:noHBand="0" w:noVBand="1" w:val="04A0"/>
        <w:tblBorders>
          <w:top w:val="single" w:sz="8" w:color="FCD34D"/>
          <w:left w:val="single" w:sz="8" w:color="FCD34D"/>
          <w:bottom w:val="single" w:sz="8" w:color="FCD34D"/>
          <w:right w:val="single" w:sz="8" w:color="FCD34D"/>
          <w:insideH w:val="single" w:sz="8" w:color="FCD34D"/>
          <w:insideV w:val="single" w:sz="8" w:color="FCD34D"/>
        </w:tblBorders>
      </w:tblPr>
      <w:tblGrid>
        <w:gridCol w:w="9792"/>
      </w:tblGrid>
      <w:tr>
        <w:tc>
          <w:tcPr>
            <w:tcW w:type="dxa" w:w="9792"/>
            <w:shd w:fill="FEF3C7"/>
            <w:tcMar>
              <w:top w:w="120" w:type="dxa"/>
              <w:start w:w="130" w:type="dxa"/>
              <w:bottom w:w="120" w:type="dxa"/>
              <w:end w:w="130" w:type="dxa"/>
            </w:tcMar>
          </w:tcPr>
          <w:p>
            <w:r>
              <w:rPr>
                <w:b/>
                <w:color w:val="7C4A03"/>
                <w:sz w:val="21"/>
              </w:rPr>
              <w:t>Assessment: Phase 1 is effectively at the gate on the canonical session-backed Call Lead path. It is not perfect across every call path, but it is mature enough that the next step should be a narrow Phase 2 plan rather than more random polish. The remaining standard is a short live-use gate, not a giant red-team exercise.</w:t>
            </w:r>
          </w:p>
        </w:tc>
      </w:tr>
    </w:tbl>
    <w:p>
      <w:r>
        <w:t>Phase 1 should be considered “passed enough to move forward” when these conditions are true in real usage:</w:t>
      </w:r>
    </w:p>
    <w:p>
      <w:pPr>
        <w:pStyle w:val="ListNumber"/>
      </w:pPr>
      <w:r>
        <w:rPr>
          <w:sz w:val="21"/>
        </w:rPr>
        <w:t>Every serious live call on the main path creates a structured, reviewable record.</w:t>
      </w:r>
    </w:p>
    <w:p>
      <w:pPr>
        <w:pStyle w:val="ListNumber"/>
      </w:pPr>
      <w:r>
        <w:rPr>
          <w:sz w:val="21"/>
        </w:rPr>
        <w:t>Curated facts can be published in under 30 seconds post-call.</w:t>
      </w:r>
    </w:p>
    <w:p>
      <w:pPr>
        <w:pStyle w:val="ListNumber"/>
      </w:pPr>
      <w:r>
        <w:rPr>
          <w:sz w:val="21"/>
        </w:rPr>
        <w:t>The next follow-up can be scheduled before closing the tab.</w:t>
      </w:r>
    </w:p>
    <w:p>
      <w:pPr>
        <w:pStyle w:val="ListNumber"/>
      </w:pPr>
      <w:r>
        <w:rPr>
          <w:sz w:val="21"/>
        </w:rPr>
        <w:t>The pre-call brief actually improves the next conversation.</w:t>
      </w:r>
    </w:p>
    <w:p>
      <w:pPr>
        <w:pStyle w:val="ListNumber"/>
      </w:pPr>
      <w:r>
        <w:rPr>
          <w:sz w:val="21"/>
        </w:rPr>
        <w:t>AI-assisted qualification prefill helps more than it harms.</w:t>
      </w:r>
    </w:p>
    <w:p>
      <w:pPr>
        <w:pStyle w:val="ListNumber"/>
      </w:pPr>
      <w:r>
        <w:rPr>
          <w:sz w:val="21"/>
        </w:rPr>
        <w:t>No obvious workflow leak still lets a real lead disappear.</w:t>
      </w:r>
    </w:p>
    <w:p>
      <w:pPr>
        <w:pStyle w:val="Heading1"/>
      </w:pPr>
      <w:r>
        <w:t>8. Correct trajectory from here</w:t>
      </w:r>
    </w:p>
    <w:p>
      <w:r>
        <w:t>The updated source documents change the sequencing pressure. The dialer should not now drift into random UI refinements or prematurely jump to live streaming just because it sounds more advanced. The right trajectory is:</w:t>
      </w:r>
    </w:p>
    <w:p>
      <w:pPr>
        <w:pStyle w:val="ListNumber"/>
      </w:pPr>
      <w:r>
        <w:rPr>
          <w:sz w:val="21"/>
        </w:rPr>
        <w:t>Lock the current session-backed Call Lead path as the canonical production flow.</w:t>
      </w:r>
    </w:p>
    <w:p>
      <w:pPr>
        <w:pStyle w:val="ListNumber"/>
      </w:pPr>
      <w:r>
        <w:rPr>
          <w:sz w:val="21"/>
        </w:rPr>
        <w:t>Begin Phase 2 with the smallest intelligence-layer addition that materially improves live calling, seller memory, and post-call usefulness.</w:t>
      </w:r>
    </w:p>
    <w:p>
      <w:pPr>
        <w:pStyle w:val="ListNumber"/>
      </w:pPr>
      <w:r>
        <w:rPr>
          <w:sz w:val="21"/>
        </w:rPr>
        <w:t>Add control-plane basics and review gates early enough that AI writeback is traceable and debuggable.</w:t>
      </w:r>
    </w:p>
    <w:p>
      <w:pPr>
        <w:pStyle w:val="ListNumber"/>
      </w:pPr>
      <w:r>
        <w:rPr>
          <w:sz w:val="21"/>
        </w:rPr>
        <w:t>Keep inbound / missed-call / warm-transfer voice edge in sight, but do not let front-office ambitions derail the current dialer workspace build.</w:t>
      </w:r>
    </w:p>
    <w:p>
      <w:pPr>
        <w:pStyle w:val="ListNumber"/>
      </w:pPr>
      <w:r>
        <w:rPr>
          <w:sz w:val="21"/>
        </w:rPr>
        <w:t>Move buyer memory, monetizability, and event feedback earlier in the wider system plan than a normal wholesaler would, because acquisition tooling will commoditize faster than buyer liquidity or trust.</w:t>
      </w:r>
    </w:p>
    <w:p>
      <w:pPr>
        <w:pStyle w:val="Heading1"/>
      </w:pPr>
      <w:r>
        <w:t>9. Recommended dialer roadmap from this point</w:t>
      </w:r>
    </w:p>
    <w:tbl>
      <w:tblPr>
        <w:tblW w:type="auto" w:w="0"/>
        <w:jc w:val="center"/>
        <w:tblLayout w:type="fixed"/>
        <w:tblLook w:firstColumn="1" w:firstRow="1" w:lastColumn="0" w:lastRow="0" w:noHBand="0" w:noVBand="1" w:val="04A0"/>
        <w:tblBorders>
          <w:top w:val="single" w:sz="8" w:color="D9E2F2"/>
          <w:left w:val="single" w:sz="8" w:color="D9E2F2"/>
          <w:bottom w:val="single" w:sz="8" w:color="D9E2F2"/>
          <w:right w:val="single" w:sz="8" w:color="D9E2F2"/>
          <w:insideH w:val="single" w:sz="8" w:color="D9E2F2"/>
          <w:insideV w:val="single" w:sz="8" w:color="D9E2F2"/>
        </w:tblBorders>
      </w:tblPr>
      <w:tblGrid>
        <w:gridCol w:w="1440"/>
        <w:gridCol w:w="2592"/>
        <w:gridCol w:w="3168"/>
        <w:gridCol w:w="3168"/>
      </w:tblGrid>
      <w:tr>
        <w:tc>
          <w:tcPr>
            <w:tcW w:type="dxa" w:w="2448"/>
            <w:shd w:fill="17365D"/>
            <w:tcMar>
              <w:top w:w="110" w:type="dxa"/>
              <w:start w:w="90" w:type="dxa"/>
              <w:bottom w:w="110" w:type="dxa"/>
              <w:end w:w="90" w:type="dxa"/>
            </w:tcMar>
          </w:tcPr>
          <w:p>
            <w:r>
              <w:rPr>
                <w:b/>
                <w:color w:val="FFFFFF"/>
                <w:sz w:val="20"/>
              </w:rPr>
              <w:t>Step</w:t>
            </w:r>
          </w:p>
        </w:tc>
        <w:tc>
          <w:tcPr>
            <w:tcW w:type="dxa" w:w="2448"/>
            <w:shd w:fill="17365D"/>
            <w:tcMar>
              <w:top w:w="110" w:type="dxa"/>
              <w:start w:w="90" w:type="dxa"/>
              <w:bottom w:w="110" w:type="dxa"/>
              <w:end w:w="90" w:type="dxa"/>
            </w:tcMar>
          </w:tcPr>
          <w:p>
            <w:r>
              <w:rPr>
                <w:b/>
                <w:color w:val="FFFFFF"/>
                <w:sz w:val="20"/>
              </w:rPr>
              <w:t>Lane</w:t>
            </w:r>
          </w:p>
        </w:tc>
        <w:tc>
          <w:tcPr>
            <w:tcW w:type="dxa" w:w="2448"/>
            <w:shd w:fill="17365D"/>
            <w:tcMar>
              <w:top w:w="110" w:type="dxa"/>
              <w:start w:w="90" w:type="dxa"/>
              <w:bottom w:w="110" w:type="dxa"/>
              <w:end w:w="90" w:type="dxa"/>
            </w:tcMar>
          </w:tcPr>
          <w:p>
            <w:r>
              <w:rPr>
                <w:b/>
                <w:color w:val="FFFFFF"/>
                <w:sz w:val="20"/>
              </w:rPr>
              <w:t>What it means now</w:t>
            </w:r>
          </w:p>
        </w:tc>
        <w:tc>
          <w:tcPr>
            <w:tcW w:type="dxa" w:w="2448"/>
            <w:shd w:fill="17365D"/>
            <w:tcMar>
              <w:top w:w="110" w:type="dxa"/>
              <w:start w:w="90" w:type="dxa"/>
              <w:bottom w:w="110" w:type="dxa"/>
              <w:end w:w="90" w:type="dxa"/>
            </w:tcMar>
          </w:tcPr>
          <w:p>
            <w:r>
              <w:rPr>
                <w:b/>
                <w:color w:val="FFFFFF"/>
                <w:sz w:val="20"/>
              </w:rPr>
              <w:t>Ship gate</w:t>
            </w:r>
          </w:p>
        </w:tc>
      </w:tr>
      <w:tr>
        <w:tc>
          <w:tcPr>
            <w:tcW w:type="dxa" w:w="1440"/>
            <w:tcMar>
              <w:top w:w="100" w:type="dxa"/>
              <w:start w:w="90" w:type="dxa"/>
              <w:bottom w:w="100" w:type="dxa"/>
              <w:end w:w="90" w:type="dxa"/>
            </w:tcMar>
            <w:vAlign w:val="center"/>
            <w:shd w:fill="EAF1FB"/>
          </w:tcPr>
          <w:p>
            <w:r>
              <w:t>0</w:t>
            </w:r>
          </w:p>
        </w:tc>
        <w:tc>
          <w:tcPr>
            <w:tcW w:type="dxa" w:w="2592"/>
            <w:tcMar>
              <w:top w:w="100" w:type="dxa"/>
              <w:start w:w="90" w:type="dxa"/>
              <w:bottom w:w="100" w:type="dxa"/>
              <w:end w:w="90" w:type="dxa"/>
            </w:tcMar>
            <w:vAlign w:val="center"/>
            <w:shd w:fill="F7FAFC"/>
          </w:tcPr>
          <w:p>
            <w:r>
              <w:t>Phase 1 gate</w:t>
            </w:r>
          </w:p>
        </w:tc>
        <w:tc>
          <w:tcPr>
            <w:tcW w:type="dxa" w:w="3168"/>
            <w:tcMar>
              <w:top w:w="100" w:type="dxa"/>
              <w:start w:w="90" w:type="dxa"/>
              <w:bottom w:w="100" w:type="dxa"/>
              <w:end w:w="90" w:type="dxa"/>
            </w:tcMar>
            <w:vAlign w:val="center"/>
            <w:shd w:fill="FFFFFF"/>
          </w:tcPr>
          <w:p>
            <w:r>
              <w:t>Run a short live-use workflow gate on the session-backed Call Lead path. Fix only issues that threaten structured completion, follow-up scheduling, or operator trust.</w:t>
            </w:r>
          </w:p>
        </w:tc>
        <w:tc>
          <w:tcPr>
            <w:tcW w:type="dxa" w:w="3168"/>
            <w:tcMar>
              <w:top w:w="100" w:type="dxa"/>
              <w:start w:w="90" w:type="dxa"/>
              <w:bottom w:w="100" w:type="dxa"/>
              <w:end w:w="90" w:type="dxa"/>
            </w:tcMar>
            <w:vAlign w:val="center"/>
            <w:shd w:fill="F9FBFD"/>
          </w:tcPr>
          <w:p>
            <w:r>
              <w:t>Pass/fail based on workflow, not philosophy.</w:t>
            </w:r>
          </w:p>
        </w:tc>
      </w:tr>
      <w:tr>
        <w:tc>
          <w:tcPr>
            <w:tcW w:type="dxa" w:w="1440"/>
            <w:tcMar>
              <w:top w:w="100" w:type="dxa"/>
              <w:start w:w="90" w:type="dxa"/>
              <w:bottom w:w="100" w:type="dxa"/>
              <w:end w:w="90" w:type="dxa"/>
            </w:tcMar>
            <w:vAlign w:val="center"/>
            <w:shd w:fill="EAF1FB"/>
          </w:tcPr>
          <w:p>
            <w:r>
              <w:t>1</w:t>
            </w:r>
          </w:p>
        </w:tc>
        <w:tc>
          <w:tcPr>
            <w:tcW w:type="dxa" w:w="2592"/>
            <w:tcMar>
              <w:top w:w="100" w:type="dxa"/>
              <w:start w:w="90" w:type="dxa"/>
              <w:bottom w:w="100" w:type="dxa"/>
              <w:end w:w="90" w:type="dxa"/>
            </w:tcMar>
            <w:vAlign w:val="center"/>
            <w:shd w:fill="F7FAFC"/>
          </w:tcPr>
          <w:p>
            <w:r>
              <w:t>Phase 2 starter</w:t>
            </w:r>
          </w:p>
        </w:tc>
        <w:tc>
          <w:tcPr>
            <w:tcW w:type="dxa" w:w="3168"/>
            <w:tcMar>
              <w:top w:w="100" w:type="dxa"/>
              <w:start w:w="90" w:type="dxa"/>
              <w:bottom w:w="100" w:type="dxa"/>
              <w:end w:w="90" w:type="dxa"/>
            </w:tcMar>
            <w:vAlign w:val="center"/>
            <w:shd w:fill="FFFFFF"/>
          </w:tcPr>
          <w:p>
            <w:r>
              <w:t>Exploit the note-and-summary seam already built. Best practical next build is the smallest real transcript/seller-memory improvement that strengthens summaries and next-call context without requiring full live streaming on day one.</w:t>
            </w:r>
          </w:p>
        </w:tc>
        <w:tc>
          <w:tcPr>
            <w:tcW w:type="dxa" w:w="3168"/>
            <w:tcMar>
              <w:top w:w="100" w:type="dxa"/>
              <w:start w:w="90" w:type="dxa"/>
              <w:bottom w:w="100" w:type="dxa"/>
              <w:end w:w="90" w:type="dxa"/>
            </w:tcMar>
            <w:vAlign w:val="center"/>
            <w:shd w:fill="F9FBFD"/>
          </w:tcPr>
          <w:p>
            <w:r>
              <w:t>Improves live calling or next-call memory in obvious operator terms.</w:t>
            </w:r>
          </w:p>
        </w:tc>
      </w:tr>
      <w:tr>
        <w:tc>
          <w:tcPr>
            <w:tcW w:type="dxa" w:w="1440"/>
            <w:tcMar>
              <w:top w:w="100" w:type="dxa"/>
              <w:start w:w="90" w:type="dxa"/>
              <w:bottom w:w="100" w:type="dxa"/>
              <w:end w:w="90" w:type="dxa"/>
            </w:tcMar>
            <w:vAlign w:val="center"/>
            <w:shd w:fill="EAF1FB"/>
          </w:tcPr>
          <w:p>
            <w:r>
              <w:t>2</w:t>
            </w:r>
          </w:p>
        </w:tc>
        <w:tc>
          <w:tcPr>
            <w:tcW w:type="dxa" w:w="2592"/>
            <w:tcMar>
              <w:top w:w="100" w:type="dxa"/>
              <w:start w:w="90" w:type="dxa"/>
              <w:bottom w:w="100" w:type="dxa"/>
              <w:end w:w="90" w:type="dxa"/>
            </w:tcMar>
            <w:vAlign w:val="center"/>
            <w:shd w:fill="F7FAFC"/>
          </w:tcPr>
          <w:p>
            <w:r>
              <w:t>Control plane and review</w:t>
            </w:r>
          </w:p>
        </w:tc>
        <w:tc>
          <w:tcPr>
            <w:tcW w:type="dxa" w:w="3168"/>
            <w:tcMar>
              <w:top w:w="100" w:type="dxa"/>
              <w:start w:w="90" w:type="dxa"/>
              <w:bottom w:w="100" w:type="dxa"/>
              <w:end w:w="90" w:type="dxa"/>
            </w:tcMar>
            <w:vAlign w:val="center"/>
            <w:shd w:fill="FFFFFF"/>
          </w:tcPr>
          <w:p>
            <w:r>
              <w:t>Add traces, prompt versions, eval set beginnings, and clear review gates around summaries/extraction before durable writeback expands.</w:t>
            </w:r>
          </w:p>
        </w:tc>
        <w:tc>
          <w:tcPr>
            <w:tcW w:type="dxa" w:w="3168"/>
            <w:tcMar>
              <w:top w:w="100" w:type="dxa"/>
              <w:start w:w="90" w:type="dxa"/>
              <w:bottom w:w="100" w:type="dxa"/>
              <w:end w:w="90" w:type="dxa"/>
            </w:tcMar>
            <w:vAlign w:val="center"/>
            <w:shd w:fill="F9FBFD"/>
          </w:tcPr>
          <w:p>
            <w:r>
              <w:t>No untraced durable AI writeback.</w:t>
            </w:r>
          </w:p>
        </w:tc>
      </w:tr>
      <w:tr>
        <w:tc>
          <w:tcPr>
            <w:tcW w:type="dxa" w:w="1440"/>
            <w:tcMar>
              <w:top w:w="100" w:type="dxa"/>
              <w:start w:w="90" w:type="dxa"/>
              <w:bottom w:w="100" w:type="dxa"/>
              <w:end w:w="90" w:type="dxa"/>
            </w:tcMar>
            <w:vAlign w:val="center"/>
            <w:shd w:fill="EAF1FB"/>
          </w:tcPr>
          <w:p>
            <w:r>
              <w:t>3</w:t>
            </w:r>
          </w:p>
        </w:tc>
        <w:tc>
          <w:tcPr>
            <w:tcW w:type="dxa" w:w="2592"/>
            <w:tcMar>
              <w:top w:w="100" w:type="dxa"/>
              <w:start w:w="90" w:type="dxa"/>
              <w:bottom w:w="100" w:type="dxa"/>
              <w:end w:w="90" w:type="dxa"/>
            </w:tcMar>
            <w:vAlign w:val="center"/>
            <w:shd w:fill="F7FAFC"/>
          </w:tcPr>
          <w:p>
            <w:r>
              <w:t>Seller-memory surface</w:t>
            </w:r>
          </w:p>
        </w:tc>
        <w:tc>
          <w:tcPr>
            <w:tcW w:type="dxa" w:w="3168"/>
            <w:tcMar>
              <w:top w:w="100" w:type="dxa"/>
              <w:start w:w="90" w:type="dxa"/>
              <w:bottom w:w="100" w:type="dxa"/>
              <w:end w:w="90" w:type="dxa"/>
            </w:tcMar>
            <w:vAlign w:val="center"/>
            <w:shd w:fill="FFFFFF"/>
          </w:tcPr>
          <w:p>
            <w:r>
              <w:t>Surface last summaries, unresolved objections, promised follow-up, best callback context, and sensitivities inside the dialer in a bounded way.</w:t>
            </w:r>
          </w:p>
        </w:tc>
        <w:tc>
          <w:tcPr>
            <w:tcW w:type="dxa" w:w="3168"/>
            <w:tcMar>
              <w:top w:w="100" w:type="dxa"/>
              <w:start w:w="90" w:type="dxa"/>
              <w:bottom w:w="100" w:type="dxa"/>
              <w:end w:w="90" w:type="dxa"/>
            </w:tcMar>
            <w:vAlign w:val="center"/>
            <w:shd w:fill="F9FBFD"/>
          </w:tcPr>
          <w:p>
            <w:r>
              <w:t>Memory helps, does not clutter.</w:t>
            </w:r>
          </w:p>
        </w:tc>
      </w:tr>
      <w:tr>
        <w:tc>
          <w:tcPr>
            <w:tcW w:type="dxa" w:w="1440"/>
            <w:tcMar>
              <w:top w:w="100" w:type="dxa"/>
              <w:start w:w="90" w:type="dxa"/>
              <w:bottom w:w="100" w:type="dxa"/>
              <w:end w:w="90" w:type="dxa"/>
            </w:tcMar>
            <w:vAlign w:val="center"/>
            <w:shd w:fill="EAF1FB"/>
          </w:tcPr>
          <w:p>
            <w:r>
              <w:t>4</w:t>
            </w:r>
          </w:p>
        </w:tc>
        <w:tc>
          <w:tcPr>
            <w:tcW w:type="dxa" w:w="2592"/>
            <w:tcMar>
              <w:top w:w="100" w:type="dxa"/>
              <w:start w:w="90" w:type="dxa"/>
              <w:bottom w:w="100" w:type="dxa"/>
              <w:end w:w="90" w:type="dxa"/>
            </w:tcMar>
            <w:vAlign w:val="center"/>
            <w:shd w:fill="F7FAFC"/>
          </w:tcPr>
          <w:p>
            <w:r>
              <w:t>Voice/runtime expansion</w:t>
            </w:r>
          </w:p>
        </w:tc>
        <w:tc>
          <w:tcPr>
            <w:tcW w:type="dxa" w:w="3168"/>
            <w:tcMar>
              <w:top w:w="100" w:type="dxa"/>
              <w:start w:w="90" w:type="dxa"/>
              <w:bottom w:w="100" w:type="dxa"/>
              <w:end w:w="90" w:type="dxa"/>
            </w:tcMar>
            <w:vAlign w:val="center"/>
            <w:shd w:fill="FFFFFF"/>
          </w:tcPr>
          <w:p>
            <w:r>
              <w:t>Then move toward inbound/missed-call runtime, warm transfer context, and later live STT if the call workspace and review discipline are ready.</w:t>
            </w:r>
          </w:p>
        </w:tc>
        <w:tc>
          <w:tcPr>
            <w:tcW w:type="dxa" w:w="3168"/>
            <w:tcMar>
              <w:top w:w="100" w:type="dxa"/>
              <w:start w:w="90" w:type="dxa"/>
              <w:bottom w:w="100" w:type="dxa"/>
              <w:end w:w="90" w:type="dxa"/>
            </w:tcMar>
            <w:vAlign w:val="center"/>
            <w:shd w:fill="F9FBFD"/>
          </w:tcPr>
          <w:p>
            <w:r>
              <w:t>Operator workflow remains primary.</w:t>
            </w:r>
          </w:p>
        </w:tc>
      </w:tr>
    </w:tbl>
    <w:p>
      <w:pPr>
        <w:pStyle w:val="Heading1"/>
      </w:pPr>
      <w:r>
        <w:t>10. Best next Phase 2 interpretation for the dialer</w:t>
      </w:r>
    </w:p>
    <w:p>
      <w:r>
        <w:t>The most credible Phase 2 framing is not “make the dialer an AI agent.” It is “make the dialer feel like a real live call workspace with better memory, better note quality, and better traceability.” The practical implication is:</w:t>
      </w:r>
    </w:p>
    <w:p>
      <w:pPr>
        <w:pStyle w:val="ListBullet"/>
      </w:pPr>
      <w:r>
        <w:rPr>
          <w:sz w:val="21"/>
        </w:rPr>
        <w:t>Use the current operator-note seam as the bridge, because it already exists and is driving extraction and summary quality.</w:t>
      </w:r>
    </w:p>
    <w:p>
      <w:pPr>
        <w:pStyle w:val="ListBullet"/>
      </w:pPr>
      <w:r>
        <w:rPr>
          <w:sz w:val="21"/>
        </w:rPr>
        <w:t>Prefer a practical transcript path before a heavier live-stream path if it gets richer summaries and memory into production faster.</w:t>
      </w:r>
    </w:p>
    <w:p>
      <w:pPr>
        <w:pStyle w:val="ListBullet"/>
      </w:pPr>
      <w:r>
        <w:rPr>
          <w:sz w:val="21"/>
        </w:rPr>
        <w:t>Treat live STT / live notes feed as valuable, but not the first mandatory Phase 2 move if a simpler post-call transcript path delivers more value sooner.</w:t>
      </w:r>
    </w:p>
    <w:p>
      <w:pPr>
        <w:pStyle w:val="ListBullet"/>
      </w:pPr>
      <w:r>
        <w:rPr>
          <w:sz w:val="21"/>
        </w:rPr>
        <w:t>Bring in AI observability early enough that summaries, extraction, routing, and future voice flows can be reviewed, compared, and rolled back.</w:t>
      </w:r>
    </w:p>
    <w:p>
      <w:pPr>
        <w:pStyle w:val="Heading1"/>
      </w:pPr>
      <w:r>
        <w:t>11. AI control-plane rules now required by the updated strategy</w:t>
      </w:r>
    </w:p>
    <w:p>
      <w:pPr>
        <w:pStyle w:val="ListBullet"/>
      </w:pPr>
      <w:r>
        <w:rPr>
          <w:sz w:val="21"/>
        </w:rPr>
        <w:t>Every meaningful AI workflow should have a run ID, trace log, prompt version, and review/rollback story.</w:t>
      </w:r>
    </w:p>
    <w:p>
      <w:pPr>
        <w:pStyle w:val="ListBullet"/>
      </w:pPr>
      <w:r>
        <w:rPr>
          <w:sz w:val="21"/>
        </w:rPr>
        <w:t>No durable CRM writeback should come from an untraced workflow.</w:t>
      </w:r>
    </w:p>
    <w:p>
      <w:pPr>
        <w:pStyle w:val="ListBullet"/>
      </w:pPr>
      <w:r>
        <w:rPr>
          <w:sz w:val="21"/>
        </w:rPr>
        <w:t>Eval loops should begin first where AI already touches production value: post-call summaries, extraction/prefill, and routing/suggestion quality.</w:t>
      </w:r>
    </w:p>
    <w:p>
      <w:pPr>
        <w:pStyle w:val="ListBullet"/>
      </w:pPr>
      <w:r>
        <w:rPr>
          <w:sz w:val="21"/>
        </w:rPr>
        <w:t>Review tooling is not admin fluff. It is the discipline layer that keeps the intelligence stack from becoming magic or sludge.</w:t>
      </w:r>
    </w:p>
    <w:p>
      <w:pPr>
        <w:pStyle w:val="Heading1"/>
      </w:pPr>
      <w:r>
        <w:t>12. Anti-goals and traps to avoid</w:t>
      </w:r>
    </w:p>
    <w:p>
      <w:pPr>
        <w:pStyle w:val="ListBullet"/>
      </w:pPr>
      <w:r>
        <w:rPr>
          <w:sz w:val="21"/>
        </w:rPr>
        <w:t>Do not let the dialer become a feature dumping ground because “it is where calls happen.”</w:t>
      </w:r>
    </w:p>
    <w:p>
      <w:pPr>
        <w:pStyle w:val="ListBullet"/>
      </w:pPr>
      <w:r>
        <w:rPr>
          <w:sz w:val="21"/>
        </w:rPr>
        <w:t>Do not respond to every gap by adding a new path. Strengthen the canonical session-backed path first.</w:t>
      </w:r>
    </w:p>
    <w:p>
      <w:pPr>
        <w:pStyle w:val="ListBullet"/>
      </w:pPr>
      <w:r>
        <w:rPr>
          <w:sz w:val="21"/>
        </w:rPr>
        <w:t>Do not build live streaming STT first if a simpler transcript path yields better operator value sooner.</w:t>
      </w:r>
    </w:p>
    <w:p>
      <w:pPr>
        <w:pStyle w:val="ListBullet"/>
      </w:pPr>
      <w:r>
        <w:rPr>
          <w:sz w:val="21"/>
        </w:rPr>
        <w:t>Do not force broad upgrades on manual/test or side paths before the main path is truly excellent.</w:t>
      </w:r>
    </w:p>
    <w:p>
      <w:pPr>
        <w:pStyle w:val="ListBullet"/>
      </w:pPr>
      <w:r>
        <w:rPr>
          <w:sz w:val="21"/>
        </w:rPr>
        <w:t>Do not let AI outputs silently become durable truth without traceability, review, and a narrow publish contract.</w:t>
      </w:r>
    </w:p>
    <w:p>
      <w:pPr>
        <w:pStyle w:val="ListBullet"/>
      </w:pPr>
      <w:r>
        <w:rPr>
          <w:sz w:val="21"/>
        </w:rPr>
        <w:t>Do not over-automate empathy, outbound consumer contact, or trust-sensitive moments.</w:t>
      </w:r>
    </w:p>
    <w:p>
      <w:pPr>
        <w:pStyle w:val="Heading1"/>
      </w:pPr>
      <w:r>
        <w:t>13. Immediate next work orders</w:t>
      </w:r>
    </w:p>
    <w:p>
      <w:r>
        <w:t>For the next Claude interactions, the highest-value working pattern is: concrete implementation prompt plus a short adversarial pass, not large philosophical self-critiques.</w:t>
      </w:r>
    </w:p>
    <w:tbl>
      <w:tblPr>
        <w:tblW w:type="auto" w:w="0"/>
        <w:jc w:val="center"/>
        <w:tblLayout w:type="fixed"/>
        <w:tblLook w:firstColumn="1" w:firstRow="1" w:lastColumn="0" w:lastRow="0" w:noHBand="0" w:noVBand="1" w:val="04A0"/>
        <w:tblBorders>
          <w:top w:val="single" w:sz="8" w:color="D9E2F2"/>
          <w:left w:val="single" w:sz="8" w:color="D9E2F2"/>
          <w:bottom w:val="single" w:sz="8" w:color="D9E2F2"/>
          <w:right w:val="single" w:sz="8" w:color="D9E2F2"/>
          <w:insideH w:val="single" w:sz="8" w:color="D9E2F2"/>
          <w:insideV w:val="single" w:sz="8" w:color="D9E2F2"/>
        </w:tblBorders>
      </w:tblPr>
      <w:tblGrid>
        <w:gridCol w:w="3168"/>
        <w:gridCol w:w="6624"/>
      </w:tblGrid>
      <w:tr>
        <w:tc>
          <w:tcPr>
            <w:tcW w:type="dxa" w:w="4896"/>
            <w:shd w:fill="17365D"/>
            <w:tcMar>
              <w:top w:w="110" w:type="dxa"/>
              <w:start w:w="100" w:type="dxa"/>
              <w:bottom w:w="110" w:type="dxa"/>
              <w:end w:w="100" w:type="dxa"/>
            </w:tcMar>
          </w:tcPr>
          <w:p>
            <w:r>
              <w:rPr>
                <w:b/>
                <w:color w:val="FFFFFF"/>
                <w:sz w:val="20"/>
              </w:rPr>
              <w:t>Work order</w:t>
            </w:r>
          </w:p>
        </w:tc>
        <w:tc>
          <w:tcPr>
            <w:tcW w:type="dxa" w:w="4896"/>
            <w:shd w:fill="17365D"/>
            <w:tcMar>
              <w:top w:w="110" w:type="dxa"/>
              <w:start w:w="100" w:type="dxa"/>
              <w:bottom w:w="110" w:type="dxa"/>
              <w:end w:w="100" w:type="dxa"/>
            </w:tcMar>
          </w:tcPr>
          <w:p>
            <w:r>
              <w:rPr>
                <w:b/>
                <w:color w:val="FFFFFF"/>
                <w:sz w:val="20"/>
              </w:rPr>
              <w:t>Purpose</w:t>
            </w:r>
          </w:p>
        </w:tc>
      </w:tr>
      <w:tr>
        <w:tc>
          <w:tcPr>
            <w:tcW w:type="dxa" w:w="3168"/>
            <w:tcMar>
              <w:top w:w="100" w:type="dxa"/>
              <w:start w:w="100" w:type="dxa"/>
              <w:bottom w:w="100" w:type="dxa"/>
              <w:end w:w="100" w:type="dxa"/>
            </w:tcMar>
            <w:vAlign w:val="center"/>
            <w:shd w:fill="EAF1FB"/>
          </w:tcPr>
          <w:p>
            <w:r>
              <w:t>Phase 1 gate review</w:t>
            </w:r>
          </w:p>
        </w:tc>
        <w:tc>
          <w:tcPr>
            <w:tcW w:type="dxa" w:w="6624"/>
            <w:tcMar>
              <w:top w:w="100" w:type="dxa"/>
              <w:start w:w="100" w:type="dxa"/>
              <w:bottom w:w="100" w:type="dxa"/>
              <w:end w:w="100" w:type="dxa"/>
            </w:tcMar>
            <w:vAlign w:val="center"/>
            <w:shd w:fill="FAFCFE"/>
          </w:tcPr>
          <w:p>
            <w:r>
              <w:t>Strict pass/fail review of the current session-backed Call Lead workflow using operator workflow gates, not architecture essays.</w:t>
            </w:r>
          </w:p>
        </w:tc>
      </w:tr>
      <w:tr>
        <w:tc>
          <w:tcPr>
            <w:tcW w:type="dxa" w:w="3168"/>
            <w:tcMar>
              <w:top w:w="100" w:type="dxa"/>
              <w:start w:w="100" w:type="dxa"/>
              <w:bottom w:w="100" w:type="dxa"/>
              <w:end w:w="100" w:type="dxa"/>
            </w:tcMar>
            <w:vAlign w:val="center"/>
            <w:shd w:fill="EAF1FB"/>
          </w:tcPr>
          <w:p>
            <w:r>
              <w:t>Phase 2 planning pass</w:t>
            </w:r>
          </w:p>
        </w:tc>
        <w:tc>
          <w:tcPr>
            <w:tcW w:type="dxa" w:w="6624"/>
            <w:tcMar>
              <w:top w:w="100" w:type="dxa"/>
              <w:start w:w="100" w:type="dxa"/>
              <w:bottom w:w="100" w:type="dxa"/>
              <w:end w:w="100" w:type="dxa"/>
            </w:tcMar>
            <w:vAlign w:val="center"/>
            <w:shd w:fill="FAFCFE"/>
          </w:tcPr>
          <w:p>
            <w:r>
              <w:t>Choose the smallest real next build among transcript path, next-action draft, live STT, and observability — with an adversarial pass that assumes the recommendation is wrong until proven useful.</w:t>
            </w:r>
          </w:p>
        </w:tc>
      </w:tr>
      <w:tr>
        <w:tc>
          <w:tcPr>
            <w:tcW w:type="dxa" w:w="3168"/>
            <w:tcMar>
              <w:top w:w="100" w:type="dxa"/>
              <w:start w:w="100" w:type="dxa"/>
              <w:bottom w:w="100" w:type="dxa"/>
              <w:end w:w="100" w:type="dxa"/>
            </w:tcMar>
            <w:vAlign w:val="center"/>
            <w:shd w:fill="EAF1FB"/>
          </w:tcPr>
          <w:p>
            <w:r>
              <w:t>Control-plane baseline</w:t>
            </w:r>
          </w:p>
        </w:tc>
        <w:tc>
          <w:tcPr>
            <w:tcW w:type="dxa" w:w="6624"/>
            <w:tcMar>
              <w:top w:w="100" w:type="dxa"/>
              <w:start w:w="100" w:type="dxa"/>
              <w:bottom w:w="100" w:type="dxa"/>
              <w:end w:w="100" w:type="dxa"/>
            </w:tcMar>
            <w:vAlign w:val="center"/>
            <w:shd w:fill="FAFCFE"/>
          </w:tcPr>
          <w:p>
            <w:r>
              <w:t>Define traces, prompt versions, eval set beginnings, review gates, and rollback rules for dialer AI outputs.</w:t>
            </w:r>
          </w:p>
        </w:tc>
      </w:tr>
      <w:tr>
        <w:tc>
          <w:tcPr>
            <w:tcW w:type="dxa" w:w="3168"/>
            <w:tcMar>
              <w:top w:w="100" w:type="dxa"/>
              <w:start w:w="100" w:type="dxa"/>
              <w:bottom w:w="100" w:type="dxa"/>
              <w:end w:w="100" w:type="dxa"/>
            </w:tcMar>
            <w:vAlign w:val="center"/>
            <w:shd w:fill="EAF1FB"/>
          </w:tcPr>
          <w:p>
            <w:r>
              <w:t>Lead Detail path decision</w:t>
            </w:r>
          </w:p>
        </w:tc>
        <w:tc>
          <w:tcPr>
            <w:tcW w:type="dxa" w:w="6624"/>
            <w:tcMar>
              <w:top w:w="100" w:type="dxa"/>
              <w:start w:w="100" w:type="dxa"/>
              <w:bottom w:w="100" w:type="dxa"/>
              <w:end w:w="100" w:type="dxa"/>
            </w:tcMar>
            <w:vAlign w:val="center"/>
            <w:shd w:fill="FAFCFE"/>
          </w:tcPr>
          <w:p>
            <w:r>
              <w:t>Re-evaluate the lead-detail calling gap only through boundary-safe options. Do not add live call UI to master-client-file-modal.tsx.</w:t>
            </w:r>
          </w:p>
        </w:tc>
      </w:tr>
    </w:tbl>
    <w:p>
      <w:r>
        <w:br w:type="page"/>
      </w:r>
    </w:p>
    <w:p>
      <w:pPr>
        <w:pStyle w:val="Heading1"/>
      </w:pPr>
      <w:r>
        <w:t>14. Standard adversarial check to keep using</w:t>
      </w:r>
    </w:p>
    <w:p>
      <w:r>
        <w:t>When asking Claude to inspect or extend the dialer, keep a short adversarial section in the prompt. The purpose is not to waste tokens; it is to surface the most important hidden risk before it reaches production.</w:t>
      </w:r>
    </w:p>
    <w:tbl>
      <w:tblPr>
        <w:tblW w:type="auto" w:w="0"/>
        <w:jc w:val="center"/>
        <w:tblLook w:firstColumn="1" w:firstRow="1" w:lastColumn="0" w:lastRow="0" w:noHBand="0" w:noVBand="1" w:val="04A0"/>
        <w:tblBorders>
          <w:top w:val="single" w:sz="8" w:color="D1D5DB"/>
          <w:left w:val="single" w:sz="8" w:color="D1D5DB"/>
          <w:bottom w:val="single" w:sz="8" w:color="D1D5DB"/>
          <w:right w:val="single" w:sz="8" w:color="D1D5DB"/>
          <w:insideH w:val="single" w:sz="8" w:color="D1D5DB"/>
          <w:insideV w:val="single" w:sz="8" w:color="D1D5DB"/>
        </w:tblBorders>
      </w:tblPr>
      <w:tblGrid>
        <w:gridCol w:w="9792"/>
      </w:tblGrid>
      <w:tr>
        <w:tc>
          <w:tcPr>
            <w:tcW w:type="dxa" w:w="9792"/>
            <w:shd w:fill="F3F4F6"/>
            <w:tcMar>
              <w:top w:w="110" w:type="dxa"/>
              <w:start w:w="110" w:type="dxa"/>
              <w:bottom w:w="110" w:type="dxa"/>
              <w:end w:w="110" w:type="dxa"/>
            </w:tcMar>
          </w:tcPr>
          <w:p>
            <w:r>
              <w:rPr>
                <w:b/>
                <w:sz w:val="21"/>
              </w:rPr>
              <w:t>Add an adversarial review pass before finalizing. In that pass, do not defend the work by default. Try to find workflow leaks, boundary violations, happy-path assumptions, silent failure modes, and places where the implementation claims more than it actually delivers. Return: what is solid, what is fragile, what would fail in real operator use, the smallest fix needed now, and what can wait.</w:t>
            </w:r>
          </w:p>
        </w:tc>
      </w:tr>
    </w:tbl>
    <w:p>
      <w:pPr>
        <w:pStyle w:val="Heading1"/>
      </w:pPr>
      <w:r>
        <w:t>15. Final handoff summary</w:t>
      </w:r>
    </w:p>
    <w:p>
      <w:r>
        <w:t>The dialer is now past the point where the right move is more Phase 1 thrashing. The updated source documents push in the same direction as the implementation work: keep Sentinel as the deterministic action core, keep the dialer as the conversation operating system around Logan, and begin Phase 2 as a narrow intelligence-layer build with real traces, review gates, and memory value. That is the correct trajectory to the end goal: a two-person acquisitions machine with better trust, better timing, stronger memory, and more contracts per founder-hour.</w:t>
      </w:r>
    </w:p>
    <w:p>
      <w:pPr>
        <w:pStyle w:val="Heading2"/>
      </w:pPr>
      <w:r>
        <w:t>Appendix A - Snapshot of the current call-path reality</w:t>
      </w:r>
    </w:p>
    <w:p>
      <w:pPr>
        <w:pStyle w:val="ListBullet"/>
      </w:pPr>
      <w:r>
        <w:rPr>
          <w:sz w:val="21"/>
        </w:rPr>
        <w:t>Canonical production path: session-backed Call Lead on the power dialer.</w:t>
      </w:r>
    </w:p>
    <w:p>
      <w:pPr>
        <w:pStyle w:val="ListBullet"/>
      </w:pPr>
      <w:r>
        <w:rPr>
          <w:sz w:val="21"/>
        </w:rPr>
        <w:t>Secondary paths: manual/test dial and lead-detail cell bridge. These remain deliberately weaker and should not redefine the architecture.</w:t>
      </w:r>
    </w:p>
    <w:p>
      <w:pPr>
        <w:pStyle w:val="ListBullet"/>
      </w:pPr>
      <w:r>
        <w:rPr>
          <w:sz w:val="21"/>
        </w:rPr>
        <w:t>Current strongest operator loop: pre-call brief -&gt; in-call notes -&gt; post-call publish -&gt; callback scheduling -&gt; qualification confirm -&gt; next lead.</w:t>
      </w:r>
    </w:p>
    <w:p>
      <w:pPr>
        <w:pStyle w:val="ListBullet"/>
      </w:pPr>
      <w:r>
        <w:rPr>
          <w:sz w:val="21"/>
        </w:rPr>
        <w:t>Most important unfulfilled promise: live transcript/live notes feed and a more explicit seller-memory/review layer.</w:t>
      </w:r>
    </w:p>
    <w:p>
      <w:pPr>
        <w:pStyle w:val="Heading2"/>
      </w:pPr>
      <w:r>
        <w:t>Appendix B - One-sentence scoring rule for every next build</w:t>
      </w:r>
    </w:p>
    <w:p>
      <w:r>
        <w:rPr>
          <w:b/>
        </w:rPr>
        <w:t xml:space="preserve">If a proposed dialer feature does not clearly do at least one of these five things, delay or cut it: </w:t>
      </w:r>
      <w:r>
        <w:t>make Logan better live on calls, remove support/admin/research labor, prevent lead leakage, improve monetization of the right leads, or build a compounding local memory moat.</w:t>
      </w:r>
    </w:p>
    <w:sectPr w:rsidR="00FC693F" w:rsidRPr="0006063C" w:rsidSect="00034616">
      <w:headerReference w:type="default" r:id="rId9"/>
      <w:footerReference w:type="default" r:id="rId10"/>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Prepared March 15, 2026  |  Page </w:t>
    </w:r>
    <w:r>
      <w:rPr>
        <w:color w:val="6B7280"/>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B7280"/>
        <w:sz w:val="17"/>
      </w:rPr>
      <w:t>Sentinel Dialer - Updated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rPr>
      <w:rFonts w:ascii="Aptos" w:hAnsi="Aptos"/>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