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7C80"/>
          <w:sz w:val="32"/>
        </w:rPr>
        <w:t>Dominion Home Deals</w:t>
      </w:r>
    </w:p>
    <w:p>
      <w:pPr>
        <w:pStyle w:val="Title"/>
        <w:jc w:val="center"/>
      </w:pPr>
      <w:r>
        <w:t>Forward-Looking Plan</w:t>
      </w:r>
    </w:p>
    <w:p>
      <w:pPr>
        <w:pStyle w:val="Subtitle"/>
        <w:spacing w:after="360"/>
        <w:jc w:val="center"/>
      </w:pPr>
      <w:r>
        <w:t>A separate planning document for future-facing bets, scenario thinking, weak-signal monitoring, and strategic options beyond the committed ERP and 90-day execution plans.</w:t>
      </w:r>
    </w:p>
    <w:tbl>
      <w:tblPr>
        <w:tblW w:type="auto" w:w="0"/>
        <w:jc w:val="center"/>
        <w:tblLook w:firstColumn="1" w:firstRow="1" w:lastColumn="0" w:lastRow="0" w:noHBand="0" w:noVBand="1" w:val="04A0"/>
      </w:tblPr>
      <w:tblGrid>
        <w:gridCol w:w="9792"/>
      </w:tblGrid>
      <w:tr>
        <w:tc>
          <w:tcPr>
            <w:tcW w:type="dxa" w:w="9792"/>
            <w:shd w:fill="EEF3F9"/>
            <w:tcBorders>
              <w:left w:val="single" w:sz="10" w:color="167C80"/>
              <w:top w:val="single" w:sz="4" w:color="EEF3F9"/>
              <w:right w:val="single" w:sz="4" w:color="EEF3F9"/>
              <w:bottom w:val="single" w:sz="4" w:color="EEF3F9"/>
            </w:tcBorders>
            <w:vAlign w:val="center"/>
          </w:tcPr>
          <w:p>
            <w:pPr>
              <w:spacing w:after="0"/>
            </w:pPr>
            <w:r>
              <w:rPr>
                <w:b/>
                <w:color w:val="167C80"/>
                <w:sz w:val="21"/>
              </w:rPr>
              <w:t xml:space="preserve">Planning posture: </w:t>
            </w:r>
            <w:r>
              <w:rPr>
                <w:sz w:val="21"/>
              </w:rPr>
              <w:t>This document is not a promise that every idea will happen. It exists to preserve anticipatory thinking, protect creative range, and help Dominion stay early to meaningful shifts without confusing speculation with current execution.</w:t>
            </w:r>
          </w:p>
        </w:tc>
      </w:tr>
    </w:tbl>
    <w:p/>
    <w:p>
      <w:pPr>
        <w:jc w:val="center"/>
      </w:pPr>
      <w:r>
        <w:rPr>
          <w:b/>
          <w:color w:val="1F355E"/>
          <w:sz w:val="24"/>
        </w:rPr>
        <w:t>Primary filter: every idea must plausibly move Dominion toward netting about $2M per year with just Adam and Logan.</w:t>
      </w:r>
    </w:p>
    <w:p/>
    <w:tbl>
      <w:tblPr>
        <w:tblStyle w:val="TableGrid"/>
        <w:tblW w:type="auto" w:w="0"/>
        <w:jc w:val="center"/>
        <w:tblLook w:firstColumn="1" w:firstRow="1" w:lastColumn="0" w:lastRow="0" w:noHBand="0" w:noVBand="1" w:val="04A0"/>
      </w:tblPr>
      <w:tblGrid>
        <w:gridCol w:w="4896"/>
        <w:gridCol w:w="4896"/>
      </w:tblGrid>
      <w:tr>
        <w:tc>
          <w:tcPr>
            <w:tcW w:type="dxa" w:w="6912"/>
            <w:shd w:fill="1F355E"/>
            <w:vAlign w:val="center"/>
          </w:tcPr>
          <w:p>
            <w:pPr>
              <w:jc w:val="center"/>
            </w:pPr>
            <w:r>
              <w:rPr>
                <w:b/>
                <w:color w:val="FFFFFF"/>
                <w:sz w:val="20"/>
              </w:rPr>
              <w:t>What this is for</w:t>
            </w:r>
          </w:p>
        </w:tc>
        <w:tc>
          <w:tcPr>
            <w:tcW w:type="dxa" w:w="6912"/>
            <w:shd w:fill="1F355E"/>
            <w:vAlign w:val="center"/>
          </w:tcPr>
          <w:p>
            <w:pPr>
              <w:jc w:val="center"/>
            </w:pPr>
            <w:r>
              <w:rPr>
                <w:b/>
                <w:color w:val="FFFFFF"/>
                <w:sz w:val="20"/>
              </w:rPr>
              <w:t>What this is not for</w:t>
            </w:r>
          </w:p>
        </w:tc>
      </w:tr>
      <w:tr>
        <w:tc>
          <w:tcPr>
            <w:tcW w:type="dxa" w:w="6912"/>
            <w:shd w:fill="F6F8FB"/>
            <w:vAlign w:val="center"/>
          </w:tcPr>
          <w:p>
            <w:pPr>
              <w:spacing w:after="40"/>
            </w:pPr>
            <w:r>
              <w:rPr>
                <w:sz w:val="19"/>
              </w:rPr>
              <w:t>Capturing likely industry/tool shifts, preserving creative opportunities, and defining watchpoints that could change the operating model.</w:t>
            </w:r>
          </w:p>
        </w:tc>
        <w:tc>
          <w:tcPr>
            <w:tcW w:type="dxa" w:w="6912"/>
            <w:shd w:fill="F6F8FB"/>
            <w:vAlign w:val="center"/>
          </w:tcPr>
          <w:p>
            <w:pPr>
              <w:spacing w:after="40"/>
            </w:pPr>
            <w:r>
              <w:rPr>
                <w:sz w:val="19"/>
              </w:rPr>
              <w:t>Replacing the ERP plan, turning speculation into commitments, or distracting the team from current workflow discipline and revenue needs.</w:t>
            </w:r>
          </w:p>
        </w:tc>
      </w:tr>
    </w:tbl>
    <w:p/>
    <w:p>
      <w:r>
        <w:br w:type="page"/>
      </w:r>
    </w:p>
    <w:p>
      <w:pPr>
        <w:pStyle w:val="Heading1"/>
      </w:pPr>
      <w:r>
        <w:t>1. Why this document exists</w:t>
      </w:r>
    </w:p>
    <w:p>
      <w:r>
        <w:t>The ERP plan defines the committed architecture and near-term build direction. This forward-looking plan exists beside it for a different job: to hold strategic ideas that are plausible, high-leverage, and worth monitoring even when they are not yet proven or ready for immediate execution.</w:t>
      </w:r>
    </w:p>
    <w:p>
      <w:r>
        <w:t>That separation matters. Dominion should stay narrow in execution and broad in strategic awareness. If everything interesting gets forced into the main roadmap, the roadmap becomes noisy and unrealistic. If creative thinking has no home, the business becomes reactive and backward-looking.</w:t>
      </w:r>
    </w:p>
    <w:tbl>
      <w:tblPr>
        <w:tblW w:type="auto" w:w="0"/>
        <w:jc w:val="center"/>
        <w:tblLook w:firstColumn="1" w:firstRow="1" w:lastColumn="0" w:lastRow="0" w:noHBand="0" w:noVBand="1" w:val="04A0"/>
      </w:tblPr>
      <w:tblGrid>
        <w:gridCol w:w="9792"/>
      </w:tblGrid>
      <w:tr>
        <w:tc>
          <w:tcPr>
            <w:tcW w:type="dxa" w:w="9792"/>
            <w:shd w:fill="F6F8FB"/>
            <w:tcBorders>
              <w:left w:val="single" w:sz="10" w:color="1F355E"/>
              <w:top w:val="single" w:sz="4" w:color="F6F8FB"/>
              <w:right w:val="single" w:sz="4" w:color="F6F8FB"/>
              <w:bottom w:val="single" w:sz="4" w:color="F6F8FB"/>
            </w:tcBorders>
            <w:vAlign w:val="center"/>
          </w:tcPr>
          <w:p>
            <w:pPr>
              <w:spacing w:after="0"/>
            </w:pPr>
            <w:r>
              <w:rPr>
                <w:b/>
                <w:color w:val="1F355E"/>
                <w:sz w:val="21"/>
              </w:rPr>
              <w:t xml:space="preserve">Operating rule: </w:t>
            </w:r>
            <w:r>
              <w:rPr>
                <w:sz w:val="21"/>
              </w:rPr>
              <w:t>Use this document to keep a live list of likely future shifts, strategic opportunities, assumptions to test, risks of being too early, risks of being too late, and trigger points that would justify a change in the main plan.</w:t>
            </w:r>
          </w:p>
        </w:tc>
      </w:tr>
    </w:tbl>
    <w:p/>
    <w:p>
      <w:pPr>
        <w:pStyle w:val="Heading1"/>
      </w:pPr>
      <w:r>
        <w:t>2. Current Dominion position and hard constraints</w:t>
      </w:r>
    </w:p>
    <w:p>
      <w:r>
        <w:t>Dominion is still a very small, highly committed operator. Adam is the systems, KPI, and backend owner. Logan is the main acquisitions/dispositions operator and trust-heavy closer. Spokane is the main market and Kootenai is the adjacent market. The company needs near-term income, but the real goal is a durable machine that can reach roughly $2M net with only two people.</w:t>
      </w:r>
    </w:p>
    <w:p>
      <w:pPr>
        <w:ind w:left="288" w:hanging="216"/>
      </w:pPr>
      <w:r>
        <w:rPr>
          <w:sz w:val="21"/>
        </w:rPr>
        <w:t>• Best current niche fit: inherited property with burden and absentee landlord with burden.</w:t>
      </w:r>
    </w:p>
    <w:p>
      <w:pPr>
        <w:ind w:left="288" w:hanging="216"/>
      </w:pPr>
      <w:r>
        <w:rPr>
          <w:sz w:val="21"/>
        </w:rPr>
        <w:t>• Best immediate edge: speed, local trust, cleaner follow-up, better understanding of fewer leads.</w:t>
      </w:r>
    </w:p>
    <w:p>
      <w:pPr>
        <w:ind w:left="288" w:hanging="216"/>
      </w:pPr>
      <w:r>
        <w:rPr>
          <w:sz w:val="21"/>
        </w:rPr>
        <w:t>• Current weak points: formal workflow discipline, intake consistency, offer confidence, and disposition depth.</w:t>
      </w:r>
    </w:p>
    <w:p>
      <w:pPr>
        <w:ind w:left="288" w:hanging="216"/>
      </w:pPr>
      <w:r>
        <w:rPr>
          <w:sz w:val="21"/>
        </w:rPr>
        <w:t>• Capital is constrained, which means sequencing matters more than theoretical completeness.</w:t>
      </w:r>
    </w:p>
    <w:p>
      <w:pPr>
        <w:pStyle w:val="Heading1"/>
      </w:pPr>
      <w:r>
        <w:t>3. The dominant rule: this is not an AI project, it is a labor and throughput project</w:t>
      </w:r>
    </w:p>
    <w:p>
      <w:r>
        <w:t>Every idea in this document should be judged by the same standard: does it improve contracts per founder-hour, speed-to-lead, follow-up reliability, monetizability, trust conversion, or support-labor compression? If not, it does not deserve oxygen.</w:t>
      </w:r>
    </w:p>
    <w:tbl>
      <w:tblPr>
        <w:tblStyle w:val="TableGrid"/>
        <w:tblW w:type="auto" w:w="0"/>
        <w:jc w:val="center"/>
        <w:tblLook w:firstColumn="1" w:firstRow="1" w:lastColumn="0" w:lastRow="0" w:noHBand="0" w:noVBand="1" w:val="04A0"/>
      </w:tblPr>
      <w:tblGrid>
        <w:gridCol w:w="3264"/>
        <w:gridCol w:w="3264"/>
        <w:gridCol w:w="3264"/>
      </w:tblGrid>
      <w:tr>
        <w:tc>
          <w:tcPr>
            <w:tcW w:type="dxa" w:w="3312"/>
            <w:shd w:fill="1F355E"/>
            <w:vAlign w:val="center"/>
          </w:tcPr>
          <w:p>
            <w:pPr>
              <w:jc w:val="center"/>
            </w:pPr>
            <w:r>
              <w:rPr>
                <w:b/>
                <w:color w:val="FFFFFF"/>
                <w:sz w:val="20"/>
              </w:rPr>
              <w:t>Question</w:t>
            </w:r>
          </w:p>
        </w:tc>
        <w:tc>
          <w:tcPr>
            <w:tcW w:type="dxa" w:w="5040"/>
            <w:shd w:fill="1F355E"/>
            <w:vAlign w:val="center"/>
          </w:tcPr>
          <w:p>
            <w:pPr>
              <w:jc w:val="center"/>
            </w:pPr>
            <w:r>
              <w:rPr>
                <w:b/>
                <w:color w:val="FFFFFF"/>
                <w:sz w:val="20"/>
              </w:rPr>
              <w:t>Good answer</w:t>
            </w:r>
          </w:p>
        </w:tc>
        <w:tc>
          <w:tcPr>
            <w:tcW w:type="dxa" w:w="5040"/>
            <w:shd w:fill="1F355E"/>
            <w:vAlign w:val="center"/>
          </w:tcPr>
          <w:p>
            <w:pPr>
              <w:jc w:val="center"/>
            </w:pPr>
            <w:r>
              <w:rPr>
                <w:b/>
                <w:color w:val="FFFFFF"/>
                <w:sz w:val="20"/>
              </w:rPr>
              <w:t>Bad answer</w:t>
            </w:r>
          </w:p>
        </w:tc>
      </w:tr>
      <w:tr>
        <w:tc>
          <w:tcPr>
            <w:tcW w:type="dxa" w:w="3312"/>
            <w:shd w:fill="F6F8FB"/>
            <w:vAlign w:val="center"/>
          </w:tcPr>
          <w:p>
            <w:pPr>
              <w:spacing w:after="40"/>
            </w:pPr>
            <w:r>
              <w:rPr>
                <w:sz w:val="19"/>
              </w:rPr>
              <w:t>Why build this?</w:t>
            </w:r>
          </w:p>
        </w:tc>
        <w:tc>
          <w:tcPr>
            <w:tcW w:type="dxa" w:w="5040"/>
            <w:shd w:fill="F6F8FB"/>
            <w:vAlign w:val="center"/>
          </w:tcPr>
          <w:p>
            <w:pPr>
              <w:spacing w:after="40"/>
            </w:pPr>
            <w:r>
              <w:rPr>
                <w:sz w:val="19"/>
              </w:rPr>
              <w:t>It removes labor, improves call quality, or protects deal flow.</w:t>
            </w:r>
          </w:p>
        </w:tc>
        <w:tc>
          <w:tcPr>
            <w:tcW w:type="dxa" w:w="5040"/>
            <w:shd w:fill="F6F8FB"/>
            <w:vAlign w:val="center"/>
          </w:tcPr>
          <w:p>
            <w:pPr>
              <w:spacing w:after="40"/>
            </w:pPr>
            <w:r>
              <w:rPr>
                <w:sz w:val="19"/>
              </w:rPr>
              <w:t>It sounds futuristic or competitors might talk about it.</w:t>
            </w:r>
          </w:p>
        </w:tc>
      </w:tr>
      <w:tr>
        <w:tc>
          <w:tcPr>
            <w:tcW w:type="dxa" w:w="3312"/>
            <w:vAlign w:val="center"/>
          </w:tcPr>
          <w:p>
            <w:pPr>
              <w:spacing w:after="40"/>
            </w:pPr>
            <w:r>
              <w:rPr>
                <w:sz w:val="19"/>
              </w:rPr>
              <w:t>Why delay this?</w:t>
            </w:r>
          </w:p>
        </w:tc>
        <w:tc>
          <w:tcPr>
            <w:tcW w:type="dxa" w:w="5040"/>
            <w:vAlign w:val="center"/>
          </w:tcPr>
          <w:p>
            <w:pPr>
              <w:spacing w:after="40"/>
            </w:pPr>
            <w:r>
              <w:rPr>
                <w:sz w:val="19"/>
              </w:rPr>
              <w:t>It needs better workflow, data, compliance, or buyer depth first.</w:t>
            </w:r>
          </w:p>
        </w:tc>
        <w:tc>
          <w:tcPr>
            <w:tcW w:type="dxa" w:w="5040"/>
            <w:vAlign w:val="center"/>
          </w:tcPr>
          <w:p>
            <w:pPr>
              <w:spacing w:after="40"/>
            </w:pPr>
            <w:r>
              <w:rPr>
                <w:sz w:val="19"/>
              </w:rPr>
              <w:t>It is unfamiliar or feels ambitious.</w:t>
            </w:r>
          </w:p>
        </w:tc>
      </w:tr>
      <w:tr>
        <w:tc>
          <w:tcPr>
            <w:tcW w:type="dxa" w:w="3312"/>
            <w:shd w:fill="F6F8FB"/>
            <w:vAlign w:val="center"/>
          </w:tcPr>
          <w:p>
            <w:pPr>
              <w:spacing w:after="40"/>
            </w:pPr>
            <w:r>
              <w:rPr>
                <w:sz w:val="19"/>
              </w:rPr>
              <w:t>What wins?</w:t>
            </w:r>
          </w:p>
        </w:tc>
        <w:tc>
          <w:tcPr>
            <w:tcW w:type="dxa" w:w="5040"/>
            <w:shd w:fill="F6F8FB"/>
            <w:vAlign w:val="center"/>
          </w:tcPr>
          <w:p>
            <w:pPr>
              <w:spacing w:after="40"/>
            </w:pPr>
            <w:r>
              <w:rPr>
                <w:sz w:val="19"/>
              </w:rPr>
              <w:t>Narrow but powerful systems tied to operator action.</w:t>
            </w:r>
          </w:p>
        </w:tc>
        <w:tc>
          <w:tcPr>
            <w:tcW w:type="dxa" w:w="5040"/>
            <w:shd w:fill="F6F8FB"/>
            <w:vAlign w:val="center"/>
          </w:tcPr>
          <w:p>
            <w:pPr>
              <w:spacing w:after="40"/>
            </w:pPr>
            <w:r>
              <w:rPr>
                <w:sz w:val="19"/>
              </w:rPr>
              <w:t>Big feature collections that create more complexity than value.</w:t>
            </w:r>
          </w:p>
        </w:tc>
      </w:tr>
    </w:tbl>
    <w:p/>
    <w:p>
      <w:r>
        <w:br w:type="page"/>
      </w:r>
    </w:p>
    <w:p>
      <w:pPr>
        <w:pStyle w:val="Heading1"/>
      </w:pPr>
      <w:r>
        <w:t>4. What seems most likely to change over the next 12–24 months</w:t>
      </w:r>
    </w:p>
    <w:p>
      <w:pPr>
        <w:pStyle w:val="Heading2"/>
      </w:pPr>
      <w:r>
        <w:t>4.1 AI advantage will shift from model access to operating-stack quality</w:t>
      </w:r>
    </w:p>
    <w:p>
      <w:r>
        <w:t>The likely bottleneck will not be access to frontier models. The bottleneck will be the quality of the operating stack around them: agent runtime, traceability, evaluation loops, tool connectivity, review workflows, prompt discipline, and deployment control.</w:t>
      </w:r>
    </w:p>
    <w:p>
      <w:pPr>
        <w:ind w:left="288" w:hanging="216"/>
      </w:pPr>
      <w:r>
        <w:rPr>
          <w:sz w:val="21"/>
        </w:rPr>
        <w:t>• More competitors will have access to capable models.</w:t>
      </w:r>
    </w:p>
    <w:p>
      <w:pPr>
        <w:ind w:left="288" w:hanging="216"/>
      </w:pPr>
      <w:r>
        <w:rPr>
          <w:sz w:val="21"/>
        </w:rPr>
        <w:t>• Fewer competitors will have reviewable, reliable, bounded AI workflows tied to real action.</w:t>
      </w:r>
    </w:p>
    <w:p>
      <w:pPr>
        <w:ind w:left="288" w:hanging="216"/>
      </w:pPr>
      <w:r>
        <w:rPr>
          <w:sz w:val="21"/>
        </w:rPr>
        <w:t>• The winning question becomes: who can improve these systems safely, quickly, and repeatedly?</w:t>
      </w:r>
    </w:p>
    <w:p>
      <w:pPr>
        <w:pStyle w:val="Heading2"/>
      </w:pPr>
      <w:r>
        <w:t>4.2 Voice will improve fast, but trust, routing, and compliance will matter even more</w:t>
      </w:r>
    </w:p>
    <w:p>
      <w:r>
        <w:t>Voice quality, latency, and tool use will continue to improve. That does not automatically make autonomous cold calling the best move. The likely winners will have better routing, better warm transfer, better fallback behavior, better approved language, cleaner takeover rules, and better observability.</w:t>
      </w:r>
    </w:p>
    <w:p>
      <w:pPr>
        <w:pStyle w:val="Heading2"/>
      </w:pPr>
      <w:r>
        <w:t>4.3 Search and discovery will become more conversational and answer-engine mediated</w:t>
      </w:r>
    </w:p>
    <w:p>
      <w:r>
        <w:t>More sellers and buyers will learn through AI-assisted search, answer engines, social video, and synthesized explanations before they ever speak to a person. That means trust assets, clear explanations, and quotable local expertise will matter more than a thin landing page.</w:t>
      </w:r>
    </w:p>
    <w:p>
      <w:pPr>
        <w:pStyle w:val="Heading2"/>
      </w:pPr>
      <w:r>
        <w:t>4.4 Consumer transactions will continue to unbundle</w:t>
      </w:r>
    </w:p>
    <w:p>
      <w:r>
        <w:t>The broad mass market will still use agents heavily for the foreseeable future. But information gathering, option comparison, and transaction coordination are already becoming more self-service. The most important change is not that agents disappear. It is that more consumers expect to choose only the help they actually need.</w:t>
      </w:r>
    </w:p>
    <w:p>
      <w:pPr>
        <w:pStyle w:val="Heading2"/>
      </w:pPr>
      <w:r>
        <w:t>4.5 Generic receptionist, note-taking, and simple lead-scoring tools will commoditize</w:t>
      </w:r>
    </w:p>
    <w:p>
      <w:r>
        <w:t>AI answering, transcription, generic summaries, and basic enrichment will become table stakes. Those tools will still matter, but they will not be enough to build a durable edge on their own.</w:t>
      </w:r>
    </w:p>
    <w:p>
      <w:pPr>
        <w:pStyle w:val="Heading2"/>
      </w:pPr>
      <w:r>
        <w:t>4.6 Disposition certainty will matter earlier</w:t>
      </w:r>
    </w:p>
    <w:p>
      <w:r>
        <w:t>If acquisition tools become easier to access, the practical edge shifts earlier toward buyer liquidity, monetizability, spread realism, and speed of exit. A company that only gets better at seller-side intake may still lose if it cannot turn the right leads into actual fees efficiently.</w:t>
      </w:r>
    </w:p>
    <w:p>
      <w:r>
        <w:br w:type="page"/>
      </w:r>
    </w:p>
    <w:p>
      <w:pPr>
        <w:pStyle w:val="Heading1"/>
      </w:pPr>
      <w:r>
        <w:t>5. What these shifts mean for wholesalers, investors, and local operators</w:t>
      </w:r>
    </w:p>
    <w:p>
      <w:r>
        <w:t>The easy edge is shrinking. More people can look up comps, learn transaction basics, compare options, talk to AI, and organize a process. That is bad news for vague operators and good news for clear ones.</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1F355E"/>
            <w:vAlign w:val="center"/>
          </w:tcPr>
          <w:p>
            <w:pPr>
              <w:jc w:val="center"/>
            </w:pPr>
            <w:r>
              <w:rPr>
                <w:b/>
                <w:color w:val="FFFFFF"/>
                <w:sz w:val="20"/>
              </w:rPr>
              <w:t>Industry change</w:t>
            </w:r>
          </w:p>
        </w:tc>
        <w:tc>
          <w:tcPr>
            <w:tcW w:type="dxa" w:w="4320"/>
            <w:shd w:fill="1F355E"/>
            <w:vAlign w:val="center"/>
          </w:tcPr>
          <w:p>
            <w:pPr>
              <w:jc w:val="center"/>
            </w:pPr>
            <w:r>
              <w:rPr>
                <w:b/>
                <w:color w:val="FFFFFF"/>
                <w:sz w:val="20"/>
              </w:rPr>
              <w:t>How generic operators respond</w:t>
            </w:r>
          </w:p>
        </w:tc>
        <w:tc>
          <w:tcPr>
            <w:tcW w:type="dxa" w:w="6048"/>
            <w:shd w:fill="1F355E"/>
            <w:vAlign w:val="center"/>
          </w:tcPr>
          <w:p>
            <w:pPr>
              <w:jc w:val="center"/>
            </w:pPr>
            <w:r>
              <w:rPr>
                <w:b/>
                <w:color w:val="FFFFFF"/>
                <w:sz w:val="20"/>
              </w:rPr>
              <w:t>What Dominion should do instead</w:t>
            </w:r>
          </w:p>
        </w:tc>
      </w:tr>
      <w:tr>
        <w:tc>
          <w:tcPr>
            <w:tcW w:type="dxa" w:w="3168"/>
            <w:shd w:fill="F6F8FB"/>
            <w:vAlign w:val="center"/>
          </w:tcPr>
          <w:p>
            <w:pPr>
              <w:spacing w:after="40"/>
            </w:pPr>
            <w:r>
              <w:rPr>
                <w:sz w:val="18"/>
              </w:rPr>
              <w:t>AI answering becomes common</w:t>
            </w:r>
          </w:p>
        </w:tc>
        <w:tc>
          <w:tcPr>
            <w:tcW w:type="dxa" w:w="4320"/>
            <w:shd w:fill="F6F8FB"/>
            <w:vAlign w:val="center"/>
          </w:tcPr>
          <w:p>
            <w:pPr>
              <w:spacing w:after="40"/>
            </w:pPr>
            <w:r>
              <w:rPr>
                <w:sz w:val="18"/>
              </w:rPr>
              <w:t>Buy a receptionist tool and call it innovation.</w:t>
            </w:r>
          </w:p>
        </w:tc>
        <w:tc>
          <w:tcPr>
            <w:tcW w:type="dxa" w:w="6048"/>
            <w:shd w:fill="F6F8FB"/>
            <w:vAlign w:val="center"/>
          </w:tcPr>
          <w:p>
            <w:pPr>
              <w:spacing w:after="40"/>
            </w:pPr>
            <w:r>
              <w:rPr>
                <w:sz w:val="18"/>
              </w:rPr>
              <w:t>Tie voice to routing, warm transfer, writeback, and review discipline.</w:t>
            </w:r>
          </w:p>
        </w:tc>
      </w:tr>
      <w:tr>
        <w:tc>
          <w:tcPr>
            <w:tcW w:type="dxa" w:w="3168"/>
            <w:vAlign w:val="center"/>
          </w:tcPr>
          <w:p>
            <w:pPr>
              <w:spacing w:after="40"/>
            </w:pPr>
            <w:r>
              <w:rPr>
                <w:sz w:val="18"/>
              </w:rPr>
              <w:t>Consumers self-educate more</w:t>
            </w:r>
          </w:p>
        </w:tc>
        <w:tc>
          <w:tcPr>
            <w:tcW w:type="dxa" w:w="4320"/>
            <w:vAlign w:val="center"/>
          </w:tcPr>
          <w:p>
            <w:pPr>
              <w:spacing w:after="40"/>
            </w:pPr>
            <w:r>
              <w:rPr>
                <w:sz w:val="18"/>
              </w:rPr>
              <w:t>Double down on generic persuasion.</w:t>
            </w:r>
          </w:p>
        </w:tc>
        <w:tc>
          <w:tcPr>
            <w:tcW w:type="dxa" w:w="6048"/>
            <w:vAlign w:val="center"/>
          </w:tcPr>
          <w:p>
            <w:pPr>
              <w:spacing w:after="40"/>
            </w:pPr>
            <w:r>
              <w:rPr>
                <w:sz w:val="18"/>
              </w:rPr>
              <w:t>Become the clearest local guide for direct sale, inherited-property, and off-market options.</w:t>
            </w:r>
          </w:p>
        </w:tc>
      </w:tr>
      <w:tr>
        <w:tc>
          <w:tcPr>
            <w:tcW w:type="dxa" w:w="3168"/>
            <w:shd w:fill="F6F8FB"/>
            <w:vAlign w:val="center"/>
          </w:tcPr>
          <w:p>
            <w:pPr>
              <w:spacing w:after="40"/>
            </w:pPr>
            <w:r>
              <w:rPr>
                <w:sz w:val="18"/>
              </w:rPr>
              <w:t>Search gets more AI-mediated</w:t>
            </w:r>
          </w:p>
        </w:tc>
        <w:tc>
          <w:tcPr>
            <w:tcW w:type="dxa" w:w="4320"/>
            <w:shd w:fill="F6F8FB"/>
            <w:vAlign w:val="center"/>
          </w:tcPr>
          <w:p>
            <w:pPr>
              <w:spacing w:after="40"/>
            </w:pPr>
            <w:r>
              <w:rPr>
                <w:sz w:val="18"/>
              </w:rPr>
              <w:t>Keep thin PPC pages and generic copy.</w:t>
            </w:r>
          </w:p>
        </w:tc>
        <w:tc>
          <w:tcPr>
            <w:tcW w:type="dxa" w:w="6048"/>
            <w:shd w:fill="F6F8FB"/>
            <w:vAlign w:val="center"/>
          </w:tcPr>
          <w:p>
            <w:pPr>
              <w:spacing w:after="40"/>
            </w:pPr>
            <w:r>
              <w:rPr>
                <w:sz w:val="18"/>
              </w:rPr>
              <w:t>Build trust/explanation assets that answer local questions clearly and credibly.</w:t>
            </w:r>
          </w:p>
        </w:tc>
      </w:tr>
      <w:tr>
        <w:tc>
          <w:tcPr>
            <w:tcW w:type="dxa" w:w="3168"/>
            <w:vAlign w:val="center"/>
          </w:tcPr>
          <w:p>
            <w:pPr>
              <w:spacing w:after="40"/>
            </w:pPr>
            <w:r>
              <w:rPr>
                <w:sz w:val="18"/>
              </w:rPr>
              <w:t>Basic lead scoring commoditizes</w:t>
            </w:r>
          </w:p>
        </w:tc>
        <w:tc>
          <w:tcPr>
            <w:tcW w:type="dxa" w:w="4320"/>
            <w:vAlign w:val="center"/>
          </w:tcPr>
          <w:p>
            <w:pPr>
              <w:spacing w:after="40"/>
            </w:pPr>
            <w:r>
              <w:rPr>
                <w:sz w:val="18"/>
              </w:rPr>
              <w:t>Chase more volume.</w:t>
            </w:r>
          </w:p>
        </w:tc>
        <w:tc>
          <w:tcPr>
            <w:tcW w:type="dxa" w:w="6048"/>
            <w:vAlign w:val="center"/>
          </w:tcPr>
          <w:p>
            <w:pPr>
              <w:spacing w:after="40"/>
            </w:pPr>
            <w:r>
              <w:rPr>
                <w:sz w:val="18"/>
              </w:rPr>
              <w:t>Understand fewer leads better and route time more ruthlessly.</w:t>
            </w:r>
          </w:p>
        </w:tc>
      </w:tr>
      <w:tr>
        <w:tc>
          <w:tcPr>
            <w:tcW w:type="dxa" w:w="3168"/>
            <w:shd w:fill="F6F8FB"/>
            <w:vAlign w:val="center"/>
          </w:tcPr>
          <w:p>
            <w:pPr>
              <w:spacing w:after="40"/>
            </w:pPr>
            <w:r>
              <w:rPr>
                <w:sz w:val="18"/>
              </w:rPr>
              <w:t>Acquisition becomes easier</w:t>
            </w:r>
          </w:p>
        </w:tc>
        <w:tc>
          <w:tcPr>
            <w:tcW w:type="dxa" w:w="4320"/>
            <w:shd w:fill="F6F8FB"/>
            <w:vAlign w:val="center"/>
          </w:tcPr>
          <w:p>
            <w:pPr>
              <w:spacing w:after="40"/>
            </w:pPr>
            <w:r>
              <w:rPr>
                <w:sz w:val="18"/>
              </w:rPr>
              <w:t>Keep dispo as an afterthought.</w:t>
            </w:r>
          </w:p>
        </w:tc>
        <w:tc>
          <w:tcPr>
            <w:tcW w:type="dxa" w:w="6048"/>
            <w:shd w:fill="F6F8FB"/>
            <w:vAlign w:val="center"/>
          </w:tcPr>
          <w:p>
            <w:pPr>
              <w:spacing w:after="40"/>
            </w:pPr>
            <w:r>
              <w:rPr>
                <w:sz w:val="18"/>
              </w:rPr>
              <w:t>Move buyer memory, buyer-fit, and monetizability earlier.</w:t>
            </w:r>
          </w:p>
        </w:tc>
      </w:tr>
    </w:tbl>
    <w:p/>
    <w:p>
      <w:pPr>
        <w:pStyle w:val="Heading1"/>
      </w:pPr>
      <w:r>
        <w:t>6. The no-agent / direct transaction trend: what it really means</w:t>
      </w:r>
    </w:p>
    <w:p>
      <w:r>
        <w:t>The highest-value interpretation is not that people stop using agents overnight. It is that information and coordination are being unbundled. More people may want a direct path, a cash buyer, a limited-guide relationship, a transparent options comparison, or a transaction concierge instead of a traditional full-service experience.</w:t>
      </w:r>
    </w:p>
    <w:tbl>
      <w:tblPr>
        <w:tblW w:type="auto" w:w="0"/>
        <w:jc w:val="center"/>
        <w:tblLook w:firstColumn="1" w:firstRow="1" w:lastColumn="0" w:lastRow="0" w:noHBand="0" w:noVBand="1" w:val="04A0"/>
      </w:tblPr>
      <w:tblGrid>
        <w:gridCol w:w="9792"/>
      </w:tblGrid>
      <w:tr>
        <w:tc>
          <w:tcPr>
            <w:tcW w:type="dxa" w:w="9792"/>
            <w:shd w:fill="EEF7F1"/>
            <w:tcBorders>
              <w:left w:val="single" w:sz="10" w:color="167C80"/>
              <w:top w:val="single" w:sz="4" w:color="EEF7F1"/>
              <w:right w:val="single" w:sz="4" w:color="EEF7F1"/>
              <w:bottom w:val="single" w:sz="4" w:color="EEF7F1"/>
            </w:tcBorders>
            <w:vAlign w:val="center"/>
          </w:tcPr>
          <w:p>
            <w:pPr>
              <w:spacing w:after="0"/>
            </w:pPr>
            <w:r>
              <w:rPr>
                <w:b/>
                <w:color w:val="167C80"/>
                <w:sz w:val="21"/>
              </w:rPr>
              <w:t xml:space="preserve">Strategic interpretation: </w:t>
            </w:r>
            <w:r>
              <w:rPr>
                <w:sz w:val="21"/>
              </w:rPr>
              <w:t>If that trend grows, the threat is not simply 'more competition.' The real threat is that the old moat of 'I know the process and you do not' gets weaker. The opportunity is to become the local company that helps people act directly without feeling alone or confused.</w:t>
            </w:r>
          </w:p>
        </w:tc>
      </w:tr>
    </w:tbl>
    <w:p/>
    <w:p>
      <w:pPr>
        <w:pStyle w:val="Heading2"/>
      </w:pPr>
      <w:r>
        <w:t>Possible implications of that shift</w:t>
      </w:r>
    </w:p>
    <w:p>
      <w:pPr>
        <w:ind w:left="288" w:hanging="216"/>
      </w:pPr>
      <w:r>
        <w:rPr>
          <w:sz w:val="21"/>
        </w:rPr>
        <w:t>• Clean retail-adjacent deals may face more direct competition and less tolerance for fuzzy wholesaler language.</w:t>
      </w:r>
    </w:p>
    <w:p>
      <w:pPr>
        <w:ind w:left="288" w:hanging="216"/>
      </w:pPr>
      <w:r>
        <w:rPr>
          <w:sz w:val="21"/>
        </w:rPr>
        <w:t>• Complicated distress situations remain hard: probate, authority uncertainty, title friction, family coordination, repair ambiguity, and buyer-fit still require real help.</w:t>
      </w:r>
    </w:p>
    <w:p>
      <w:pPr>
        <w:ind w:left="288" w:hanging="216"/>
      </w:pPr>
      <w:r>
        <w:rPr>
          <w:sz w:val="21"/>
        </w:rPr>
        <w:t>• Consumers may increasingly value option comparison and process transparency over hard persuasion.</w:t>
      </w:r>
    </w:p>
    <w:p>
      <w:pPr>
        <w:ind w:left="288" w:hanging="216"/>
      </w:pPr>
      <w:r>
        <w:rPr>
          <w:sz w:val="21"/>
        </w:rPr>
        <w:t>• A direct-sale guidance category may emerge between 'agent representation' and 'true DIY'.</w:t>
      </w:r>
    </w:p>
    <w:p>
      <w:r>
        <w:br w:type="page"/>
      </w:r>
    </w:p>
    <w:p>
      <w:pPr>
        <w:pStyle w:val="Heading1"/>
      </w:pPr>
      <w:r>
        <w:t>7. Creative opportunities Dominion could capitalize on</w:t>
      </w:r>
    </w:p>
    <w:p>
      <w:pPr>
        <w:pStyle w:val="Heading2"/>
      </w:pPr>
      <w:r>
        <w:t>7.1 Become the best local direct-sale and problem-property guide</w:t>
      </w:r>
    </w:p>
    <w:p>
      <w:r>
        <w:t>Dominion should think beyond 'we buy houses for cash.' The more forward-looking position is: local direct-sale and problem-property solutions company. That keeps wholesaling, wholetail, novation, and partner-agent paths available without forcing one answer on every lead.</w:t>
      </w:r>
    </w:p>
    <w:p>
      <w:pPr>
        <w:pStyle w:val="Heading2"/>
      </w:pPr>
      <w:r>
        <w:t>7.2 Build an options engine, not just a cash-offer funnel</w:t>
      </w:r>
    </w:p>
    <w:p>
      <w:pPr>
        <w:ind w:left="288" w:hanging="216"/>
      </w:pPr>
      <w:r>
        <w:rPr>
          <w:sz w:val="21"/>
        </w:rPr>
        <w:t>• Cash offer</w:t>
      </w:r>
    </w:p>
    <w:p>
      <w:pPr>
        <w:ind w:left="288" w:hanging="216"/>
      </w:pPr>
      <w:r>
        <w:rPr>
          <w:sz w:val="21"/>
        </w:rPr>
        <w:t>• Wholetail path</w:t>
      </w:r>
    </w:p>
    <w:p>
      <w:pPr>
        <w:ind w:left="288" w:hanging="216"/>
      </w:pPr>
      <w:r>
        <w:rPr>
          <w:sz w:val="21"/>
        </w:rPr>
        <w:t>• Novation path</w:t>
      </w:r>
    </w:p>
    <w:p>
      <w:pPr>
        <w:ind w:left="288" w:hanging="216"/>
      </w:pPr>
      <w:r>
        <w:rPr>
          <w:sz w:val="21"/>
        </w:rPr>
        <w:t>• Partner-agent route when it produces the best outcome</w:t>
      </w:r>
    </w:p>
    <w:p>
      <w:pPr>
        <w:ind w:left="288" w:hanging="216"/>
      </w:pPr>
      <w:r>
        <w:rPr>
          <w:sz w:val="21"/>
        </w:rPr>
        <w:t>• Delayed or nurture path when selling now is not yet right</w:t>
      </w:r>
    </w:p>
    <w:p>
      <w:r>
        <w:t>The strategic benefit is that informed sellers often want comparisons. An options engine makes Dominion stronger in a world where sellers can ask AI to sanity-check your offer.</w:t>
      </w:r>
    </w:p>
    <w:p>
      <w:pPr>
        <w:pStyle w:val="Heading2"/>
      </w:pPr>
      <w:r>
        <w:t>7.3 Turn transparency into a weapon</w:t>
      </w:r>
    </w:p>
    <w:p>
      <w:r>
        <w:t>Assume more serious leads will ask an AI system, a friend, or another buyer to compare what Dominion is saying. That makes clarity a competitive asset.</w:t>
      </w:r>
    </w:p>
    <w:p>
      <w:pPr>
        <w:ind w:left="288" w:hanging="216"/>
      </w:pPr>
      <w:r>
        <w:rPr>
          <w:sz w:val="21"/>
        </w:rPr>
        <w:t>• Seller proof pack for each real offer</w:t>
      </w:r>
    </w:p>
    <w:p>
      <w:pPr>
        <w:ind w:left="288" w:hanging="216"/>
      </w:pPr>
      <w:r>
        <w:rPr>
          <w:sz w:val="21"/>
        </w:rPr>
        <w:t>• Offer logic summary</w:t>
      </w:r>
    </w:p>
    <w:p>
      <w:pPr>
        <w:ind w:left="288" w:hanging="216"/>
      </w:pPr>
      <w:r>
        <w:rPr>
          <w:sz w:val="21"/>
        </w:rPr>
        <w:t>• Expected timeline by option</w:t>
      </w:r>
    </w:p>
    <w:p>
      <w:pPr>
        <w:ind w:left="288" w:hanging="216"/>
      </w:pPr>
      <w:r>
        <w:rPr>
          <w:sz w:val="21"/>
        </w:rPr>
        <w:t>• As-is versus improved-value framing</w:t>
      </w:r>
    </w:p>
    <w:p>
      <w:pPr>
        <w:ind w:left="288" w:hanging="216"/>
      </w:pPr>
      <w:r>
        <w:rPr>
          <w:sz w:val="21"/>
        </w:rPr>
        <w:t>• Repair and title assumptions stated plainly</w:t>
      </w:r>
    </w:p>
    <w:p>
      <w:pPr>
        <w:ind w:left="288" w:hanging="216"/>
      </w:pPr>
      <w:r>
        <w:rPr>
          <w:sz w:val="21"/>
        </w:rPr>
        <w:t>• What happens after signature and what costs or fees to expect</w:t>
      </w:r>
    </w:p>
    <w:p>
      <w:pPr>
        <w:pStyle w:val="Heading2"/>
      </w:pPr>
      <w:r>
        <w:t>7.4 Create a direct-buyer lane</w:t>
      </w:r>
    </w:p>
    <w:p>
      <w:r>
        <w:t>If more buyers become comfortable transacting with less agent dependence, Dominion can widen its exit paths. That does not mean becoming a retail marketplace. It means capturing more buyer readiness, preferences, timing, and transparency so wholetail and novation exits become more practical.</w:t>
      </w:r>
    </w:p>
    <w:p>
      <w:pPr>
        <w:pStyle w:val="Heading2"/>
      </w:pPr>
      <w:r>
        <w:t>7.5 Build a transaction-concierge position</w:t>
      </w:r>
    </w:p>
    <w:p>
      <w:r>
        <w:t>One possible future category is 'no agent, but not alone.' Dominion could eventually occupy a local version of that category: direct-sale guidance, title and process coordination, clean escalation when something gets weird, and multiple outcome paths. The exact monetization and compliance model would need careful treatment, but the category is strategically worth watching.</w:t>
      </w:r>
    </w:p>
    <w:p>
      <w:r>
        <w:br w:type="page"/>
      </w:r>
    </w:p>
    <w:p>
      <w:pPr>
        <w:pStyle w:val="Heading1"/>
      </w:pPr>
      <w:r>
        <w:t>8. AI tools, not just AI features: what Dominion should design around</w:t>
      </w:r>
    </w:p>
    <w:p>
      <w:r>
        <w:t>The forward-looking mistake would be to think mostly in features. The better framing is operational tooling. Features come and go; a strong control plane compounds.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F355E"/>
            <w:vAlign w:val="center"/>
          </w:tcPr>
          <w:p>
            <w:pPr>
              <w:jc w:val="center"/>
            </w:pPr>
            <w:r>
              <w:rPr>
                <w:b/>
                <w:color w:val="FFFFFF"/>
                <w:sz w:val="20"/>
              </w:rPr>
              <w:t>Layer</w:t>
            </w:r>
          </w:p>
        </w:tc>
        <w:tc>
          <w:tcPr>
            <w:tcW w:type="dxa" w:w="4608"/>
            <w:shd w:fill="1F355E"/>
            <w:vAlign w:val="center"/>
          </w:tcPr>
          <w:p>
            <w:pPr>
              <w:jc w:val="center"/>
            </w:pPr>
            <w:r>
              <w:rPr>
                <w:b/>
                <w:color w:val="FFFFFF"/>
                <w:sz w:val="20"/>
              </w:rPr>
              <w:t>What it means</w:t>
            </w:r>
          </w:p>
        </w:tc>
        <w:tc>
          <w:tcPr>
            <w:tcW w:type="dxa" w:w="5760"/>
            <w:shd w:fill="1F355E"/>
            <w:vAlign w:val="center"/>
          </w:tcPr>
          <w:p>
            <w:pPr>
              <w:jc w:val="center"/>
            </w:pPr>
            <w:r>
              <w:rPr>
                <w:b/>
                <w:color w:val="FFFFFF"/>
                <w:sz w:val="20"/>
              </w:rPr>
              <w:t>Why it matters to Dominion</w:t>
            </w:r>
          </w:p>
        </w:tc>
      </w:tr>
      <w:tr>
        <w:tc>
          <w:tcPr>
            <w:tcW w:type="dxa" w:w="2592"/>
            <w:shd w:fill="F6F8FB"/>
            <w:vAlign w:val="center"/>
          </w:tcPr>
          <w:p>
            <w:pPr>
              <w:spacing w:after="40"/>
            </w:pPr>
            <w:r>
              <w:rPr>
                <w:sz w:val="18"/>
              </w:rPr>
              <w:t>AI control plane</w:t>
            </w:r>
          </w:p>
        </w:tc>
        <w:tc>
          <w:tcPr>
            <w:tcW w:type="dxa" w:w="4608"/>
            <w:shd w:fill="F6F8FB"/>
            <w:vAlign w:val="center"/>
          </w:tcPr>
          <w:p>
            <w:pPr>
              <w:spacing w:after="40"/>
            </w:pPr>
            <w:r>
              <w:rPr>
                <w:sz w:val="18"/>
              </w:rPr>
              <w:t>Named workers, trace IDs, tool logs, eval sets, prompt registry, rollout and rollback.</w:t>
            </w:r>
          </w:p>
        </w:tc>
        <w:tc>
          <w:tcPr>
            <w:tcW w:type="dxa" w:w="5760"/>
            <w:shd w:fill="F6F8FB"/>
            <w:vAlign w:val="center"/>
          </w:tcPr>
          <w:p>
            <w:pPr>
              <w:spacing w:after="40"/>
            </w:pPr>
            <w:r>
              <w:rPr>
                <w:sz w:val="18"/>
              </w:rPr>
              <w:t>Lets a two-person team iterate safely without drowning in invisible AI behavior.</w:t>
            </w:r>
          </w:p>
        </w:tc>
      </w:tr>
      <w:tr>
        <w:tc>
          <w:tcPr>
            <w:tcW w:type="dxa" w:w="2592"/>
            <w:vAlign w:val="center"/>
          </w:tcPr>
          <w:p>
            <w:pPr>
              <w:spacing w:after="40"/>
            </w:pPr>
            <w:r>
              <w:rPr>
                <w:sz w:val="18"/>
              </w:rPr>
              <w:t>Voice runtime</w:t>
            </w:r>
          </w:p>
        </w:tc>
        <w:tc>
          <w:tcPr>
            <w:tcW w:type="dxa" w:w="4608"/>
            <w:vAlign w:val="center"/>
          </w:tcPr>
          <w:p>
            <w:pPr>
              <w:spacing w:after="40"/>
            </w:pPr>
            <w:r>
              <w:rPr>
                <w:sz w:val="18"/>
              </w:rPr>
              <w:t>Realtime session store, routing logic, warm transfer, fallback ladder, script versions, call traces.</w:t>
            </w:r>
          </w:p>
        </w:tc>
        <w:tc>
          <w:tcPr>
            <w:tcW w:type="dxa" w:w="5760"/>
            <w:vAlign w:val="center"/>
          </w:tcPr>
          <w:p>
            <w:pPr>
              <w:spacing w:after="40"/>
            </w:pPr>
            <w:r>
              <w:rPr>
                <w:sz w:val="18"/>
              </w:rPr>
              <w:t>Makes voice a real operating system instead of a toy receptionist.</w:t>
            </w:r>
          </w:p>
        </w:tc>
      </w:tr>
      <w:tr>
        <w:tc>
          <w:tcPr>
            <w:tcW w:type="dxa" w:w="2592"/>
            <w:shd w:fill="F6F8FB"/>
            <w:vAlign w:val="center"/>
          </w:tcPr>
          <w:p>
            <w:pPr>
              <w:spacing w:after="40"/>
            </w:pPr>
            <w:r>
              <w:rPr>
                <w:sz w:val="18"/>
              </w:rPr>
              <w:t>Research runner</w:t>
            </w:r>
          </w:p>
        </w:tc>
        <w:tc>
          <w:tcPr>
            <w:tcW w:type="dxa" w:w="4608"/>
            <w:shd w:fill="F6F8FB"/>
            <w:vAlign w:val="center"/>
          </w:tcPr>
          <w:p>
            <w:pPr>
              <w:spacing w:after="40"/>
            </w:pPr>
            <w:r>
              <w:rPr>
                <w:sz w:val="18"/>
              </w:rPr>
              <w:t>Browser tasks, screenshots, provenance capture, evidence extraction, review queue.</w:t>
            </w:r>
          </w:p>
        </w:tc>
        <w:tc>
          <w:tcPr>
            <w:tcW w:type="dxa" w:w="5760"/>
            <w:shd w:fill="F6F8FB"/>
            <w:vAlign w:val="center"/>
          </w:tcPr>
          <w:p>
            <w:pPr>
              <w:spacing w:after="40"/>
            </w:pPr>
            <w:r>
              <w:rPr>
                <w:sz w:val="18"/>
              </w:rPr>
              <w:t>Turns messy local research into repeatable intelligence instead of undocumented manual labor.</w:t>
            </w:r>
          </w:p>
        </w:tc>
      </w:tr>
      <w:tr>
        <w:tc>
          <w:tcPr>
            <w:tcW w:type="dxa" w:w="2592"/>
            <w:vAlign w:val="center"/>
          </w:tcPr>
          <w:p>
            <w:pPr>
              <w:spacing w:after="40"/>
            </w:pPr>
            <w:r>
              <w:rPr>
                <w:sz w:val="18"/>
              </w:rPr>
              <w:t>Review console</w:t>
            </w:r>
          </w:p>
        </w:tc>
        <w:tc>
          <w:tcPr>
            <w:tcW w:type="dxa" w:w="4608"/>
            <w:vAlign w:val="center"/>
          </w:tcPr>
          <w:p>
            <w:pPr>
              <w:spacing w:after="40"/>
            </w:pPr>
            <w:r>
              <w:rPr>
                <w:sz w:val="18"/>
              </w:rPr>
              <w:t>Approve/edit/reject, confidence routing, one-click promote to Sentinel, replay evidence.</w:t>
            </w:r>
          </w:p>
        </w:tc>
        <w:tc>
          <w:tcPr>
            <w:tcW w:type="dxa" w:w="5760"/>
            <w:vAlign w:val="center"/>
          </w:tcPr>
          <w:p>
            <w:pPr>
              <w:spacing w:after="40"/>
            </w:pPr>
            <w:r>
              <w:rPr>
                <w:sz w:val="18"/>
              </w:rPr>
              <w:t>Lets small-team humans stay in control without becoming bottlenecks.</w:t>
            </w:r>
          </w:p>
        </w:tc>
      </w:tr>
      <w:tr>
        <w:tc>
          <w:tcPr>
            <w:tcW w:type="dxa" w:w="2592"/>
            <w:shd w:fill="F6F8FB"/>
            <w:vAlign w:val="center"/>
          </w:tcPr>
          <w:p>
            <w:pPr>
              <w:spacing w:after="40"/>
            </w:pPr>
            <w:r>
              <w:rPr>
                <w:sz w:val="18"/>
              </w:rPr>
              <w:t>Event and feedback store</w:t>
            </w:r>
          </w:p>
        </w:tc>
        <w:tc>
          <w:tcPr>
            <w:tcW w:type="dxa" w:w="4608"/>
            <w:shd w:fill="F6F8FB"/>
            <w:vAlign w:val="center"/>
          </w:tcPr>
          <w:p>
            <w:pPr>
              <w:spacing w:after="40"/>
            </w:pPr>
            <w:r>
              <w:rPr>
                <w:sz w:val="18"/>
              </w:rPr>
              <w:t>Calls, objections, stage dwell, missed callbacks, buyer reactions, outcomes.</w:t>
            </w:r>
          </w:p>
        </w:tc>
        <w:tc>
          <w:tcPr>
            <w:tcW w:type="dxa" w:w="5760"/>
            <w:shd w:fill="F6F8FB"/>
            <w:vAlign w:val="center"/>
          </w:tcPr>
          <w:p>
            <w:pPr>
              <w:spacing w:after="40"/>
            </w:pPr>
            <w:r>
              <w:rPr>
                <w:sz w:val="18"/>
              </w:rPr>
              <w:t>Creates the raw material for timing edge, attention allocation, and smarter prioritization.</w:t>
            </w:r>
          </w:p>
        </w:tc>
      </w:tr>
      <w:tr>
        <w:tc>
          <w:tcPr>
            <w:tcW w:type="dxa" w:w="2592"/>
            <w:vAlign w:val="center"/>
          </w:tcPr>
          <w:p>
            <w:pPr>
              <w:spacing w:after="40"/>
            </w:pPr>
            <w:r>
              <w:rPr>
                <w:sz w:val="18"/>
              </w:rPr>
              <w:t>Trust/distribution stack</w:t>
            </w:r>
          </w:p>
        </w:tc>
        <w:tc>
          <w:tcPr>
            <w:tcW w:type="dxa" w:w="4608"/>
            <w:vAlign w:val="center"/>
          </w:tcPr>
          <w:p>
            <w:pPr>
              <w:spacing w:after="40"/>
            </w:pPr>
            <w:r>
              <w:rPr>
                <w:sz w:val="18"/>
              </w:rPr>
              <w:t>FAQ assets, explanation pages, proof packs, answer-engine-friendly content.</w:t>
            </w:r>
          </w:p>
        </w:tc>
        <w:tc>
          <w:tcPr>
            <w:tcW w:type="dxa" w:w="5760"/>
            <w:vAlign w:val="center"/>
          </w:tcPr>
          <w:p>
            <w:pPr>
              <w:spacing w:after="40"/>
            </w:pPr>
            <w:r>
              <w:rPr>
                <w:sz w:val="18"/>
              </w:rPr>
              <w:t>Supports trust now and discovery later if search becomes more synthesized.</w:t>
            </w:r>
          </w:p>
        </w:tc>
      </w:tr>
    </w:tbl>
    <w:p/>
    <w:p>
      <w:pPr>
        <w:pStyle w:val="Heading1"/>
      </w:pPr>
      <w:r>
        <w:t>9. Dominion's forward-looking operating thesis</w:t>
      </w:r>
    </w:p>
    <w:p>
      <w:r>
        <w:t>Sentinel is not the whole product. The actual product is a two-person local operating machine composed of a deterministic action core, an AI control plane, a research/dossier system, a voice front office, a buyer-liquidity layer, and a trust/local-memory layer.</w:t>
      </w:r>
    </w:p>
    <w:tbl>
      <w:tblPr>
        <w:tblW w:type="auto" w:w="0"/>
        <w:jc w:val="center"/>
        <w:tblLook w:firstColumn="1" w:firstRow="1" w:lastColumn="0" w:lastRow="0" w:noHBand="0" w:noVBand="1" w:val="04A0"/>
      </w:tblPr>
      <w:tblGrid>
        <w:gridCol w:w="9792"/>
      </w:tblGrid>
      <w:tr>
        <w:tc>
          <w:tcPr>
            <w:tcW w:type="dxa" w:w="9792"/>
            <w:shd w:fill="EEF3F9"/>
            <w:tcBorders>
              <w:left w:val="single" w:sz="10" w:color="9A6C18"/>
              <w:top w:val="single" w:sz="4" w:color="EEF3F9"/>
              <w:right w:val="single" w:sz="4" w:color="EEF3F9"/>
              <w:bottom w:val="single" w:sz="4" w:color="EEF3F9"/>
            </w:tcBorders>
            <w:vAlign w:val="center"/>
          </w:tcPr>
          <w:p>
            <w:pPr>
              <w:spacing w:after="0"/>
            </w:pPr>
            <w:r>
              <w:rPr>
                <w:b/>
                <w:color w:val="9A6C18"/>
                <w:sz w:val="21"/>
              </w:rPr>
              <w:t xml:space="preserve">Likely moat: </w:t>
            </w:r>
            <w:r>
              <w:rPr>
                <w:sz w:val="21"/>
              </w:rPr>
              <w:t>The long-term moat is unlikely to be access to better models alone. The moat is more likely to be Dominion's local data, traces, evaluations, trust assets, buyer memory, event history, and timing loops — especially the parts that generic AI tools cannot copy on day one.</w:t>
            </w:r>
          </w:p>
        </w:tc>
      </w:tr>
    </w:tbl>
    <w:p/>
    <w:p>
      <w:r>
        <w:br w:type="page"/>
      </w:r>
    </w:p>
    <w:p>
      <w:pPr>
        <w:pStyle w:val="Heading1"/>
      </w:pPr>
      <w:r>
        <w:t>10. Strategic bets worth preserving now</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168"/>
            <w:shd w:fill="1F355E"/>
            <w:vAlign w:val="center"/>
          </w:tcPr>
          <w:p>
            <w:pPr>
              <w:jc w:val="center"/>
            </w:pPr>
            <w:r>
              <w:rPr>
                <w:b/>
                <w:color w:val="FFFFFF"/>
                <w:sz w:val="20"/>
              </w:rPr>
              <w:t>Bet</w:t>
            </w:r>
          </w:p>
        </w:tc>
        <w:tc>
          <w:tcPr>
            <w:tcW w:type="dxa" w:w="1440"/>
            <w:shd w:fill="1F355E"/>
            <w:vAlign w:val="center"/>
          </w:tcPr>
          <w:p>
            <w:pPr>
              <w:jc w:val="center"/>
            </w:pPr>
            <w:r>
              <w:rPr>
                <w:b/>
                <w:color w:val="FFFFFF"/>
                <w:sz w:val="20"/>
              </w:rPr>
              <w:t>Confidence</w:t>
            </w:r>
          </w:p>
        </w:tc>
        <w:tc>
          <w:tcPr>
            <w:tcW w:type="dxa" w:w="4320"/>
            <w:shd w:fill="1F355E"/>
            <w:vAlign w:val="center"/>
          </w:tcPr>
          <w:p>
            <w:pPr>
              <w:jc w:val="center"/>
            </w:pPr>
            <w:r>
              <w:rPr>
                <w:b/>
                <w:color w:val="FFFFFF"/>
                <w:sz w:val="20"/>
              </w:rPr>
              <w:t>Trigger to act</w:t>
            </w:r>
          </w:p>
        </w:tc>
        <w:tc>
          <w:tcPr>
            <w:tcW w:type="dxa" w:w="4752"/>
            <w:shd w:fill="1F355E"/>
            <w:vAlign w:val="center"/>
          </w:tcPr>
          <w:p>
            <w:pPr>
              <w:jc w:val="center"/>
            </w:pPr>
            <w:r>
              <w:rPr>
                <w:b/>
                <w:color w:val="FFFFFF"/>
                <w:sz w:val="20"/>
              </w:rPr>
              <w:t>Why it matters</w:t>
            </w:r>
          </w:p>
        </w:tc>
      </w:tr>
      <w:tr>
        <w:tc>
          <w:tcPr>
            <w:tcW w:type="dxa" w:w="3168"/>
            <w:shd w:fill="F6F8FB"/>
            <w:vAlign w:val="center"/>
          </w:tcPr>
          <w:p>
            <w:pPr>
              <w:spacing w:after="40"/>
            </w:pPr>
            <w:r>
              <w:rPr>
                <w:sz w:val="18"/>
              </w:rPr>
              <w:t>AI-assisted outbound warm transfer</w:t>
            </w:r>
          </w:p>
        </w:tc>
        <w:tc>
          <w:tcPr>
            <w:tcW w:type="dxa" w:w="1440"/>
            <w:shd w:fill="F6F8FB"/>
            <w:vAlign w:val="center"/>
          </w:tcPr>
          <w:p>
            <w:pPr>
              <w:spacing w:after="40"/>
            </w:pPr>
            <w:r>
              <w:rPr>
                <w:sz w:val="18"/>
              </w:rPr>
              <w:t>Medium</w:t>
            </w:r>
          </w:p>
        </w:tc>
        <w:tc>
          <w:tcPr>
            <w:tcW w:type="dxa" w:w="4320"/>
            <w:shd w:fill="F6F8FB"/>
            <w:vAlign w:val="center"/>
          </w:tcPr>
          <w:p>
            <w:pPr>
              <w:spacing w:after="40"/>
            </w:pPr>
            <w:r>
              <w:rPr>
                <w:sz w:val="18"/>
              </w:rPr>
              <w:t>After inbound routing, summaries, and writeback are reliable; after approved language and observability exist.</w:t>
            </w:r>
          </w:p>
        </w:tc>
        <w:tc>
          <w:tcPr>
            <w:tcW w:type="dxa" w:w="4752"/>
            <w:shd w:fill="F6F8FB"/>
            <w:vAlign w:val="center"/>
          </w:tcPr>
          <w:p>
            <w:pPr>
              <w:spacing w:after="40"/>
            </w:pPr>
            <w:r>
              <w:rPr>
                <w:sz w:val="18"/>
              </w:rPr>
              <w:t>Potential large throughput gain without trying to replace the closer.</w:t>
            </w:r>
          </w:p>
        </w:tc>
      </w:tr>
      <w:tr>
        <w:tc>
          <w:tcPr>
            <w:tcW w:type="dxa" w:w="3168"/>
            <w:vAlign w:val="center"/>
          </w:tcPr>
          <w:p>
            <w:pPr>
              <w:spacing w:after="40"/>
            </w:pPr>
            <w:r>
              <w:rPr>
                <w:sz w:val="18"/>
              </w:rPr>
              <w:t>Direct-sale options engine</w:t>
            </w:r>
          </w:p>
        </w:tc>
        <w:tc>
          <w:tcPr>
            <w:tcW w:type="dxa" w:w="1440"/>
            <w:vAlign w:val="center"/>
          </w:tcPr>
          <w:p>
            <w:pPr>
              <w:spacing w:after="40"/>
            </w:pPr>
            <w:r>
              <w:rPr>
                <w:sz w:val="18"/>
              </w:rPr>
              <w:t>High</w:t>
            </w:r>
          </w:p>
        </w:tc>
        <w:tc>
          <w:tcPr>
            <w:tcW w:type="dxa" w:w="4320"/>
            <w:vAlign w:val="center"/>
          </w:tcPr>
          <w:p>
            <w:pPr>
              <w:spacing w:after="40"/>
            </w:pPr>
            <w:r>
              <w:rPr>
                <w:sz w:val="18"/>
              </w:rPr>
              <w:t>As soon as scripts, website copy, and offer framing can support multiple paths.</w:t>
            </w:r>
          </w:p>
        </w:tc>
        <w:tc>
          <w:tcPr>
            <w:tcW w:type="dxa" w:w="4752"/>
            <w:vAlign w:val="center"/>
          </w:tcPr>
          <w:p>
            <w:pPr>
              <w:spacing w:after="40"/>
            </w:pPr>
            <w:r>
              <w:rPr>
                <w:sz w:val="18"/>
              </w:rPr>
              <w:t>Fits informed consumers and makes transparency a strength.</w:t>
            </w:r>
          </w:p>
        </w:tc>
      </w:tr>
      <w:tr>
        <w:tc>
          <w:tcPr>
            <w:tcW w:type="dxa" w:w="3168"/>
            <w:shd w:fill="F6F8FB"/>
            <w:vAlign w:val="center"/>
          </w:tcPr>
          <w:p>
            <w:pPr>
              <w:spacing w:after="40"/>
            </w:pPr>
            <w:r>
              <w:rPr>
                <w:sz w:val="18"/>
              </w:rPr>
              <w:t>Seller proof pack</w:t>
            </w:r>
          </w:p>
        </w:tc>
        <w:tc>
          <w:tcPr>
            <w:tcW w:type="dxa" w:w="1440"/>
            <w:shd w:fill="F6F8FB"/>
            <w:vAlign w:val="center"/>
          </w:tcPr>
          <w:p>
            <w:pPr>
              <w:spacing w:after="40"/>
            </w:pPr>
            <w:r>
              <w:rPr>
                <w:sz w:val="18"/>
              </w:rPr>
              <w:t>High</w:t>
            </w:r>
          </w:p>
        </w:tc>
        <w:tc>
          <w:tcPr>
            <w:tcW w:type="dxa" w:w="4320"/>
            <w:shd w:fill="F6F8FB"/>
            <w:vAlign w:val="center"/>
          </w:tcPr>
          <w:p>
            <w:pPr>
              <w:spacing w:after="40"/>
            </w:pPr>
            <w:r>
              <w:rPr>
                <w:sz w:val="18"/>
              </w:rPr>
              <w:t>Immediately after valuation packet and trust language are coherent enough.</w:t>
            </w:r>
          </w:p>
        </w:tc>
        <w:tc>
          <w:tcPr>
            <w:tcW w:type="dxa" w:w="4752"/>
            <w:shd w:fill="F6F8FB"/>
            <w:vAlign w:val="center"/>
          </w:tcPr>
          <w:p>
            <w:pPr>
              <w:spacing w:after="40"/>
            </w:pPr>
            <w:r>
              <w:rPr>
                <w:sz w:val="18"/>
              </w:rPr>
              <w:t>Builds trust, differentiates, and may improve conversion on serious leads.</w:t>
            </w:r>
          </w:p>
        </w:tc>
      </w:tr>
      <w:tr>
        <w:tc>
          <w:tcPr>
            <w:tcW w:type="dxa" w:w="3168"/>
            <w:vAlign w:val="center"/>
          </w:tcPr>
          <w:p>
            <w:pPr>
              <w:spacing w:after="40"/>
            </w:pPr>
            <w:r>
              <w:rPr>
                <w:sz w:val="18"/>
              </w:rPr>
              <w:t>Buyer liquidity layer</w:t>
            </w:r>
          </w:p>
        </w:tc>
        <w:tc>
          <w:tcPr>
            <w:tcW w:type="dxa" w:w="1440"/>
            <w:vAlign w:val="center"/>
          </w:tcPr>
          <w:p>
            <w:pPr>
              <w:spacing w:after="40"/>
            </w:pPr>
            <w:r>
              <w:rPr>
                <w:sz w:val="18"/>
              </w:rPr>
              <w:t>High</w:t>
            </w:r>
          </w:p>
        </w:tc>
        <w:tc>
          <w:tcPr>
            <w:tcW w:type="dxa" w:w="4320"/>
            <w:vAlign w:val="center"/>
          </w:tcPr>
          <w:p>
            <w:pPr>
              <w:spacing w:after="40"/>
            </w:pPr>
            <w:r>
              <w:rPr>
                <w:sz w:val="18"/>
              </w:rPr>
              <w:t>Move earlier than normal; start even with a small buyer set.</w:t>
            </w:r>
          </w:p>
        </w:tc>
        <w:tc>
          <w:tcPr>
            <w:tcW w:type="dxa" w:w="4752"/>
            <w:vAlign w:val="center"/>
          </w:tcPr>
          <w:p>
            <w:pPr>
              <w:spacing w:after="40"/>
            </w:pPr>
            <w:r>
              <w:rPr>
                <w:sz w:val="18"/>
              </w:rPr>
              <w:t>Protects monetization as acquisition gets easier for others.</w:t>
            </w:r>
          </w:p>
        </w:tc>
      </w:tr>
      <w:tr>
        <w:tc>
          <w:tcPr>
            <w:tcW w:type="dxa" w:w="3168"/>
            <w:shd w:fill="F6F8FB"/>
            <w:vAlign w:val="center"/>
          </w:tcPr>
          <w:p>
            <w:pPr>
              <w:spacing w:after="40"/>
            </w:pPr>
            <w:r>
              <w:rPr>
                <w:sz w:val="18"/>
              </w:rPr>
              <w:t>Research runner</w:t>
            </w:r>
          </w:p>
        </w:tc>
        <w:tc>
          <w:tcPr>
            <w:tcW w:type="dxa" w:w="1440"/>
            <w:shd w:fill="F6F8FB"/>
            <w:vAlign w:val="center"/>
          </w:tcPr>
          <w:p>
            <w:pPr>
              <w:spacing w:after="40"/>
            </w:pPr>
            <w:r>
              <w:rPr>
                <w:sz w:val="18"/>
              </w:rPr>
              <w:t>High</w:t>
            </w:r>
          </w:p>
        </w:tc>
        <w:tc>
          <w:tcPr>
            <w:tcW w:type="dxa" w:w="4320"/>
            <w:shd w:fill="F6F8FB"/>
            <w:vAlign w:val="center"/>
          </w:tcPr>
          <w:p>
            <w:pPr>
              <w:spacing w:after="40"/>
            </w:pPr>
            <w:r>
              <w:rPr>
                <w:sz w:val="18"/>
              </w:rPr>
              <w:t>Once dossier schema and review rules exist.</w:t>
            </w:r>
          </w:p>
        </w:tc>
        <w:tc>
          <w:tcPr>
            <w:tcW w:type="dxa" w:w="4752"/>
            <w:shd w:fill="F6F8FB"/>
            <w:vAlign w:val="center"/>
          </w:tcPr>
          <w:p>
            <w:pPr>
              <w:spacing w:after="40"/>
            </w:pPr>
            <w:r>
              <w:rPr>
                <w:sz w:val="18"/>
              </w:rPr>
              <w:t>Captures evidence and local intelligence with less custom integration work.</w:t>
            </w:r>
          </w:p>
        </w:tc>
      </w:tr>
      <w:tr>
        <w:tc>
          <w:tcPr>
            <w:tcW w:type="dxa" w:w="3168"/>
            <w:vAlign w:val="center"/>
          </w:tcPr>
          <w:p>
            <w:pPr>
              <w:spacing w:after="40"/>
            </w:pPr>
            <w:r>
              <w:rPr>
                <w:sz w:val="18"/>
              </w:rPr>
              <w:t>Transaction-concierge lane</w:t>
            </w:r>
          </w:p>
        </w:tc>
        <w:tc>
          <w:tcPr>
            <w:tcW w:type="dxa" w:w="1440"/>
            <w:vAlign w:val="center"/>
          </w:tcPr>
          <w:p>
            <w:pPr>
              <w:spacing w:after="40"/>
            </w:pPr>
            <w:r>
              <w:rPr>
                <w:sz w:val="18"/>
              </w:rPr>
              <w:t>Medium-Low</w:t>
            </w:r>
          </w:p>
        </w:tc>
        <w:tc>
          <w:tcPr>
            <w:tcW w:type="dxa" w:w="4320"/>
            <w:vAlign w:val="center"/>
          </w:tcPr>
          <w:p>
            <w:pPr>
              <w:spacing w:after="40"/>
            </w:pPr>
            <w:r>
              <w:rPr>
                <w:sz w:val="18"/>
              </w:rPr>
              <w:t>Only if legal/compliance framing, partner relationships, and process clarity are ready.</w:t>
            </w:r>
          </w:p>
        </w:tc>
        <w:tc>
          <w:tcPr>
            <w:tcW w:type="dxa" w:w="4752"/>
            <w:vAlign w:val="center"/>
          </w:tcPr>
          <w:p>
            <w:pPr>
              <w:spacing w:after="40"/>
            </w:pPr>
            <w:r>
              <w:rPr>
                <w:sz w:val="18"/>
              </w:rPr>
              <w:t>Could create a new local category if the market keeps unbundling.</w:t>
            </w:r>
          </w:p>
        </w:tc>
      </w:tr>
      <w:tr>
        <w:tc>
          <w:tcPr>
            <w:tcW w:type="dxa" w:w="3168"/>
            <w:shd w:fill="F6F8FB"/>
            <w:vAlign w:val="center"/>
          </w:tcPr>
          <w:p>
            <w:pPr>
              <w:spacing w:after="40"/>
            </w:pPr>
            <w:r>
              <w:rPr>
                <w:sz w:val="18"/>
              </w:rPr>
              <w:t>Answer-engine trust content</w:t>
            </w:r>
          </w:p>
        </w:tc>
        <w:tc>
          <w:tcPr>
            <w:tcW w:type="dxa" w:w="1440"/>
            <w:shd w:fill="F6F8FB"/>
            <w:vAlign w:val="center"/>
          </w:tcPr>
          <w:p>
            <w:pPr>
              <w:spacing w:after="40"/>
            </w:pPr>
            <w:r>
              <w:rPr>
                <w:sz w:val="18"/>
              </w:rPr>
              <w:t>High</w:t>
            </w:r>
          </w:p>
        </w:tc>
        <w:tc>
          <w:tcPr>
            <w:tcW w:type="dxa" w:w="4320"/>
            <w:shd w:fill="F6F8FB"/>
            <w:vAlign w:val="center"/>
          </w:tcPr>
          <w:p>
            <w:pPr>
              <w:spacing w:after="40"/>
            </w:pPr>
            <w:r>
              <w:rPr>
                <w:sz w:val="18"/>
              </w:rPr>
              <w:t>Begin now as part of trust/distribution work.</w:t>
            </w:r>
          </w:p>
        </w:tc>
        <w:tc>
          <w:tcPr>
            <w:tcW w:type="dxa" w:w="4752"/>
            <w:shd w:fill="F6F8FB"/>
            <w:vAlign w:val="center"/>
          </w:tcPr>
          <w:p>
            <w:pPr>
              <w:spacing w:after="40"/>
            </w:pPr>
            <w:r>
              <w:rPr>
                <w:sz w:val="18"/>
              </w:rPr>
              <w:t>Helps PPC, seller education, and AI-mediated discovery.</w:t>
            </w:r>
          </w:p>
        </w:tc>
      </w:tr>
      <w:tr>
        <w:tc>
          <w:tcPr>
            <w:tcW w:type="dxa" w:w="3168"/>
            <w:vAlign w:val="center"/>
          </w:tcPr>
          <w:p>
            <w:pPr>
              <w:spacing w:after="40"/>
            </w:pPr>
            <w:r>
              <w:rPr>
                <w:sz w:val="18"/>
              </w:rPr>
              <w:t>Timing radar / memory graph</w:t>
            </w:r>
          </w:p>
        </w:tc>
        <w:tc>
          <w:tcPr>
            <w:tcW w:type="dxa" w:w="1440"/>
            <w:vAlign w:val="center"/>
          </w:tcPr>
          <w:p>
            <w:pPr>
              <w:spacing w:after="40"/>
            </w:pPr>
            <w:r>
              <w:rPr>
                <w:sz w:val="18"/>
              </w:rPr>
              <w:t>Medium</w:t>
            </w:r>
          </w:p>
        </w:tc>
        <w:tc>
          <w:tcPr>
            <w:tcW w:type="dxa" w:w="4320"/>
            <w:vAlign w:val="center"/>
          </w:tcPr>
          <w:p>
            <w:pPr>
              <w:spacing w:after="40"/>
            </w:pPr>
            <w:r>
              <w:rPr>
                <w:sz w:val="18"/>
              </w:rPr>
              <w:t>Only after event store and data hygiene mature.</w:t>
            </w:r>
          </w:p>
        </w:tc>
        <w:tc>
          <w:tcPr>
            <w:tcW w:type="dxa" w:w="4752"/>
            <w:vAlign w:val="center"/>
          </w:tcPr>
          <w:p>
            <w:pPr>
              <w:spacing w:after="40"/>
            </w:pPr>
            <w:r>
              <w:rPr>
                <w:sz w:val="18"/>
              </w:rPr>
              <w:t>Potential long-term moat, but can become overbuilding too early.</w:t>
            </w:r>
          </w:p>
        </w:tc>
      </w:tr>
    </w:tbl>
    <w:p/>
    <w:p>
      <w:pPr>
        <w:pStyle w:val="Heading1"/>
      </w:pPr>
      <w:r>
        <w:t>11. Scenario planning</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1F355E"/>
            <w:vAlign w:val="center"/>
          </w:tcPr>
          <w:p>
            <w:pPr>
              <w:jc w:val="center"/>
            </w:pPr>
            <w:r>
              <w:rPr>
                <w:b/>
                <w:color w:val="FFFFFF"/>
                <w:sz w:val="20"/>
              </w:rPr>
              <w:t>Scenario</w:t>
            </w:r>
          </w:p>
        </w:tc>
        <w:tc>
          <w:tcPr>
            <w:tcW w:type="dxa" w:w="5760"/>
            <w:shd w:fill="1F355E"/>
            <w:vAlign w:val="center"/>
          </w:tcPr>
          <w:p>
            <w:pPr>
              <w:jc w:val="center"/>
            </w:pPr>
            <w:r>
              <w:rPr>
                <w:b/>
                <w:color w:val="FFFFFF"/>
                <w:sz w:val="20"/>
              </w:rPr>
              <w:t>What happens</w:t>
            </w:r>
          </w:p>
        </w:tc>
        <w:tc>
          <w:tcPr>
            <w:tcW w:type="dxa" w:w="5472"/>
            <w:shd w:fill="1F355E"/>
            <w:vAlign w:val="center"/>
          </w:tcPr>
          <w:p>
            <w:pPr>
              <w:jc w:val="center"/>
            </w:pPr>
            <w:r>
              <w:rPr>
                <w:b/>
                <w:color w:val="FFFFFF"/>
                <w:sz w:val="20"/>
              </w:rPr>
              <w:t>Dominion response</w:t>
            </w:r>
          </w:p>
        </w:tc>
      </w:tr>
      <w:tr>
        <w:tc>
          <w:tcPr>
            <w:tcW w:type="dxa" w:w="2448"/>
            <w:shd w:fill="F6F8FB"/>
            <w:vAlign w:val="center"/>
          </w:tcPr>
          <w:p>
            <w:pPr>
              <w:spacing w:after="40"/>
            </w:pPr>
            <w:r>
              <w:rPr>
                <w:sz w:val="18"/>
              </w:rPr>
              <w:t>Base case</w:t>
            </w:r>
          </w:p>
        </w:tc>
        <w:tc>
          <w:tcPr>
            <w:tcW w:type="dxa" w:w="5760"/>
            <w:shd w:fill="F6F8FB"/>
            <w:vAlign w:val="center"/>
          </w:tcPr>
          <w:p>
            <w:pPr>
              <w:spacing w:after="40"/>
            </w:pPr>
            <w:r>
              <w:rPr>
                <w:sz w:val="18"/>
              </w:rPr>
              <w:t>AI tools keep improving, but trust-heavy transactions still rely heavily on people; consumer behavior shifts gradually.</w:t>
            </w:r>
          </w:p>
        </w:tc>
        <w:tc>
          <w:tcPr>
            <w:tcW w:type="dxa" w:w="5472"/>
            <w:shd w:fill="F6F8FB"/>
            <w:vAlign w:val="center"/>
          </w:tcPr>
          <w:p>
            <w:pPr>
              <w:spacing w:after="40"/>
            </w:pPr>
            <w:r>
              <w:rPr>
                <w:sz w:val="18"/>
              </w:rPr>
              <w:t>Stay focused on workflow, voice front office, buyer liquidity, and trust assets.</w:t>
            </w:r>
          </w:p>
        </w:tc>
      </w:tr>
      <w:tr>
        <w:tc>
          <w:tcPr>
            <w:tcW w:type="dxa" w:w="2448"/>
            <w:vAlign w:val="center"/>
          </w:tcPr>
          <w:p>
            <w:pPr>
              <w:spacing w:after="40"/>
            </w:pPr>
            <w:r>
              <w:rPr>
                <w:sz w:val="18"/>
              </w:rPr>
              <w:t>Fast unbundling</w:t>
            </w:r>
          </w:p>
        </w:tc>
        <w:tc>
          <w:tcPr>
            <w:tcW w:type="dxa" w:w="5760"/>
            <w:vAlign w:val="center"/>
          </w:tcPr>
          <w:p>
            <w:pPr>
              <w:spacing w:after="40"/>
            </w:pPr>
            <w:r>
              <w:rPr>
                <w:sz w:val="18"/>
              </w:rPr>
              <w:t>More consumers expect direct guidance, clearer option comparison, and lighter-service transaction help.</w:t>
            </w:r>
          </w:p>
        </w:tc>
        <w:tc>
          <w:tcPr>
            <w:tcW w:type="dxa" w:w="5472"/>
            <w:vAlign w:val="center"/>
          </w:tcPr>
          <w:p>
            <w:pPr>
              <w:spacing w:after="40"/>
            </w:pPr>
            <w:r>
              <w:rPr>
                <w:sz w:val="18"/>
              </w:rPr>
              <w:t>Accelerate options engine, proof packs, trust content, and direct-buyer lane.</w:t>
            </w:r>
          </w:p>
        </w:tc>
      </w:tr>
      <w:tr>
        <w:tc>
          <w:tcPr>
            <w:tcW w:type="dxa" w:w="2448"/>
            <w:shd w:fill="F6F8FB"/>
            <w:vAlign w:val="center"/>
          </w:tcPr>
          <w:p>
            <w:pPr>
              <w:spacing w:after="40"/>
            </w:pPr>
            <w:r>
              <w:rPr>
                <w:sz w:val="18"/>
              </w:rPr>
              <w:t>Tool commoditization race</w:t>
            </w:r>
          </w:p>
        </w:tc>
        <w:tc>
          <w:tcPr>
            <w:tcW w:type="dxa" w:w="5760"/>
            <w:shd w:fill="F6F8FB"/>
            <w:vAlign w:val="center"/>
          </w:tcPr>
          <w:p>
            <w:pPr>
              <w:spacing w:after="40"/>
            </w:pPr>
            <w:r>
              <w:rPr>
                <w:sz w:val="18"/>
              </w:rPr>
              <w:t>Many operators get AI answering, summaries, and generic scoring.</w:t>
            </w:r>
          </w:p>
        </w:tc>
        <w:tc>
          <w:tcPr>
            <w:tcW w:type="dxa" w:w="5472"/>
            <w:shd w:fill="F6F8FB"/>
            <w:vAlign w:val="center"/>
          </w:tcPr>
          <w:p>
            <w:pPr>
              <w:spacing w:after="40"/>
            </w:pPr>
            <w:r>
              <w:rPr>
                <w:sz w:val="18"/>
              </w:rPr>
              <w:t>Differentiate through buyer memory, local evidence, and clean operating loops.</w:t>
            </w:r>
          </w:p>
        </w:tc>
      </w:tr>
      <w:tr>
        <w:tc>
          <w:tcPr>
            <w:tcW w:type="dxa" w:w="2448"/>
            <w:vAlign w:val="center"/>
          </w:tcPr>
          <w:p>
            <w:pPr>
              <w:spacing w:after="40"/>
            </w:pPr>
            <w:r>
              <w:rPr>
                <w:sz w:val="18"/>
              </w:rPr>
              <w:t>Compliance tightening</w:t>
            </w:r>
          </w:p>
        </w:tc>
        <w:tc>
          <w:tcPr>
            <w:tcW w:type="dxa" w:w="5760"/>
            <w:vAlign w:val="center"/>
          </w:tcPr>
          <w:p>
            <w:pPr>
              <w:spacing w:after="40"/>
            </w:pPr>
            <w:r>
              <w:rPr>
                <w:sz w:val="18"/>
              </w:rPr>
              <w:t>Voice automation faces more scrutiny or carrier friction.</w:t>
            </w:r>
          </w:p>
        </w:tc>
        <w:tc>
          <w:tcPr>
            <w:tcW w:type="dxa" w:w="5472"/>
            <w:vAlign w:val="center"/>
          </w:tcPr>
          <w:p>
            <w:pPr>
              <w:spacing w:after="40"/>
            </w:pPr>
            <w:r>
              <w:rPr>
                <w:sz w:val="18"/>
              </w:rPr>
              <w:t>Favor warm transfer, inbound, callback booking, and reviewable scripts over aggressive autonomy.</w:t>
            </w:r>
          </w:p>
        </w:tc>
      </w:tr>
      <w:tr>
        <w:tc>
          <w:tcPr>
            <w:tcW w:type="dxa" w:w="2448"/>
            <w:shd w:fill="F6F8FB"/>
            <w:vAlign w:val="center"/>
          </w:tcPr>
          <w:p>
            <w:pPr>
              <w:spacing w:after="40"/>
            </w:pPr>
            <w:r>
              <w:rPr>
                <w:sz w:val="18"/>
              </w:rPr>
              <w:t>Search answer-engine acceleration</w:t>
            </w:r>
          </w:p>
        </w:tc>
        <w:tc>
          <w:tcPr>
            <w:tcW w:type="dxa" w:w="5760"/>
            <w:shd w:fill="F6F8FB"/>
            <w:vAlign w:val="center"/>
          </w:tcPr>
          <w:p>
            <w:pPr>
              <w:spacing w:after="40"/>
            </w:pPr>
            <w:r>
              <w:rPr>
                <w:sz w:val="18"/>
              </w:rPr>
              <w:t>Sellers increasingly evaluate local buyers through synthesized explanations.</w:t>
            </w:r>
          </w:p>
        </w:tc>
        <w:tc>
          <w:tcPr>
            <w:tcW w:type="dxa" w:w="5472"/>
            <w:shd w:fill="F6F8FB"/>
            <w:vAlign w:val="center"/>
          </w:tcPr>
          <w:p>
            <w:pPr>
              <w:spacing w:after="40"/>
            </w:pPr>
            <w:r>
              <w:rPr>
                <w:sz w:val="18"/>
              </w:rPr>
              <w:t>Invest earlier in local FAQs, process explainers, proof assets, and quotable authority.</w:t>
            </w:r>
          </w:p>
        </w:tc>
      </w:tr>
    </w:tbl>
    <w:p/>
    <w:p>
      <w:r>
        <w:br w:type="page"/>
      </w:r>
    </w:p>
    <w:p>
      <w:pPr>
        <w:pStyle w:val="Heading1"/>
      </w:pPr>
      <w:r>
        <w:t>12. Watchlist: weak signals Dominion should actively monitor</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1F355E"/>
            <w:vAlign w:val="center"/>
          </w:tcPr>
          <w:p>
            <w:pPr>
              <w:jc w:val="center"/>
            </w:pPr>
            <w:r>
              <w:rPr>
                <w:b/>
                <w:color w:val="FFFFFF"/>
                <w:sz w:val="20"/>
              </w:rPr>
              <w:t>Area</w:t>
            </w:r>
          </w:p>
        </w:tc>
        <w:tc>
          <w:tcPr>
            <w:tcW w:type="dxa" w:w="5760"/>
            <w:shd w:fill="1F355E"/>
            <w:vAlign w:val="center"/>
          </w:tcPr>
          <w:p>
            <w:pPr>
              <w:jc w:val="center"/>
            </w:pPr>
            <w:r>
              <w:rPr>
                <w:b/>
                <w:color w:val="FFFFFF"/>
                <w:sz w:val="20"/>
              </w:rPr>
              <w:t>Signal to watch</w:t>
            </w:r>
          </w:p>
        </w:tc>
        <w:tc>
          <w:tcPr>
            <w:tcW w:type="dxa" w:w="5760"/>
            <w:shd w:fill="1F355E"/>
            <w:vAlign w:val="center"/>
          </w:tcPr>
          <w:p>
            <w:pPr>
              <w:jc w:val="center"/>
            </w:pPr>
            <w:r>
              <w:rPr>
                <w:b/>
                <w:color w:val="FFFFFF"/>
                <w:sz w:val="20"/>
              </w:rPr>
              <w:t>Likely implication</w:t>
            </w:r>
          </w:p>
        </w:tc>
      </w:tr>
      <w:tr>
        <w:tc>
          <w:tcPr>
            <w:tcW w:type="dxa" w:w="2304"/>
            <w:shd w:fill="F6F8FB"/>
            <w:vAlign w:val="center"/>
          </w:tcPr>
          <w:p>
            <w:pPr>
              <w:spacing w:after="40"/>
            </w:pPr>
            <w:r>
              <w:rPr>
                <w:sz w:val="18"/>
              </w:rPr>
              <w:t>Consumer behavior</w:t>
            </w:r>
          </w:p>
        </w:tc>
        <w:tc>
          <w:tcPr>
            <w:tcW w:type="dxa" w:w="5760"/>
            <w:shd w:fill="F6F8FB"/>
            <w:vAlign w:val="center"/>
          </w:tcPr>
          <w:p>
            <w:pPr>
              <w:spacing w:after="40"/>
            </w:pPr>
            <w:r>
              <w:rPr>
                <w:sz w:val="18"/>
              </w:rPr>
              <w:t>More serious leads ask process-comparison questions before price questions.</w:t>
            </w:r>
          </w:p>
        </w:tc>
        <w:tc>
          <w:tcPr>
            <w:tcW w:type="dxa" w:w="5760"/>
            <w:shd w:fill="F6F8FB"/>
            <w:vAlign w:val="center"/>
          </w:tcPr>
          <w:p>
            <w:pPr>
              <w:spacing w:after="40"/>
            </w:pPr>
            <w:r>
              <w:rPr>
                <w:sz w:val="18"/>
              </w:rPr>
              <w:t>Scripts, site content, and offer packs should emphasize clarity and options.</w:t>
            </w:r>
          </w:p>
        </w:tc>
      </w:tr>
      <w:tr>
        <w:tc>
          <w:tcPr>
            <w:tcW w:type="dxa" w:w="2304"/>
            <w:vAlign w:val="center"/>
          </w:tcPr>
          <w:p>
            <w:pPr>
              <w:spacing w:after="40"/>
            </w:pPr>
            <w:r>
              <w:rPr>
                <w:sz w:val="18"/>
              </w:rPr>
              <w:t>Search/discovery</w:t>
            </w:r>
          </w:p>
        </w:tc>
        <w:tc>
          <w:tcPr>
            <w:tcW w:type="dxa" w:w="5760"/>
            <w:vAlign w:val="center"/>
          </w:tcPr>
          <w:p>
            <w:pPr>
              <w:spacing w:after="40"/>
            </w:pPr>
            <w:r>
              <w:rPr>
                <w:sz w:val="18"/>
              </w:rPr>
              <w:t>Rising share of leads mention finding answers through AI tools or social explainers.</w:t>
            </w:r>
          </w:p>
        </w:tc>
        <w:tc>
          <w:tcPr>
            <w:tcW w:type="dxa" w:w="5760"/>
            <w:vAlign w:val="center"/>
          </w:tcPr>
          <w:p>
            <w:pPr>
              <w:spacing w:after="40"/>
            </w:pPr>
            <w:r>
              <w:rPr>
                <w:sz w:val="18"/>
              </w:rPr>
              <w:t>Trust/distribution assets move up in priority.</w:t>
            </w:r>
          </w:p>
        </w:tc>
      </w:tr>
      <w:tr>
        <w:tc>
          <w:tcPr>
            <w:tcW w:type="dxa" w:w="2304"/>
            <w:shd w:fill="F6F8FB"/>
            <w:vAlign w:val="center"/>
          </w:tcPr>
          <w:p>
            <w:pPr>
              <w:spacing w:after="40"/>
            </w:pPr>
            <w:r>
              <w:rPr>
                <w:sz w:val="18"/>
              </w:rPr>
              <w:t>Buyer behavior</w:t>
            </w:r>
          </w:p>
        </w:tc>
        <w:tc>
          <w:tcPr>
            <w:tcW w:type="dxa" w:w="5760"/>
            <w:shd w:fill="F6F8FB"/>
            <w:vAlign w:val="center"/>
          </w:tcPr>
          <w:p>
            <w:pPr>
              <w:spacing w:after="40"/>
            </w:pPr>
            <w:r>
              <w:rPr>
                <w:sz w:val="18"/>
              </w:rPr>
              <w:t>More local buyers are comfortable with lightly intermediated or direct paths.</w:t>
            </w:r>
          </w:p>
        </w:tc>
        <w:tc>
          <w:tcPr>
            <w:tcW w:type="dxa" w:w="5760"/>
            <w:shd w:fill="F6F8FB"/>
            <w:vAlign w:val="center"/>
          </w:tcPr>
          <w:p>
            <w:pPr>
              <w:spacing w:after="40"/>
            </w:pPr>
            <w:r>
              <w:rPr>
                <w:sz w:val="18"/>
              </w:rPr>
              <w:t>Direct-buyer intake and transparent property packets become more valuable.</w:t>
            </w:r>
          </w:p>
        </w:tc>
      </w:tr>
      <w:tr>
        <w:tc>
          <w:tcPr>
            <w:tcW w:type="dxa" w:w="2304"/>
            <w:vAlign w:val="center"/>
          </w:tcPr>
          <w:p>
            <w:pPr>
              <w:spacing w:after="40"/>
            </w:pPr>
            <w:r>
              <w:rPr>
                <w:sz w:val="18"/>
              </w:rPr>
              <w:t>Voice stack quality</w:t>
            </w:r>
          </w:p>
        </w:tc>
        <w:tc>
          <w:tcPr>
            <w:tcW w:type="dxa" w:w="5760"/>
            <w:vAlign w:val="center"/>
          </w:tcPr>
          <w:p>
            <w:pPr>
              <w:spacing w:after="40"/>
            </w:pPr>
            <w:r>
              <w:rPr>
                <w:sz w:val="18"/>
              </w:rPr>
              <w:t>Realtime models become clearly better at routing, tool use, and script adherence.</w:t>
            </w:r>
          </w:p>
        </w:tc>
        <w:tc>
          <w:tcPr>
            <w:tcW w:type="dxa" w:w="5760"/>
            <w:vAlign w:val="center"/>
          </w:tcPr>
          <w:p>
            <w:pPr>
              <w:spacing w:after="40"/>
            </w:pPr>
            <w:r>
              <w:rPr>
                <w:sz w:val="18"/>
              </w:rPr>
              <w:t>Move further into structured warm-transfer and post-call automation.</w:t>
            </w:r>
          </w:p>
        </w:tc>
      </w:tr>
      <w:tr>
        <w:tc>
          <w:tcPr>
            <w:tcW w:type="dxa" w:w="2304"/>
            <w:shd w:fill="F6F8FB"/>
            <w:vAlign w:val="center"/>
          </w:tcPr>
          <w:p>
            <w:pPr>
              <w:spacing w:after="40"/>
            </w:pPr>
            <w:r>
              <w:rPr>
                <w:sz w:val="18"/>
              </w:rPr>
              <w:t>Compliance risk</w:t>
            </w:r>
          </w:p>
        </w:tc>
        <w:tc>
          <w:tcPr>
            <w:tcW w:type="dxa" w:w="5760"/>
            <w:shd w:fill="F6F8FB"/>
            <w:vAlign w:val="center"/>
          </w:tcPr>
          <w:p>
            <w:pPr>
              <w:spacing w:after="40"/>
            </w:pPr>
            <w:r>
              <w:rPr>
                <w:sz w:val="18"/>
              </w:rPr>
              <w:t>Carrier labeling, complaint patterns, or regulatory scrutiny increase.</w:t>
            </w:r>
          </w:p>
        </w:tc>
        <w:tc>
          <w:tcPr>
            <w:tcW w:type="dxa" w:w="5760"/>
            <w:shd w:fill="F6F8FB"/>
            <w:vAlign w:val="center"/>
          </w:tcPr>
          <w:p>
            <w:pPr>
              <w:spacing w:after="40"/>
            </w:pPr>
            <w:r>
              <w:rPr>
                <w:sz w:val="18"/>
              </w:rPr>
              <w:t>Slow aggressive voice experiments and tighten source/consent policy.</w:t>
            </w:r>
          </w:p>
        </w:tc>
      </w:tr>
      <w:tr>
        <w:tc>
          <w:tcPr>
            <w:tcW w:type="dxa" w:w="2304"/>
            <w:vAlign w:val="center"/>
          </w:tcPr>
          <w:p>
            <w:pPr>
              <w:spacing w:after="40"/>
            </w:pPr>
            <w:r>
              <w:rPr>
                <w:sz w:val="18"/>
              </w:rPr>
              <w:t>Dispo friction</w:t>
            </w:r>
          </w:p>
        </w:tc>
        <w:tc>
          <w:tcPr>
            <w:tcW w:type="dxa" w:w="5760"/>
            <w:vAlign w:val="center"/>
          </w:tcPr>
          <w:p>
            <w:pPr>
              <w:spacing w:after="40"/>
            </w:pPr>
            <w:r>
              <w:rPr>
                <w:sz w:val="18"/>
              </w:rPr>
              <w:t>More leads die because they are hard to monetize rather than hard to acquire.</w:t>
            </w:r>
          </w:p>
        </w:tc>
        <w:tc>
          <w:tcPr>
            <w:tcW w:type="dxa" w:w="5760"/>
            <w:vAlign w:val="center"/>
          </w:tcPr>
          <w:p>
            <w:pPr>
              <w:spacing w:after="40"/>
            </w:pPr>
            <w:r>
              <w:rPr>
                <w:sz w:val="18"/>
              </w:rPr>
              <w:t>Buyer liquidity work becomes top-tier priority, not mid-tier.</w:t>
            </w:r>
          </w:p>
        </w:tc>
      </w:tr>
      <w:tr>
        <w:tc>
          <w:tcPr>
            <w:tcW w:type="dxa" w:w="2304"/>
            <w:shd w:fill="F6F8FB"/>
            <w:vAlign w:val="center"/>
          </w:tcPr>
          <w:p>
            <w:pPr>
              <w:spacing w:after="40"/>
            </w:pPr>
            <w:r>
              <w:rPr>
                <w:sz w:val="18"/>
              </w:rPr>
              <w:t>Data quality</w:t>
            </w:r>
          </w:p>
        </w:tc>
        <w:tc>
          <w:tcPr>
            <w:tcW w:type="dxa" w:w="5760"/>
            <w:shd w:fill="F6F8FB"/>
            <w:vAlign w:val="center"/>
          </w:tcPr>
          <w:p>
            <w:pPr>
              <w:spacing w:after="40"/>
            </w:pPr>
            <w:r>
              <w:rPr>
                <w:sz w:val="18"/>
              </w:rPr>
              <w:t>Event history becomes rich enough to support timing logic.</w:t>
            </w:r>
          </w:p>
        </w:tc>
        <w:tc>
          <w:tcPr>
            <w:tcW w:type="dxa" w:w="5760"/>
            <w:shd w:fill="F6F8FB"/>
            <w:vAlign w:val="center"/>
          </w:tcPr>
          <w:p>
            <w:pPr>
              <w:spacing w:after="40"/>
            </w:pPr>
            <w:r>
              <w:rPr>
                <w:sz w:val="18"/>
              </w:rPr>
              <w:t>Begin timing radar and contradiction loops carefully.</w:t>
            </w:r>
          </w:p>
        </w:tc>
      </w:tr>
    </w:tbl>
    <w:p/>
    <w:p>
      <w:pPr>
        <w:pStyle w:val="Heading1"/>
      </w:pPr>
      <w:r>
        <w:t>13. What should not be forced early</w:t>
      </w:r>
    </w:p>
    <w:p>
      <w:pPr>
        <w:ind w:left="288" w:hanging="216"/>
      </w:pPr>
      <w:r>
        <w:rPr>
          <w:sz w:val="21"/>
        </w:rPr>
        <w:t>• Do not build a broad external ERP beside Sentinel.</w:t>
      </w:r>
    </w:p>
    <w:p>
      <w:pPr>
        <w:ind w:left="288" w:hanging="216"/>
      </w:pPr>
      <w:r>
        <w:rPr>
          <w:sz w:val="21"/>
        </w:rPr>
        <w:t>• Do not confuse model novelty with leverage.</w:t>
      </w:r>
    </w:p>
    <w:p>
      <w:pPr>
        <w:ind w:left="288" w:hanging="216"/>
      </w:pPr>
      <w:r>
        <w:rPr>
          <w:sz w:val="21"/>
        </w:rPr>
        <w:t>• Do not ship AI workflows without traces, review, and rollback paths.</w:t>
      </w:r>
    </w:p>
    <w:p>
      <w:pPr>
        <w:ind w:left="288" w:hanging="216"/>
      </w:pPr>
      <w:r>
        <w:rPr>
          <w:sz w:val="21"/>
        </w:rPr>
        <w:t>• Do not chase autonomous cold-calling before scripts, routing, and writeback are mature.</w:t>
      </w:r>
    </w:p>
    <w:p>
      <w:pPr>
        <w:ind w:left="288" w:hanging="216"/>
      </w:pPr>
      <w:r>
        <w:rPr>
          <w:sz w:val="21"/>
        </w:rPr>
        <w:t>• Do not overbuild image or prediction systems before the event store and buyer layer are real.</w:t>
      </w:r>
    </w:p>
    <w:p>
      <w:pPr>
        <w:ind w:left="288" w:hanging="216"/>
      </w:pPr>
      <w:r>
        <w:rPr>
          <w:sz w:val="21"/>
        </w:rPr>
        <w:t>• Do not let the pursuit of future readiness weaken current stage discipline or next-action clarity.</w:t>
      </w:r>
    </w:p>
    <w:p>
      <w:pPr>
        <w:pStyle w:val="Heading1"/>
      </w:pPr>
      <w:r>
        <w:t>14. What should be true before a future bet graduates into the main plan</w:t>
      </w:r>
    </w:p>
    <w:tbl>
      <w:tblPr>
        <w:tblStyle w:val="TableGrid"/>
        <w:tblW w:type="auto" w:w="0"/>
        <w:jc w:val="center"/>
        <w:tblLook w:firstColumn="1" w:firstRow="1" w:lastColumn="0" w:lastRow="0" w:noHBand="0" w:noVBand="1" w:val="04A0"/>
      </w:tblPr>
      <w:tblGrid>
        <w:gridCol w:w="4896"/>
        <w:gridCol w:w="4896"/>
      </w:tblGrid>
      <w:tr>
        <w:tc>
          <w:tcPr>
            <w:tcW w:type="dxa" w:w="2304"/>
            <w:shd w:fill="1F355E"/>
            <w:vAlign w:val="center"/>
          </w:tcPr>
          <w:p>
            <w:pPr>
              <w:jc w:val="center"/>
            </w:pPr>
            <w:r>
              <w:rPr>
                <w:b/>
                <w:color w:val="FFFFFF"/>
                <w:sz w:val="20"/>
              </w:rPr>
              <w:t>Gate</w:t>
            </w:r>
          </w:p>
        </w:tc>
        <w:tc>
          <w:tcPr>
            <w:tcW w:type="dxa" w:w="11376"/>
            <w:shd w:fill="1F355E"/>
            <w:vAlign w:val="center"/>
          </w:tcPr>
          <w:p>
            <w:pPr>
              <w:jc w:val="center"/>
            </w:pPr>
            <w:r>
              <w:rPr>
                <w:b/>
                <w:color w:val="FFFFFF"/>
                <w:sz w:val="20"/>
              </w:rPr>
              <w:t>What must be true</w:t>
            </w:r>
          </w:p>
        </w:tc>
      </w:tr>
      <w:tr>
        <w:tc>
          <w:tcPr>
            <w:tcW w:type="dxa" w:w="2304"/>
            <w:shd w:fill="F6F8FB"/>
            <w:vAlign w:val="center"/>
          </w:tcPr>
          <w:p>
            <w:pPr>
              <w:spacing w:after="40"/>
            </w:pPr>
            <w:r>
              <w:rPr>
                <w:sz w:val="19"/>
              </w:rPr>
              <w:t>Workflow gate</w:t>
            </w:r>
          </w:p>
        </w:tc>
        <w:tc>
          <w:tcPr>
            <w:tcW w:type="dxa" w:w="11376"/>
            <w:shd w:fill="F6F8FB"/>
            <w:vAlign w:val="center"/>
          </w:tcPr>
          <w:p>
            <w:pPr>
              <w:spacing w:after="40"/>
            </w:pPr>
            <w:r>
              <w:rPr>
                <w:sz w:val="19"/>
              </w:rPr>
              <w:t>The idea maps to a real operator action, not just a theoretical feature.</w:t>
            </w:r>
          </w:p>
        </w:tc>
      </w:tr>
      <w:tr>
        <w:tc>
          <w:tcPr>
            <w:tcW w:type="dxa" w:w="2304"/>
            <w:vAlign w:val="center"/>
          </w:tcPr>
          <w:p>
            <w:pPr>
              <w:spacing w:after="40"/>
            </w:pPr>
            <w:r>
              <w:rPr>
                <w:sz w:val="19"/>
              </w:rPr>
              <w:t>Economics gate</w:t>
            </w:r>
          </w:p>
        </w:tc>
        <w:tc>
          <w:tcPr>
            <w:tcW w:type="dxa" w:w="11376"/>
            <w:vAlign w:val="center"/>
          </w:tcPr>
          <w:p>
            <w:pPr>
              <w:spacing w:after="40"/>
            </w:pPr>
            <w:r>
              <w:rPr>
                <w:sz w:val="19"/>
              </w:rPr>
              <w:t>The labor saved or revenue potential is meaningful enough for a two-person company.</w:t>
            </w:r>
          </w:p>
        </w:tc>
      </w:tr>
      <w:tr>
        <w:tc>
          <w:tcPr>
            <w:tcW w:type="dxa" w:w="2304"/>
            <w:shd w:fill="F6F8FB"/>
            <w:vAlign w:val="center"/>
          </w:tcPr>
          <w:p>
            <w:pPr>
              <w:spacing w:after="40"/>
            </w:pPr>
            <w:r>
              <w:rPr>
                <w:sz w:val="19"/>
              </w:rPr>
              <w:t>Data gate</w:t>
            </w:r>
          </w:p>
        </w:tc>
        <w:tc>
          <w:tcPr>
            <w:tcW w:type="dxa" w:w="11376"/>
            <w:shd w:fill="F6F8FB"/>
            <w:vAlign w:val="center"/>
          </w:tcPr>
          <w:p>
            <w:pPr>
              <w:spacing w:after="40"/>
            </w:pPr>
            <w:r>
              <w:rPr>
                <w:sz w:val="19"/>
              </w:rPr>
              <w:t>The required inputs exist with enough consistency to avoid fake precision.</w:t>
            </w:r>
          </w:p>
        </w:tc>
      </w:tr>
      <w:tr>
        <w:tc>
          <w:tcPr>
            <w:tcW w:type="dxa" w:w="2304"/>
            <w:vAlign w:val="center"/>
          </w:tcPr>
          <w:p>
            <w:pPr>
              <w:spacing w:after="40"/>
            </w:pPr>
            <w:r>
              <w:rPr>
                <w:sz w:val="19"/>
              </w:rPr>
              <w:t>Trust gate</w:t>
            </w:r>
          </w:p>
        </w:tc>
        <w:tc>
          <w:tcPr>
            <w:tcW w:type="dxa" w:w="11376"/>
            <w:vAlign w:val="center"/>
          </w:tcPr>
          <w:p>
            <w:pPr>
              <w:spacing w:after="40"/>
            </w:pPr>
            <w:r>
              <w:rPr>
                <w:sz w:val="19"/>
              </w:rPr>
              <w:t>External behavior can be explained in a way that feels local, respectful, and non-creepy.</w:t>
            </w:r>
          </w:p>
        </w:tc>
      </w:tr>
      <w:tr>
        <w:tc>
          <w:tcPr>
            <w:tcW w:type="dxa" w:w="2304"/>
            <w:shd w:fill="F6F8FB"/>
            <w:vAlign w:val="center"/>
          </w:tcPr>
          <w:p>
            <w:pPr>
              <w:spacing w:after="40"/>
            </w:pPr>
            <w:r>
              <w:rPr>
                <w:sz w:val="19"/>
              </w:rPr>
              <w:t>Control gate</w:t>
            </w:r>
          </w:p>
        </w:tc>
        <w:tc>
          <w:tcPr>
            <w:tcW w:type="dxa" w:w="11376"/>
            <w:shd w:fill="F6F8FB"/>
            <w:vAlign w:val="center"/>
          </w:tcPr>
          <w:p>
            <w:pPr>
              <w:spacing w:after="40"/>
            </w:pPr>
            <w:r>
              <w:rPr>
                <w:sz w:val="19"/>
              </w:rPr>
              <w:t>Runs can be traced, reviewed, evaluated, and rolled back.</w:t>
            </w:r>
          </w:p>
        </w:tc>
      </w:tr>
      <w:tr>
        <w:tc>
          <w:tcPr>
            <w:tcW w:type="dxa" w:w="2304"/>
            <w:vAlign w:val="center"/>
          </w:tcPr>
          <w:p>
            <w:pPr>
              <w:spacing w:after="40"/>
            </w:pPr>
            <w:r>
              <w:rPr>
                <w:sz w:val="19"/>
              </w:rPr>
              <w:t>Sequence gate</w:t>
            </w:r>
          </w:p>
        </w:tc>
        <w:tc>
          <w:tcPr>
            <w:tcW w:type="dxa" w:w="11376"/>
            <w:vAlign w:val="center"/>
          </w:tcPr>
          <w:p>
            <w:pPr>
              <w:spacing w:after="40"/>
            </w:pPr>
            <w:r>
              <w:rPr>
                <w:sz w:val="19"/>
              </w:rPr>
              <w:t>The new bet does not disrupt more urgent bottlenecks already known to matter.</w:t>
            </w:r>
          </w:p>
        </w:tc>
      </w:tr>
    </w:tbl>
    <w:p/>
    <w:p>
      <w:pPr>
        <w:pStyle w:val="Heading1"/>
      </w:pPr>
      <w:r>
        <w:t>15. Recommended updates to Dominion's strategic posture</w:t>
      </w:r>
    </w:p>
    <w:p>
      <w:pPr>
        <w:ind w:left="288" w:hanging="216"/>
      </w:pPr>
      <w:r>
        <w:rPr>
          <w:sz w:val="21"/>
        </w:rPr>
        <w:t>• Describe Dominion as a local direct-sale and problem-property solutions company, not only a wholesaler.</w:t>
      </w:r>
    </w:p>
    <w:p>
      <w:pPr>
        <w:ind w:left="288" w:hanging="216"/>
      </w:pPr>
      <w:r>
        <w:rPr>
          <w:sz w:val="21"/>
        </w:rPr>
        <w:t>• Use an options-first frame in scripts and marketing: cash, wholetail, novation, partner route, or timing-based nurture.</w:t>
      </w:r>
    </w:p>
    <w:p>
      <w:pPr>
        <w:ind w:left="288" w:hanging="216"/>
      </w:pPr>
      <w:r>
        <w:rPr>
          <w:sz w:val="21"/>
        </w:rPr>
        <w:t>• Treat the seller proof pack as a future trust weapon, not a nice extra.</w:t>
      </w:r>
    </w:p>
    <w:p>
      <w:pPr>
        <w:ind w:left="288" w:hanging="216"/>
      </w:pPr>
      <w:r>
        <w:rPr>
          <w:sz w:val="21"/>
        </w:rPr>
        <w:t>• Move buyer memory and buyer liquidity work earlier than most operators would.</w:t>
      </w:r>
    </w:p>
    <w:p>
      <w:pPr>
        <w:ind w:left="288" w:hanging="216"/>
      </w:pPr>
      <w:r>
        <w:rPr>
          <w:sz w:val="21"/>
        </w:rPr>
        <w:t>• Treat trust/distribution content as part of the operating system, not side marketing work.</w:t>
      </w:r>
    </w:p>
    <w:p>
      <w:pPr>
        <w:ind w:left="288" w:hanging="216"/>
      </w:pPr>
      <w:r>
        <w:rPr>
          <w:sz w:val="21"/>
        </w:rPr>
        <w:t>• Design the dialer and voice stack for eventual outbound warm-transfer optionality, even if execution stays inbound-first at first.</w:t>
      </w:r>
    </w:p>
    <w:p>
      <w:pPr>
        <w:ind w:left="288" w:hanging="216"/>
      </w:pPr>
      <w:r>
        <w:rPr>
          <w:sz w:val="21"/>
        </w:rPr>
        <w:t>• Capture event history early so later timing logic has real material to work with.</w:t>
      </w:r>
    </w:p>
    <w:p>
      <w:pPr>
        <w:pStyle w:val="Heading1"/>
      </w:pPr>
      <w:r>
        <w:t>16. A forward-looking build order that does not break the main plan</w:t>
      </w:r>
    </w:p>
    <w:tbl>
      <w:tblPr>
        <w:tblStyle w:val="TableGrid"/>
        <w:tblW w:type="auto" w:w="0"/>
        <w:jc w:val="center"/>
        <w:tblLook w:firstColumn="1" w:firstRow="1" w:lastColumn="0" w:lastRow="0" w:noHBand="0" w:noVBand="1" w:val="04A0"/>
      </w:tblPr>
      <w:tblGrid>
        <w:gridCol w:w="3264"/>
        <w:gridCol w:w="3264"/>
        <w:gridCol w:w="3264"/>
      </w:tblGrid>
      <w:tr>
        <w:tc>
          <w:tcPr>
            <w:tcW w:type="dxa" w:w="4608"/>
            <w:shd w:fill="1F355E"/>
            <w:vAlign w:val="center"/>
          </w:tcPr>
          <w:p>
            <w:pPr>
              <w:jc w:val="center"/>
            </w:pPr>
            <w:r>
              <w:rPr>
                <w:b/>
                <w:color w:val="FFFFFF"/>
                <w:sz w:val="20"/>
              </w:rPr>
              <w:t>Now</w:t>
            </w:r>
          </w:p>
        </w:tc>
        <w:tc>
          <w:tcPr>
            <w:tcW w:type="dxa" w:w="4608"/>
            <w:shd w:fill="1F355E"/>
            <w:vAlign w:val="center"/>
          </w:tcPr>
          <w:p>
            <w:pPr>
              <w:jc w:val="center"/>
            </w:pPr>
            <w:r>
              <w:rPr>
                <w:b/>
                <w:color w:val="FFFFFF"/>
                <w:sz w:val="20"/>
              </w:rPr>
              <w:t>Soon after</w:t>
            </w:r>
          </w:p>
        </w:tc>
        <w:tc>
          <w:tcPr>
            <w:tcW w:type="dxa" w:w="4608"/>
            <w:shd w:fill="1F355E"/>
            <w:vAlign w:val="center"/>
          </w:tcPr>
          <w:p>
            <w:pPr>
              <w:jc w:val="center"/>
            </w:pPr>
            <w:r>
              <w:rPr>
                <w:b/>
                <w:color w:val="FFFFFF"/>
                <w:sz w:val="20"/>
              </w:rPr>
              <w:t>Only when signals justify</w:t>
            </w:r>
          </w:p>
        </w:tc>
      </w:tr>
      <w:tr>
        <w:tc>
          <w:tcPr>
            <w:tcW w:type="dxa" w:w="4608"/>
            <w:shd w:fill="F6F8FB"/>
            <w:vAlign w:val="center"/>
          </w:tcPr>
          <w:p>
            <w:pPr>
              <w:spacing w:after="40"/>
            </w:pPr>
            <w:r>
              <w:rPr>
                <w:sz w:val="18"/>
              </w:rPr>
              <w:t>Workflow discipline, post-call structure, dossier, review console basics, trust language, buyer-memory baseline, inbound/missed-call voice.</w:t>
            </w:r>
          </w:p>
        </w:tc>
        <w:tc>
          <w:tcPr>
            <w:tcW w:type="dxa" w:w="4608"/>
            <w:shd w:fill="F6F8FB"/>
            <w:vAlign w:val="center"/>
          </w:tcPr>
          <w:p>
            <w:pPr>
              <w:spacing w:after="40"/>
            </w:pPr>
            <w:r>
              <w:rPr>
                <w:sz w:val="18"/>
              </w:rPr>
              <w:t>Research runner, seller proof pack, trust/distribution assets, buyer-fit, contradiction flags, structured warm transfer, direct-buyer intake basics.</w:t>
            </w:r>
          </w:p>
        </w:tc>
        <w:tc>
          <w:tcPr>
            <w:tcW w:type="dxa" w:w="4608"/>
            <w:shd w:fill="F6F8FB"/>
            <w:vAlign w:val="center"/>
          </w:tcPr>
          <w:p>
            <w:pPr>
              <w:spacing w:after="40"/>
            </w:pPr>
            <w:r>
              <w:rPr>
                <w:sz w:val="18"/>
              </w:rPr>
              <w:t>Outbound AI-assisted warm transfer, transaction-concierge lane, timing radar, memory graph, heavier computer-use workflows, creative direct-sale products.</w:t>
            </w:r>
          </w:p>
        </w:tc>
      </w:tr>
    </w:tbl>
    <w:p/>
    <w:p>
      <w:pPr>
        <w:pStyle w:val="Heading1"/>
      </w:pPr>
      <w:r>
        <w:t>17. Final working north star</w:t>
      </w:r>
    </w:p>
    <w:tbl>
      <w:tblPr>
        <w:tblW w:type="auto" w:w="0"/>
        <w:jc w:val="center"/>
        <w:tblLook w:firstColumn="1" w:firstRow="1" w:lastColumn="0" w:lastRow="0" w:noHBand="0" w:noVBand="1" w:val="04A0"/>
      </w:tblPr>
      <w:tblGrid>
        <w:gridCol w:w="9792"/>
      </w:tblGrid>
      <w:tr>
        <w:tc>
          <w:tcPr>
            <w:tcW w:type="dxa" w:w="9792"/>
            <w:shd w:fill="EEF7F1"/>
            <w:tcBorders>
              <w:left w:val="single" w:sz="10" w:color="167C80"/>
              <w:top w:val="single" w:sz="4" w:color="EEF7F1"/>
              <w:right w:val="single" w:sz="4" w:color="EEF7F1"/>
              <w:bottom w:val="single" w:sz="4" w:color="EEF7F1"/>
            </w:tcBorders>
            <w:vAlign w:val="center"/>
          </w:tcPr>
          <w:p>
            <w:pPr>
              <w:spacing w:after="0"/>
            </w:pPr>
            <w:r>
              <w:rPr>
                <w:b/>
                <w:color w:val="167C80"/>
                <w:sz w:val="21"/>
              </w:rPr>
              <w:t xml:space="preserve">North star: </w:t>
            </w:r>
            <w:r>
              <w:rPr>
                <w:sz w:val="21"/>
              </w:rPr>
              <w:t>Dominion should not try to become a generic wholesaler that added AI. It should become a small local operating system that uses AI tools, local memory, trust assets, buyer intelligence, and disciplined workflow to collapse support labor and sharpen the right conversations faster than competitors.</w:t>
            </w:r>
          </w:p>
        </w:tc>
      </w:tr>
    </w:tbl>
    <w:p/>
    <w:p>
      <w:pPr>
        <w:pStyle w:val="Heading1"/>
      </w:pPr>
      <w:r>
        <w:t>18. Appendix: external shifts informing this plan</w:t>
      </w:r>
    </w:p>
    <w:p>
      <w:r>
        <w:t>This forward-looking document was informed by Dominion's internal strategy documents plus a small set of external signals worth monitoring:</w:t>
      </w:r>
    </w:p>
    <w:p>
      <w:pPr>
        <w:ind w:left="288" w:hanging="216"/>
      </w:pPr>
      <w:r>
        <w:rPr>
          <w:sz w:val="21"/>
        </w:rPr>
        <w:t>• Agent/runtime tooling maturing toward traced workflows, handoffs, evals, and connector-based tool use.</w:t>
      </w:r>
    </w:p>
    <w:p>
      <w:pPr>
        <w:ind w:left="288" w:hanging="216"/>
      </w:pPr>
      <w:r>
        <w:rPr>
          <w:sz w:val="21"/>
        </w:rPr>
        <w:t>• Realtime voice stacks adding stronger tool use, SIP/phone support, and production-oriented routing capabilities.</w:t>
      </w:r>
    </w:p>
    <w:p>
      <w:pPr>
        <w:ind w:left="288" w:hanging="216"/>
      </w:pPr>
      <w:r>
        <w:rPr>
          <w:sz w:val="21"/>
        </w:rPr>
        <w:t>• Search becoming more answer-engine mediated and conversational.</w:t>
      </w:r>
    </w:p>
    <w:p>
      <w:pPr>
        <w:ind w:left="288" w:hanging="216"/>
      </w:pPr>
      <w:r>
        <w:rPr>
          <w:sz w:val="21"/>
        </w:rPr>
        <w:t>• Consumers using AI heavily for housing information while still often relying on human agents for the transaction itself.</w:t>
      </w:r>
    </w:p>
    <w:p>
      <w:pPr>
        <w:ind w:left="288" w:hanging="216"/>
      </w:pPr>
      <w:r>
        <w:rPr>
          <w:sz w:val="21"/>
        </w:rPr>
        <w:t>• The post-settlement environment making service scope and compensation more explicit, which may reinforce more selective or unbundled consumer behavior.</w:t>
      </w:r>
    </w:p>
    <w:p>
      <w:pPr>
        <w:pStyle w:val="Heading1"/>
      </w:pPr>
      <w:r>
        <w:t>19. Appendix: open questions to revisit quarterly</w:t>
      </w:r>
    </w:p>
    <w:p>
      <w:pPr>
        <w:ind w:left="288" w:hanging="216"/>
      </w:pPr>
      <w:r>
        <w:rPr>
          <w:sz w:val="21"/>
        </w:rPr>
        <w:t>• Are we seeing more sellers who want direct guidance instead of traditional representation?</w:t>
      </w:r>
    </w:p>
    <w:p>
      <w:pPr>
        <w:ind w:left="288" w:hanging="216"/>
      </w:pPr>
      <w:r>
        <w:rPr>
          <w:sz w:val="21"/>
        </w:rPr>
        <w:t>• Is buyer liquidity now a bigger bottleneck than acquisitions throughput?</w:t>
      </w:r>
    </w:p>
    <w:p>
      <w:pPr>
        <w:ind w:left="288" w:hanging="216"/>
      </w:pPr>
      <w:r>
        <w:rPr>
          <w:sz w:val="21"/>
        </w:rPr>
        <w:t>• Are our trust assets getting used in real conversations and objections?</w:t>
      </w:r>
    </w:p>
    <w:p>
      <w:pPr>
        <w:ind w:left="288" w:hanging="216"/>
      </w:pPr>
      <w:r>
        <w:rPr>
          <w:sz w:val="21"/>
        </w:rPr>
        <w:t>• Would a seller proof pack improve serious-lead conversion enough to matter?</w:t>
      </w:r>
    </w:p>
    <w:p>
      <w:pPr>
        <w:ind w:left="288" w:hanging="216"/>
      </w:pPr>
      <w:r>
        <w:rPr>
          <w:sz w:val="21"/>
        </w:rPr>
        <w:t>• Are local buyers showing interest in a more direct lane for wholetail or novation exits?</w:t>
      </w:r>
    </w:p>
    <w:p>
      <w:pPr>
        <w:ind w:left="288" w:hanging="216"/>
      </w:pPr>
      <w:r>
        <w:rPr>
          <w:sz w:val="21"/>
        </w:rPr>
        <w:t>• Have any future bets matured enough that they now deserve a place in the committed roadmap?</w:t>
      </w:r>
    </w:p>
    <w:p>
      <w:pPr>
        <w:ind w:left="288" w:hanging="216"/>
      </w:pPr>
      <w:r>
        <w:rPr>
          <w:sz w:val="21"/>
        </w:rPr>
        <w:t>• Which assumptions in this document proved early, late, or simply wrong?</w:t>
      </w:r>
    </w:p>
    <w:sectPr w:rsidR="00FC693F" w:rsidRPr="0006063C" w:rsidSect="00034616">
      <w:footerReference w:type="default" r:id="rId9"/>
      <w:pgSz w:w="12240" w:h="15840"/>
      <w:pgMar w:top="1152"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681"/>
        <w:sz w:val="17"/>
      </w:rPr>
      <w:t>Dominion Forward-Looking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355E"/>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67C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9A6C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5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