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b/>
          <w:bCs/>
          <w:color w:val="1F4E5F"/>
          <w:sz w:val="72"/>
          <w:szCs w:val="72"/>
        </w:rPr>
        <w:t xml:space="preserve">AdamHUB</w:t>
      </w:r>
    </w:p>
    <w:p>
      <w:pPr>
        <w:spacing w:after="480"/>
        <w:jc w:val="center"/>
      </w:pPr>
      <w:r>
        <w:rPr>
          <w:i/>
          <w:iCs/>
          <w:sz w:val="32"/>
          <w:szCs w:val="32"/>
        </w:rPr>
        <w:t xml:space="preserve">L’assistant vocal qui pilote votre vie quotidienne</w:t>
      </w:r>
    </w:p>
    <w:p>
      <w:pPr>
        <w:spacing w:after="160"/>
        <w:jc w:val="center"/>
      </w:pPr>
      <w:r>
        <w:rPr>
          <w:sz w:val="26"/>
          <w:szCs w:val="26"/>
        </w:rPr>
        <w:t xml:space="preserve">Étude de marché • Business plan • Stack technique • Roadmap</w:t>
      </w:r>
    </w:p>
    <w:p>
      <w:pPr>
        <w:spacing w:after="160"/>
        <w:jc w:val="center"/>
      </w:pPr>
      <w:r>
        <w:rPr>
          <w:color w:val="555555"/>
          <w:sz w:val="22"/>
          <w:szCs w:val="22"/>
        </w:rPr>
        <w:t xml:space="preserve">Marché : France — Modèle : freemium + abonnement — Budget de départ : 500 €</w:t>
      </w:r>
    </w:p>
    <w:p>
      <w:pPr>
        <w:jc w:val="center"/>
      </w:pPr>
      <w:r>
        <w:rPr>
          <w:color w:val="888888"/>
          <w:sz w:val="20"/>
          <w:szCs w:val="20"/>
        </w:rPr>
        <w:t xml:space="preserve">Léo — 1er juillet 2026 — Document de travail confidentiel</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 exécutive</w:t>
      </w:r>
    </w:p>
    <w:p>
      <w:pPr>
        <w:spacing w:after="160"/>
      </w:pPr>
      <w:r>
        <w:t xml:space="preserve">AdamHUB est un hub de vie personnel piloté par une IA vocale : calendrier, courses, recettes, repas, sport et finances dans une seule application, commandée à la voix ou au texte. Le backend existe déjà (FastAPI, 110 routes REST, 99 actions IA exposées, front React) : le projet ne part pas de zéro, il s’agit de le transformer en produit grand public iOS/Android.</w:t>
      </w:r>
    </w:p>
    <w:p>
      <w:pPr>
        <w:spacing w:after="160"/>
      </w:pPr>
      <w:r>
        <w:t xml:space="preserve">Trois constats structurent ce document.</w:t>
      </w:r>
    </w:p>
    <w:p>
      <w:pPr>
        <w:pStyle w:val="ListParagraph"/>
        <w:numPr>
          <w:ilvl w:val="0"/>
          <w:numId w:val="2"/>
        </w:numPr>
        <w:spacing w:after="100"/>
      </w:pPr>
      <w:r>
        <w:rPr>
          <w:b/>
          <w:bCs/>
        </w:rPr>
        <w:t xml:space="preserve">Le marché existe et croît vite. </w:t>
      </w:r>
      <w:r>
        <w:t xml:space="preserve">Le segment « assistant IA personnel » grand public passe de 2,2 Md$ (2024) à ~56 Md$ projetés en 2034 (CAGR ~38 %). 48 % des Français utilisent déjà l’IA générative. Aucun acteur français ne propose d’assistant vocal tout-en-un : les concurrents sont tous verticaux (Jow pour les repas, Bankin’ pour le budget, Structured pour le planning).</w:t>
      </w:r>
    </w:p>
    <w:p>
      <w:pPr>
        <w:pStyle w:val="ListParagraph"/>
        <w:numPr>
          <w:ilvl w:val="0"/>
          <w:numId w:val="2"/>
        </w:numPr>
        <w:spacing w:after="100"/>
      </w:pPr>
      <w:r>
        <w:rPr>
          <w:b/>
          <w:bCs/>
        </w:rPr>
        <w:t xml:space="preserve">La conversion payante est le vrai défi, pas la technologie. </w:t>
      </w:r>
      <w:r>
        <w:t xml:space="preserve">Seuls ~3 % des utilisateurs d’IA paient un abonnement. Le business plan repose donc sur un free tier réellement utile, un prix Premium à 9,99 €/mois (sous ChatGPT à 23 €, sous Martin AI à 21–49 $) et une forte incitation à l’annuel (rétention 12 mois : 44 % en annuel contre 17 % en mensuel).</w:t>
      </w:r>
    </w:p>
    <w:p>
      <w:pPr>
        <w:pStyle w:val="ListParagraph"/>
        <w:numPr>
          <w:ilvl w:val="0"/>
          <w:numId w:val="2"/>
        </w:numPr>
        <w:spacing w:after="100"/>
      </w:pPr>
      <w:r>
        <w:rPr>
          <w:b/>
          <w:bCs/>
        </w:rPr>
        <w:t xml:space="preserve">500 € suffisent pour lancer. </w:t>
      </w:r>
      <w:r>
        <w:t xml:space="preserve">Coûts incompressibles ≈ 180 €/an (Apple 99 $, Google 25 $, VPS Hetzner ~5 €/mois). La stack IA recommandée (Groq Whisper + Gemini 3.1 Flash-Lite ou DeepSeek V4 Flash + TTS Kokoro auto-hébergé) coûte ~1,5–2,5 €/mois par utilisateur actif intensif — 30 à 100 fois moins cher qu’OpenAI Realtime. Le développement est réalisé intégralement avec Claude Code (Opus 4.8) ; délai réaliste jusqu’aux stores : 6 à 8 semaines, le chemin critique étant les 14 jours de test fermé imposés par Google, pas le code.</w:t>
      </w:r>
    </w:p>
    <w:p>
      <w:pPr>
        <w:spacing w:after="160"/>
      </w:pPr>
      <w:r>
        <w:rPr>
          <w:b/>
          <w:bCs/>
        </w:rPr>
        <w:t xml:space="preserve">Recommandation centrale : </w:t>
      </w:r>
      <w:r>
        <w:t xml:space="preserve">lancer avec une verticale d’accroche forte (repas + courses en vocal, là où Jow a prouvé l’appétit français) et présenter les autres modules comme extension naturelle, plutôt que promettre six modules moyens dès le jour 1. Le module finances reste en saisie manuelle en V1 (la connexion bancaire exige un agrément DSP2 ou un agrégateur payant — à reporter en V2).</w:t>
      </w:r>
    </w:p>
    <w:p>
      <w:r>
        <w:br w:type="page"/>
      </w:r>
    </w:p>
    <w:p>
      <w:pPr>
        <w:pStyle w:val="Heading1"/>
      </w:pPr>
      <w:r>
        <w:t xml:space="preserve">2. Étude de marché</w:t>
      </w:r>
    </w:p>
    <w:p>
      <w:pPr>
        <w:pStyle w:val="Heading2"/>
      </w:pPr>
      <w:r>
        <w:t xml:space="preserve">2.1 Taille et dynamique du marché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400"/>
        <w:gridCol w:w="1326"/>
      </w:tblGrid>
      <w:tr>
        <w:trPr>
          <w:tblHeader/>
        </w:trPr>
        <w:tc>
          <w:tcPr>
            <w:tcW w:type="dxa" w:w="32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Segment</w:t>
            </w:r>
          </w:p>
        </w:tc>
        <w:tc>
          <w:tcPr>
            <w:tcW w:type="dxa" w:w="21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Taille</w:t>
            </w:r>
          </w:p>
        </w:tc>
        <w:tc>
          <w:tcPr>
            <w:tcW w:type="dxa" w:w="24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Horizon / croissance</w:t>
            </w:r>
          </w:p>
        </w:tc>
        <w:tc>
          <w:tcPr>
            <w:tcW w:type="dxa" w:w="13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Source</w:t>
            </w:r>
          </w:p>
        </w:tc>
      </w:tr>
      <w:tr>
        <w:tc>
          <w:tcPr>
            <w:tcW w:type="dxa" w:w="3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Assistants IA (monde)</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3,35 Md$ (2025)</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21,1 Md$ en 2030</w:t>
            </w:r>
          </w:p>
        </w:tc>
        <w:tc>
          <w:tcPr>
            <w:tcW w:type="dxa" w:w="13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MarketsandMarkets</w:t>
            </w:r>
          </w:p>
        </w:tc>
      </w:tr>
      <w:tr>
        <w:tc>
          <w:tcPr>
            <w:tcW w:type="dxa" w:w="3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Assistant IA personnel grand public</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2,23 Md$ (2024)</w:t>
            </w:r>
          </w:p>
        </w:tc>
        <w:tc>
          <w:tcPr>
            <w:tcW w:type="dxa" w:w="2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~56,3 Md$ en 2034 (CAGR 38,1 %)</w:t>
            </w:r>
          </w:p>
        </w:tc>
        <w:tc>
          <w:tcPr>
            <w:tcW w:type="dxa" w:w="13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Market.us</w:t>
            </w:r>
          </w:p>
        </w:tc>
      </w:tr>
      <w:tr>
        <w:tc>
          <w:tcPr>
            <w:tcW w:type="dxa" w:w="3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AI companions</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36,8 Md$ (2025)</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~318 Md$ en 2033 (CAGR ~31 %)</w:t>
            </w:r>
          </w:p>
        </w:tc>
        <w:tc>
          <w:tcPr>
            <w:tcW w:type="dxa" w:w="13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Grand View Research</w:t>
            </w:r>
          </w:p>
        </w:tc>
      </w:tr>
      <w:tr>
        <w:tc>
          <w:tcPr>
            <w:tcW w:type="dxa" w:w="3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Apps de productivité (monde)</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~32,5 Md$ (2024)</w:t>
            </w:r>
          </w:p>
        </w:tc>
        <w:tc>
          <w:tcPr>
            <w:tcW w:type="dxa" w:w="2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CAGR 9–10 %</w:t>
            </w:r>
          </w:p>
        </w:tc>
        <w:tc>
          <w:tcPr>
            <w:tcW w:type="dxa" w:w="13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Business of Apps / Mordor</w:t>
            </w:r>
          </w:p>
        </w:tc>
      </w:tr>
      <w:tr>
        <w:tc>
          <w:tcPr>
            <w:tcW w:type="dxa" w:w="3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Consumer AI : revenus réels</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~12 Md$ pour 1,8 Md d’utilisateurs</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~3 % seulement paient</w:t>
            </w:r>
          </w:p>
        </w:tc>
        <w:tc>
          <w:tcPr>
            <w:tcW w:type="dxa" w:w="13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Menlo Ventures 2025</w:t>
            </w:r>
          </w:p>
        </w:tc>
      </w:tr>
    </w:tbl>
    <w:p>
      <w:pPr>
        <w:spacing w:after="160"/>
      </w:pPr>
    </w:p>
    <w:p>
      <w:pPr>
        <w:spacing w:after="160"/>
      </w:pPr>
      <w:r>
        <w:t xml:space="preserve">Lecture honnête de ces chiffres : le marché est énorme et en forte croissance, mais le « monetization gap » est tout aussi énorme — presque tout le monde utilise l’IA, presque personne ne la paie. La médiane des startups consumer AI qui réussissent atteint 4,2 M$ d’ARR en ~8 mois (a16z), mais ce sont des exceptions financées. Pour un étudiant solo, l’objectif réaliste année 1 n’est pas l’ARR à six chiffres : c’est la preuve de rétention et une centaine d’abonnés payants.</w:t>
      </w:r>
    </w:p>
    <w:p>
      <w:pPr>
        <w:pStyle w:val="Heading2"/>
      </w:pPr>
      <w:r>
        <w:t xml:space="preserve">2.2 Paysage concurrentiel</w:t>
      </w:r>
    </w:p>
    <w:p>
      <w:pPr>
        <w:spacing w:after="160"/>
      </w:pPr>
      <w:r>
        <w:rPr>
          <w:b/>
          <w:bCs/>
        </w:rPr>
        <w:t xml:space="preserve">Concurrents directs — assistants IA personnels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700"/>
        <w:gridCol w:w="2426"/>
      </w:tblGrid>
      <w:tr>
        <w:trPr>
          <w:tblHeader/>
        </w:trPr>
        <w:tc>
          <w:tcPr>
            <w:tcW w:type="dxa" w:w="19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Produit</w:t>
            </w:r>
          </w:p>
        </w:tc>
        <w:tc>
          <w:tcPr>
            <w:tcW w:type="dxa" w:w="3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Positionnement</w:t>
            </w:r>
          </w:p>
        </w:tc>
        <w:tc>
          <w:tcPr>
            <w:tcW w:type="dxa" w:w="17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Prix</w:t>
            </w:r>
          </w:p>
        </w:tc>
        <w:tc>
          <w:tcPr>
            <w:tcW w:type="dxa" w:w="24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Enseignement</w:t>
            </w:r>
          </w:p>
        </w:tc>
      </w:tr>
      <w:tr>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Martin AI (YC, US)</w:t>
            </w:r>
          </w:p>
        </w:tc>
        <w:tc>
          <w:tcPr>
            <w:tcW w:type="dxa" w:w="3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Jarvis » perso : mail, agenda, SMS, appels</w:t>
            </w:r>
          </w:p>
        </w:tc>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21 $/mois → jusqu’à 49 $/mois</w:t>
            </w:r>
          </w:p>
        </w:tc>
        <w:tc>
          <w:tcPr>
            <w:tcW w:type="dxa" w:w="24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 fondateurs de 19 ans, seed 2 M$ : un micro-team peut exister ici</w:t>
            </w:r>
          </w:p>
        </w:tc>
      </w:tr>
      <w:tr>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Dola AI</w:t>
            </w:r>
          </w:p>
        </w:tc>
        <w:tc>
          <w:tcPr>
            <w:tcW w:type="dxa" w:w="3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Assistant calendrier dans WhatsApp/Telegram</w:t>
            </w:r>
          </w:p>
        </w:tc>
        <w:tc>
          <w:tcPr>
            <w:tcW w:type="dxa" w:w="1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Freemium (bêta)</w:t>
            </w:r>
          </w:p>
        </w:tc>
        <w:tc>
          <w:tcPr>
            <w:tcW w:type="dxa" w:w="24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Distribution via messageries, pas d’app</w:t>
            </w:r>
          </w:p>
        </w:tc>
      </w:tr>
      <w:tr>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Lindy</w:t>
            </w:r>
          </w:p>
        </w:tc>
        <w:tc>
          <w:tcPr>
            <w:tcW w:type="dxa" w:w="3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Assistant qui exécute (mail, agenda)</w:t>
            </w:r>
          </w:p>
        </w:tc>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~50 $/mois</w:t>
            </w:r>
          </w:p>
        </w:tc>
        <w:tc>
          <w:tcPr>
            <w:tcW w:type="dxa" w:w="24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Positionnement pro, cher</w:t>
            </w:r>
          </w:p>
        </w:tc>
      </w:tr>
      <w:tr>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ChatGPT / Gemini (mode vocal)</w:t>
            </w:r>
          </w:p>
        </w:tc>
        <w:tc>
          <w:tcPr>
            <w:tcW w:type="dxa" w:w="3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Généraliste</w:t>
            </w:r>
          </w:p>
        </w:tc>
        <w:tc>
          <w:tcPr>
            <w:tcW w:type="dxa" w:w="1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 – ~23 €/mois</w:t>
            </w:r>
          </w:p>
        </w:tc>
        <w:tc>
          <w:tcPr>
            <w:tcW w:type="dxa" w:w="24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Le vrai concurrent par défaut de tout assistant</w:t>
            </w:r>
          </w:p>
        </w:tc>
      </w:tr>
    </w:tbl>
    <w:p>
      <w:pPr>
        <w:spacing w:after="160"/>
      </w:pPr>
    </w:p>
    <w:p>
      <w:pPr>
        <w:spacing w:after="160"/>
      </w:pPr>
      <w:r>
        <w:rPr>
          <w:b/>
          <w:bCs/>
        </w:rPr>
        <w:t xml:space="preserve">Concurrents indirects — verticaux, par module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900"/>
        <w:gridCol w:w="2126"/>
      </w:tblGrid>
      <w:tr>
        <w:trPr>
          <w:tblHeader/>
        </w:trPr>
        <w:tc>
          <w:tcPr>
            <w:tcW w:type="dxa" w:w="2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Module AdamHUB</w:t>
            </w:r>
          </w:p>
        </w:tc>
        <w:tc>
          <w:tcPr>
            <w:tcW w:type="dxa" w:w="3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Leader du vertical</w:t>
            </w:r>
          </w:p>
        </w:tc>
        <w:tc>
          <w:tcPr>
            <w:tcW w:type="dxa" w:w="19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Prix</w:t>
            </w:r>
          </w:p>
        </w:tc>
        <w:tc>
          <w:tcPr>
            <w:tcW w:type="dxa" w:w="21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Base utilisateurs</w:t>
            </w:r>
          </w:p>
        </w:tc>
      </w:tr>
      <w:tr>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Planning / calendrier</w:t>
            </w:r>
          </w:p>
        </w:tc>
        <w:tc>
          <w:tcPr>
            <w:tcW w:type="dxa" w:w="3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Structured / Motion / Reclaim / TimeTree</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2,99 $ – 49 $/mois</w:t>
            </w:r>
          </w:p>
        </w:tc>
        <w:tc>
          <w:tcPr>
            <w:tcW w:type="dxa" w:w="2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TimeTree : 70 M</w:t>
            </w:r>
          </w:p>
        </w:tc>
      </w:tr>
      <w:tr>
        <w:tc>
          <w:tcPr>
            <w:tcW w:type="dxa" w:w="2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Repas / courses</w:t>
            </w:r>
          </w:p>
        </w:tc>
        <w:tc>
          <w:tcPr>
            <w:tcW w:type="dxa" w:w="3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Jow (FR), Frigo Magic (FR), Samsung Food</w:t>
            </w:r>
          </w:p>
        </w:tc>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Gratuit – 6,99 $/mois</w:t>
            </w:r>
          </w:p>
        </w:tc>
        <w:tc>
          <w:tcPr>
            <w:tcW w:type="dxa" w:w="2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Jow : modèle affiliation supermarchés</w:t>
            </w:r>
          </w:p>
        </w:tc>
      </w:tr>
      <w:tr>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Nutrition / scan</w:t>
            </w:r>
          </w:p>
        </w:tc>
        <w:tc>
          <w:tcPr>
            <w:tcW w:type="dxa" w:w="3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Yuka (FR)</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~10–15 €/an, prix libre</w:t>
            </w:r>
          </w:p>
        </w:tc>
        <w:tc>
          <w:tcPr>
            <w:tcW w:type="dxa" w:w="2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21–22 M en France</w:t>
            </w:r>
          </w:p>
        </w:tc>
      </w:tr>
      <w:tr>
        <w:tc>
          <w:tcPr>
            <w:tcW w:type="dxa" w:w="2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Finances perso</w:t>
            </w:r>
          </w:p>
        </w:tc>
        <w:tc>
          <w:tcPr>
            <w:tcW w:type="dxa" w:w="3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Bankin’, Linxo, Finary</w:t>
            </w:r>
          </w:p>
        </w:tc>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2,49 € – 12,50 €/mois</w:t>
            </w:r>
          </w:p>
        </w:tc>
        <w:tc>
          <w:tcPr>
            <w:tcW w:type="dxa" w:w="2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Bankin’ : &gt;6 M en Europe</w:t>
            </w:r>
          </w:p>
        </w:tc>
      </w:tr>
      <w:tr>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Sport</w:t>
            </w:r>
          </w:p>
        </w:tc>
        <w:tc>
          <w:tcPr>
            <w:tcW w:type="dxa" w:w="3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Apps fitness verticales</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 – 15 €/mois</w:t>
            </w:r>
          </w:p>
        </w:tc>
        <w:tc>
          <w:tcPr>
            <w:tcW w:type="dxa" w:w="2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Très fragmenté</w:t>
            </w:r>
          </w:p>
        </w:tc>
      </w:tr>
    </w:tbl>
    <w:p>
      <w:pPr>
        <w:spacing w:after="160"/>
      </w:pPr>
    </w:p>
    <w:p>
      <w:pPr>
        <w:spacing w:after="160"/>
      </w:pPr>
      <w:r>
        <w:rPr>
          <w:b/>
          <w:bCs/>
        </w:rPr>
        <w:t xml:space="preserve">Le constat clé : </w:t>
      </w:r>
      <w:r>
        <w:t xml:space="preserve">personne ne couvre le combo calendrier + repas/courses + sport + finances en vocal, et il n’existe pas d’équivalent français identifié. C’est une fenêtre réelle. Mais elle a un revers : pour convaincre un utilisateur de migrer cinq usages d’un coup, il faut être meilleur que Jow (gratuit) sur les courses ET que Bankin’ (2,49 €) sur le budget ET que Google Calendar (gratuit) sur l’agenda. D’où la stratégie « verticale d’accroche + extension » plutôt que « tout-en-un dès le jour 1 ».</w:t>
      </w:r>
    </w:p>
    <w:p>
      <w:pPr>
        <w:pStyle w:val="Heading2"/>
      </w:pPr>
      <w:r>
        <w:t xml:space="preserve">2.3 Le consommateur français</w:t>
      </w:r>
    </w:p>
    <w:p>
      <w:pPr>
        <w:pStyle w:val="ListParagraph"/>
        <w:numPr>
          <w:ilvl w:val="0"/>
          <w:numId w:val="2"/>
        </w:numPr>
        <w:spacing w:after="100"/>
      </w:pPr>
      <w:r>
        <w:rPr>
          <w:b/>
          <w:bCs/>
        </w:rPr>
        <w:t xml:space="preserve">48 % des Français</w:t>
      </w:r>
      <w:r>
        <w:t xml:space="preserve"> utilisent l’IA générative en 2025 — l’adoption technologique la plus rapide jamais mesurée en France.</w:t>
      </w:r>
    </w:p>
    <w:p>
      <w:pPr>
        <w:pStyle w:val="ListParagraph"/>
        <w:numPr>
          <w:ilvl w:val="0"/>
          <w:numId w:val="2"/>
        </w:numPr>
        <w:spacing w:after="100"/>
      </w:pPr>
      <w:r>
        <w:rPr>
          <w:b/>
          <w:bCs/>
        </w:rPr>
        <w:t xml:space="preserve">Plus d’1 Français sur 2</w:t>
      </w:r>
      <w:r>
        <w:t xml:space="preserve"> a déjà utilisé un assistant vocal (~20 M d’utilisateurs), mais seuls ~19 % en font un usage régulier : le vocal est adopté épisodiquement, il faudra créer l’habitude.</w:t>
      </w:r>
    </w:p>
    <w:p>
      <w:pPr>
        <w:pStyle w:val="ListParagraph"/>
        <w:numPr>
          <w:ilvl w:val="0"/>
          <w:numId w:val="2"/>
        </w:numPr>
        <w:spacing w:after="100"/>
      </w:pPr>
      <w:r>
        <w:rPr>
          <w:b/>
          <w:bCs/>
        </w:rPr>
        <w:t xml:space="preserve">Les 25–34 ans dépensent ~60 €/mois</w:t>
      </w:r>
      <w:r>
        <w:t xml:space="preserve"> en abonnements numériques (moyenne nationale : 31–49 € réels vs ~20 € perçus). La « fatigue d’abonnement » est réelle : un abonnement perçu comme redondant est le premier résilié.</w:t>
      </w:r>
    </w:p>
    <w:p>
      <w:pPr>
        <w:pStyle w:val="ListParagraph"/>
        <w:numPr>
          <w:ilvl w:val="0"/>
          <w:numId w:val="2"/>
        </w:numPr>
        <w:spacing w:after="100"/>
      </w:pPr>
      <w:r>
        <w:rPr>
          <w:b/>
          <w:bCs/>
        </w:rPr>
        <w:t xml:space="preserve">Rétention à 12 mois (RevenueCat, 75 000+ apps) : </w:t>
      </w:r>
      <w:r>
        <w:t xml:space="preserve">17 % en plan mensuel, 44 % en plan annuel. Les essais gratuits longs (17–32 jours) convertissent le mieux (~46 %). Conséquence directe : pousser l’annuel dès l’onboarding.</w:t>
      </w:r>
    </w:p>
    <w:p>
      <w:pPr>
        <w:pStyle w:val="ListParagraph"/>
        <w:numPr>
          <w:ilvl w:val="0"/>
          <w:numId w:val="2"/>
        </w:numPr>
        <w:spacing w:after="100"/>
      </w:pPr>
      <w:r>
        <w:rPr>
          <w:b/>
          <w:bCs/>
        </w:rPr>
        <w:t xml:space="preserve">Seuls ~9 % des payeurs d’IA paient plus d’un abonnement IA</w:t>
      </w:r>
      <w:r>
        <w:t xml:space="preserve"> : AdamHUB sera en concurrence budgétaire frontale avec ChatGPT à 23 €/mois. L’argument doit être « il fait des choses que ChatGPT ne fait pas » (agir sur vos courses, votre agenda, vos repas), pas « il discute mieux ».</w:t>
      </w:r>
    </w:p>
    <w:p>
      <w:pPr>
        <w:pStyle w:val="Heading2"/>
      </w:pPr>
      <w:r>
        <w:t xml:space="preserve">2.4 Tendances 2025–2026 et leçons des échecs</w:t>
      </w:r>
    </w:p>
    <w:p>
      <w:pPr>
        <w:spacing w:after="160"/>
      </w:pPr>
      <w:r>
        <w:t xml:space="preserve">Le marché bascule du chat vers l’exécution : les assistants 2026 agissent (agenda, achats, messages) au lieu de simplement répondre. Les « super-apps de vie » qui émergent se construisent par extension depuis une verticale forte (TimeTree ajoute l’IA au calendrier, Samsung Food l’IA aux repas), jamais depuis zéro. Côté monétisation, les modèles hybrides (freemium + paliers + usage) remplacent l’abonnement plat.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Échec</w:t>
            </w:r>
          </w:p>
        </w:tc>
        <w:tc>
          <w:tcPr>
            <w:tcW w:type="dxa" w:w="36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Ce qui s’est passé</w:t>
            </w:r>
          </w:p>
        </w:tc>
        <w:tc>
          <w:tcPr>
            <w:tcW w:type="dxa" w:w="37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Leçon pour AdamHUB</w:t>
            </w:r>
          </w:p>
        </w:tc>
      </w:tr>
      <w:tr>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Humane AI Pin</w:t>
            </w:r>
          </w:p>
        </w:tc>
        <w:tc>
          <w:tcPr>
            <w:tcW w:type="dxa" w:w="3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230 M$ levés, &lt;10 000 unités vendues, serveurs coupés en 2025</w:t>
            </w:r>
          </w:p>
        </w:tc>
        <w:tc>
          <w:tcPr>
            <w:tcW w:type="dxa" w:w="3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L’assistant universel échoue s’il fait tout moyennement</w:t>
            </w:r>
          </w:p>
        </w:tc>
      </w:tr>
      <w:tr>
        <w:tc>
          <w:tcPr>
            <w:tcW w:type="dxa" w:w="1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Rabbit R1</w:t>
            </w:r>
          </w:p>
        </w:tc>
        <w:tc>
          <w:tcPr>
            <w:tcW w:type="dxa" w:w="36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100 000 vendus, ~5 000 actifs quotidiens restants</w:t>
            </w:r>
          </w:p>
        </w:tc>
        <w:tc>
          <w:tcPr>
            <w:tcW w:type="dxa" w:w="3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Ça doit marcher parfaitement dès le jour 1, sur le smartphone</w:t>
            </w:r>
          </w:p>
        </w:tc>
      </w:tr>
      <w:tr>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Mint (Intuit)</w:t>
            </w:r>
          </w:p>
        </w:tc>
        <w:tc>
          <w:tcPr>
            <w:tcW w:type="dxa" w:w="3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Fermé en 2024 malgré 3,6 M d’utilisateurs actifs</w:t>
            </w:r>
          </w:p>
        </w:tc>
        <w:tc>
          <w:tcPr>
            <w:tcW w:type="dxa" w:w="3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Le gratuit non monétisé en finances perso ne survit pas</w:t>
            </w:r>
          </w:p>
        </w:tc>
      </w:tr>
    </w:tbl>
    <w:p>
      <w:pPr>
        <w:spacing w:after="160"/>
      </w:pPr>
    </w:p>
    <w:p>
      <w:pPr>
        <w:pStyle w:val="Heading2"/>
      </w:pPr>
      <w:r>
        <w:t xml:space="preserve">2.5 Cadre réglementaire</w:t>
      </w:r>
    </w:p>
    <w:p>
      <w:pPr>
        <w:pStyle w:val="ListParagraph"/>
        <w:numPr>
          <w:ilvl w:val="0"/>
          <w:numId w:val="2"/>
        </w:numPr>
        <w:spacing w:after="100"/>
      </w:pPr>
      <w:r>
        <w:rPr>
          <w:b/>
          <w:bCs/>
        </w:rPr>
        <w:t xml:space="preserve">AI Act (application complète le 2 août 2026) : </w:t>
      </w:r>
      <w:r>
        <w:t xml:space="preserve">un assistant de vie personnel relève a priori du risque limité → obligation de transparence (l’utilisateur sait qu’il parle à une IA). Rester dans le conseil « bien-être » pour le sport (pas de diagnostic médical) et ne jamais faire de scoring de crédit (haut risque, Annexe III).</w:t>
      </w:r>
    </w:p>
    <w:p>
      <w:pPr>
        <w:pStyle w:val="ListParagraph"/>
        <w:numPr>
          <w:ilvl w:val="0"/>
          <w:numId w:val="2"/>
        </w:numPr>
        <w:spacing w:after="100"/>
      </w:pPr>
      <w:r>
        <w:rPr>
          <w:b/>
          <w:bCs/>
        </w:rPr>
        <w:t xml:space="preserve">RGPD : </w:t>
      </w:r>
      <w:r>
        <w:t xml:space="preserve">le profilage multi-domaines (finances + alimentation + activité physique) impose une analyse d’impact (AIPD) et un consentement explicite pour les données assimilables à la santé (art. 9). Hébergement en Europe (Hetzner Allemagne / OVH France) : argument commercial en plus d’une obligation.</w:t>
      </w:r>
    </w:p>
    <w:p>
      <w:pPr>
        <w:pStyle w:val="ListParagraph"/>
        <w:numPr>
          <w:ilvl w:val="0"/>
          <w:numId w:val="2"/>
        </w:numPr>
        <w:spacing w:after="100"/>
      </w:pPr>
      <w:r>
        <w:rPr>
          <w:b/>
          <w:bCs/>
        </w:rPr>
        <w:t xml:space="preserve">Connexion bancaire (DSP2) : </w:t>
      </w:r>
      <w:r>
        <w:t xml:space="preserve">lire les comptes bancaires exige un agrément AISP (ACPR) ou le passage par un agrégateur agréé (Powens, Bridge, Tink — ~0,30 à 2 € par compte/mois, contrats enterprise). Verdict sans appel pour un solo à 500 € : finances en saisie manuelle / import CSV en V1, agrégation bancaire en V2 si traction.</w:t>
      </w:r>
    </w:p>
    <w:p>
      <w:r>
        <w:br w:type="page"/>
      </w:r>
    </w:p>
    <w:p>
      <w:pPr>
        <w:pStyle w:val="Heading1"/>
      </w:pPr>
      <w:r>
        <w:t xml:space="preserve">3. Positionnement et produit</w:t>
      </w:r>
    </w:p>
    <w:p>
      <w:pPr>
        <w:pStyle w:val="Heading2"/>
      </w:pPr>
      <w:r>
        <w:t xml:space="preserve">3.1 Proposition de valeur</w:t>
      </w:r>
    </w:p>
    <w:p>
      <w:pPr>
        <w:spacing w:after="160"/>
      </w:pPr>
      <w:r>
        <w:rPr>
          <w:b/>
          <w:bCs/>
          <w:i/>
          <w:iCs/>
        </w:rPr>
        <w:t xml:space="preserve">« Parlez, c’est fait. » </w:t>
      </w:r>
      <w:r>
        <w:t xml:space="preserve">AdamHUB est le seul assistant français qui exécute : « Mets le saumon de la recette de jeudi dans les courses », « Décale ma séance de sport après mon rendez-vous », « Combien il me reste sur le budget courses ce mois-ci ? ». Là où ChatGPT répond, AdamHUB agit sur des données structurées (agenda, garde-manger, budgets) qui se renforcent mutuellement : la recette alimente la liste de courses, qui alimente le garde-manger, qui alimente les suggestions de repas, qui remplissent le calendrier.</w:t>
      </w:r>
    </w:p>
    <w:p>
      <w:pPr>
        <w:pStyle w:val="Heading2"/>
      </w:pPr>
      <w:r>
        <w:t xml:space="preserve">3.2 L’actif existant</w:t>
      </w:r>
    </w:p>
    <w:p>
      <w:pPr>
        <w:spacing w:after="160"/>
      </w:pPr>
      <w:r>
        <w:t xml:space="preserve">Le projet part avec une avance rare pour un lancement solo : un backend FastAPI de 110 routes couvrant déjà les 6 domaines, 99 actions exposées à l’IA via une interface skill, la recherche produits Intermarché intégrée, des flux calendrier ICS/webcal, une suite de tests, et un front React fonctionnel. Ce qui manque pour un produit public : comptes multi-utilisateurs (l’auth actuelle par clé API est mono-utilisateur), la pipeline vocale, l’app mobile, et le paiement.</w:t>
      </w:r>
    </w:p>
    <w:p>
      <w:pPr>
        <w:pStyle w:val="Heading2"/>
      </w:pPr>
      <w:r>
        <w:t xml:space="preserve">3.3 Cible et lancement</w:t>
      </w:r>
    </w:p>
    <w:p>
      <w:pPr>
        <w:pStyle w:val="ListParagraph"/>
        <w:numPr>
          <w:ilvl w:val="0"/>
          <w:numId w:val="2"/>
        </w:numPr>
        <w:spacing w:after="100"/>
      </w:pPr>
      <w:r>
        <w:rPr>
          <w:b/>
          <w:bCs/>
        </w:rPr>
        <w:t xml:space="preserve">Cœur de cible : </w:t>
      </w:r>
      <w:r>
        <w:t xml:space="preserve">25–34 ans urbains, déjà utilisateurs d’IA, jonglant entre 3 et 5 apps de vie quotidienne, dépensant ~60 €/mois en abonnements. Cible secondaire : étudiants et jeunes actifs qui veulent structurer budget et repas.</w:t>
      </w:r>
    </w:p>
    <w:p>
      <w:pPr>
        <w:pStyle w:val="ListParagraph"/>
        <w:numPr>
          <w:ilvl w:val="0"/>
          <w:numId w:val="2"/>
        </w:numPr>
        <w:spacing w:after="100"/>
      </w:pPr>
      <w:r>
        <w:rPr>
          <w:b/>
          <w:bCs/>
        </w:rPr>
        <w:t xml:space="preserve">Verticale d’accroche : </w:t>
      </w:r>
      <w:r>
        <w:t xml:space="preserve">repas + courses en vocal. C’est le module le plus démonstratif en vidéo courte (TikTok/Reels : « je planifie ma semaine de repas en 60 secondes à la voix »), celui où Jow a prouvé l’appétit français, et celui où l’intégration supermarché existe déjà dans le backend.</w:t>
      </w:r>
    </w:p>
    <w:p>
      <w:pPr>
        <w:pStyle w:val="ListParagraph"/>
        <w:numPr>
          <w:ilvl w:val="0"/>
          <w:numId w:val="2"/>
        </w:numPr>
        <w:spacing w:after="100"/>
      </w:pPr>
      <w:r>
        <w:rPr>
          <w:b/>
          <w:bCs/>
        </w:rPr>
        <w:t xml:space="preserve">Canaux à coût nul : </w:t>
      </w:r>
      <w:r>
        <w:t xml:space="preserve">TikTok/Instagram (démos vocales), Product Hunt, subreddits et communautés productivité FR, bouche-à-oreille étudiant. Le budget ne permet aucune acquisition payante — et c’est sain à ce stade.</w:t>
      </w:r>
    </w:p>
    <w:p>
      <w:r>
        <w:br w:type="page"/>
      </w:r>
    </w:p>
    <w:p>
      <w:pPr>
        <w:pStyle w:val="Heading1"/>
      </w:pPr>
      <w:r>
        <w:t xml:space="preserve">4. Business plan</w:t>
      </w:r>
    </w:p>
    <w:p>
      <w:pPr>
        <w:pStyle w:val="Heading2"/>
      </w:pPr>
      <w:r>
        <w:t xml:space="preserve">4.1 Modèle freemium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
            </w:r>
          </w:p>
        </w:tc>
        <w:tc>
          <w:tcPr>
            <w:tcW w:type="dxa" w:w="24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Gratuit</w:t>
            </w:r>
          </w:p>
        </w:tc>
        <w:tc>
          <w:tcPr>
            <w:tcW w:type="dxa" w:w="32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Premium — 9,99 €/mois ou 79,99 €/an</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Modules (agenda, courses, recettes, sport, finances manuelles)</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Illimités en saisie manuelle</w:t>
            </w:r>
          </w:p>
        </w:tc>
        <w:tc>
          <w:tcPr>
            <w:tcW w:type="dxa" w:w="3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Illimités</w:t>
            </w:r>
          </w:p>
        </w:tc>
      </w:tr>
      <w:tr>
        <w:tc>
          <w:tcPr>
            <w:tcW w:type="dxa" w:w="3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Assistant IA texte</w:t>
            </w:r>
          </w:p>
        </w:tc>
        <w:tc>
          <w:tcPr>
            <w:tcW w:type="dxa" w:w="2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20 requêtes/jour</w:t>
            </w:r>
          </w:p>
        </w:tc>
        <w:tc>
          <w:tcPr>
            <w:tcW w:type="dxa" w:w="3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Illimité (fair use)</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Assistant vocal</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10 min/mois (découverte)</w:t>
            </w:r>
          </w:p>
        </w:tc>
        <w:tc>
          <w:tcPr>
            <w:tcW w:type="dxa" w:w="3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Illimité (fair use ~60 min/jour)</w:t>
            </w:r>
          </w:p>
        </w:tc>
      </w:tr>
      <w:tr>
        <w:tc>
          <w:tcPr>
            <w:tcW w:type="dxa" w:w="3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Import recettes depuis vidéos, suggestions proactives, multi-appareils</w:t>
            </w:r>
          </w:p>
        </w:tc>
        <w:tc>
          <w:tcPr>
            <w:tcW w:type="dxa" w:w="2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w:t>
            </w:r>
          </w:p>
        </w:tc>
        <w:tc>
          <w:tcPr>
            <w:tcW w:type="dxa" w:w="3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Inclus</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Essai gratuit</w:t>
            </w:r>
          </w:p>
        </w:tc>
        <w:tc>
          <w:tcPr>
            <w:tcW w:type="dxa" w:w="2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w:t>
            </w:r>
          </w:p>
        </w:tc>
        <w:tc>
          <w:tcPr>
            <w:tcW w:type="dxa" w:w="3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14 jours, sans engagement</w:t>
            </w:r>
          </w:p>
        </w:tc>
      </w:tr>
    </w:tbl>
    <w:p>
      <w:pPr>
        <w:spacing w:after="160"/>
      </w:pPr>
    </w:p>
    <w:p>
      <w:pPr>
        <w:spacing w:after="160"/>
      </w:pPr>
      <w:r>
        <w:rPr>
          <w:b/>
          <w:bCs/>
        </w:rPr>
        <w:t xml:space="preserve">Logique du pricing : </w:t>
      </w:r>
      <w:r>
        <w:t xml:space="preserve">9,99 € se place dans le trou du marché — nettement sous ChatGPT (23 €) et Martin AI (21–49 $), au-dessus des verticaux français (0–4 €) parce qu’AdamHUB en remplace plusieurs. L’annuel à 79,99 € (‒33 %) est poussé activement : c’est lui qui porte la rétention (44 % vs 17 %) et la trésorerie. Le free tier reste réellement utile (toutes les fonctions manuelles) pour nourrir le bouche-à-oreille, mais le vocal illimité — la magie du produit — est la raison de payer.</w:t>
      </w:r>
    </w:p>
    <w:p>
      <w:pPr>
        <w:pStyle w:val="Heading2"/>
      </w:pPr>
      <w:r>
        <w:t xml:space="preserve">4.2 Économie unitaire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Poste</w:t>
            </w:r>
          </w:p>
        </w:tc>
        <w:tc>
          <w:tcPr>
            <w:tcW w:type="dxa" w:w="2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Montant mensuel</w:t>
            </w:r>
          </w:p>
        </w:tc>
        <w:tc>
          <w:tcPr>
            <w:tcW w:type="dxa" w:w="36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Détail</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Prix Premium</w:t>
            </w:r>
          </w:p>
        </w:tc>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9,99 €</w:t>
            </w:r>
          </w:p>
        </w:tc>
        <w:tc>
          <w:tcPr>
            <w:tcW w:type="dxa" w:w="3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IAP Apple/Google</w:t>
            </w:r>
          </w:p>
        </w:tc>
      </w:tr>
      <w:tr>
        <w:tc>
          <w:tcPr>
            <w:tcW w:type="dxa" w:w="3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Commission stores (Small Business 15 %)</w:t>
            </w:r>
          </w:p>
        </w:tc>
        <w:tc>
          <w:tcPr>
            <w:tcW w:type="dxa" w:w="2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−1,50 €</w:t>
            </w:r>
          </w:p>
        </w:tc>
        <w:tc>
          <w:tcPr>
            <w:tcW w:type="dxa" w:w="36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15 % (12,8 % dès la 2e année d’abonnement Apple)</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Coût IA utilisateur Premium actif</w:t>
            </w:r>
          </w:p>
        </w:tc>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−2,30 €</w:t>
            </w:r>
          </w:p>
        </w:tc>
        <w:tc>
          <w:tcPr>
            <w:tcW w:type="dxa" w:w="3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Combo low-cost, 10 min vocal + 50 requêtes texte/jour (voir § 6)</w:t>
            </w:r>
          </w:p>
        </w:tc>
      </w:tr>
      <w:tr>
        <w:tc>
          <w:tcPr>
            <w:tcW w:type="dxa" w:w="3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Coût IA utilisateur gratuit</w:t>
            </w:r>
          </w:p>
        </w:tc>
        <w:tc>
          <w:tcPr>
            <w:tcW w:type="dxa" w:w="2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−0,15 €</w:t>
            </w:r>
          </w:p>
        </w:tc>
        <w:tc>
          <w:tcPr>
            <w:tcW w:type="dxa" w:w="36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Quotas restreints</w:t>
            </w:r>
          </w:p>
        </w:tc>
      </w:tr>
      <w:tr>
        <w:tc>
          <w:tcPr>
            <w:tcW w:type="dxa" w:w="3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Marge brute par abonné</w:t>
            </w:r>
          </w:p>
        </w:tc>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6,20 €</w:t>
            </w:r>
          </w:p>
        </w:tc>
        <w:tc>
          <w:tcPr>
            <w:tcW w:type="dxa" w:w="3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~62 % — saine pour du consumer AI</w:t>
            </w:r>
          </w:p>
        </w:tc>
      </w:tr>
    </w:tbl>
    <w:p>
      <w:pPr>
        <w:spacing w:after="160"/>
      </w:pPr>
    </w:p>
    <w:p>
      <w:pPr>
        <w:spacing w:after="160"/>
      </w:pPr>
      <w:r>
        <w:t xml:space="preserve">Un abonné Premium finance ainsi ses propres coûts IA plus ceux d’environ 40 utilisateurs gratuits. Tant que le ratio gratuits/payants reste sous ~40:1, le produit est autofinancé en coûts variables. Au-delà, resserrer les quotas gratuits est le levier immédiat.</w:t>
      </w:r>
    </w:p>
    <w:p>
      <w:pPr>
        <w:pStyle w:val="Heading2"/>
      </w:pPr>
      <w:r>
        <w:t xml:space="preserve">4.3 Budget de lancement — 500 €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3126"/>
      </w:tblGrid>
      <w:tr>
        <w:trPr>
          <w:tblHeader/>
        </w:trPr>
        <w:tc>
          <w:tcPr>
            <w:tcW w:type="dxa" w:w="38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Poste</w:t>
            </w:r>
          </w:p>
        </w:tc>
        <w:tc>
          <w:tcPr>
            <w:tcW w:type="dxa" w:w="21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Coût année 1</w:t>
            </w:r>
          </w:p>
        </w:tc>
        <w:tc>
          <w:tcPr>
            <w:tcW w:type="dxa" w:w="31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Note</w:t>
            </w:r>
          </w:p>
        </w:tc>
      </w:tr>
      <w:tr>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Apple Developer Program</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92 € (99 $/an)</w:t>
            </w:r>
          </w:p>
        </w:tc>
        <w:tc>
          <w:tcPr>
            <w:tcW w:type="dxa" w:w="3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Compte individuel</w:t>
            </w:r>
          </w:p>
        </w:tc>
      </w:tr>
      <w:tr>
        <w:tc>
          <w:tcPr>
            <w:tcW w:type="dxa" w:w="38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Google Play Console</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23 € (25 $, une fois)</w:t>
            </w:r>
          </w:p>
        </w:tc>
        <w:tc>
          <w:tcPr>
            <w:tcW w:type="dxa" w:w="3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Règle des 12 testeurs / 14 jours à anticiper</w:t>
            </w:r>
          </w:p>
        </w:tc>
      </w:tr>
      <w:tr>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VPS Hetzner CX22 (backend + Postgres + TTS Kokoro)</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55 € (4,60 €/mois)</w:t>
            </w:r>
          </w:p>
        </w:tc>
        <w:tc>
          <w:tcPr>
            <w:tcW w:type="dxa" w:w="3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Pas de cold start, WebSockets OK, hébergement UE</w:t>
            </w:r>
          </w:p>
        </w:tc>
      </w:tr>
      <w:tr>
        <w:tc>
          <w:tcPr>
            <w:tcW w:type="dxa" w:w="38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Nom de domaine + e-mail</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15 €</w:t>
            </w:r>
          </w:p>
        </w:tc>
        <w:tc>
          <w:tcPr>
            <w:tcW w:type="dxa" w:w="3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w:r>
          </w:p>
        </w:tc>
      </w:tr>
      <w:tr>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Crédits API IA (dev + premiers utilisateurs)</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100 €</w:t>
            </w:r>
          </w:p>
        </w:tc>
        <w:tc>
          <w:tcPr>
            <w:tcW w:type="dxa" w:w="3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Développement sur free tiers (Gemini AI Studio, Gladia 10 h/mois, GLM Flash gratuit)</w:t>
            </w:r>
          </w:p>
        </w:tc>
      </w:tr>
      <w:tr>
        <w:tc>
          <w:tcPr>
            <w:tcW w:type="dxa" w:w="38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Outils à 0 €</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0 €</w:t>
            </w:r>
          </w:p>
        </w:tc>
        <w:tc>
          <w:tcPr>
            <w:tcW w:type="dxa" w:w="3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EAS Free (15 builds/mois), RevenueCat (&lt;2 500 $/mois), TestFlight, Capacitor/Expo open source</w:t>
            </w:r>
          </w:p>
        </w:tc>
      </w:tr>
      <w:tr>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Réserve imprévus / petite promo</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215 €</w:t>
            </w:r>
          </w:p>
        </w:tc>
        <w:tc>
          <w:tcPr>
            <w:tcW w:type="dxa" w:w="31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w:r>
          </w:p>
        </w:tc>
      </w:tr>
      <w:tr>
        <w:tc>
          <w:tcPr>
            <w:tcW w:type="dxa" w:w="38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Total</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500 €</w:t>
            </w:r>
          </w:p>
        </w:tc>
        <w:tc>
          <w:tcPr>
            <w:tcW w:type="dxa" w:w="31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w:r>
          </w:p>
        </w:tc>
      </w:tr>
    </w:tbl>
    <w:p>
      <w:pPr>
        <w:spacing w:after="160"/>
      </w:pPr>
    </w:p>
    <w:p>
      <w:pPr>
        <w:pStyle w:val="Heading2"/>
      </w:pPr>
      <w:r>
        <w:t xml:space="preserve">4.4 Projections année 1 (lancement M2, base zéro, croissance organique)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400"/>
        <w:gridCol w:w="1700"/>
        <w:gridCol w:w="1200"/>
        <w:gridCol w:w="826"/>
      </w:tblGrid>
      <w:tr>
        <w:trPr>
          <w:tblHeader/>
        </w:trPr>
        <w:tc>
          <w:tcPr>
            <w:tcW w:type="dxa" w:w="2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Scénario</w:t>
            </w:r>
          </w:p>
        </w:tc>
        <w:tc>
          <w:tcPr>
            <w:tcW w:type="dxa" w:w="19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Téléchargements an 1</w:t>
            </w:r>
          </w:p>
        </w:tc>
        <w:tc>
          <w:tcPr>
            <w:tcW w:type="dxa" w:w="14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MAU fin d’année</w:t>
            </w:r>
          </w:p>
        </w:tc>
        <w:tc>
          <w:tcPr>
            <w:tcW w:type="dxa" w:w="17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Abonnés fin d’année</w:t>
            </w:r>
          </w:p>
        </w:tc>
        <w:tc>
          <w:tcPr>
            <w:tcW w:type="dxa" w:w="12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MRR fin d’année</w:t>
            </w:r>
          </w:p>
        </w:tc>
        <w:tc>
          <w:tcPr>
            <w:tcW w:type="dxa" w:w="8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Revenu net an 1*</w:t>
            </w:r>
          </w:p>
        </w:tc>
      </w:tr>
      <w:tr>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Pessimiste</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2 000</w:t>
            </w:r>
          </w:p>
        </w:tc>
        <w:tc>
          <w:tcPr>
            <w:tcW w:type="dxa" w:w="1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400</w:t>
            </w:r>
          </w:p>
        </w:tc>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25 (≈6 % des MAU)</w:t>
            </w:r>
          </w:p>
        </w:tc>
        <w:tc>
          <w:tcPr>
            <w:tcW w:type="dxa" w:w="1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210 €</w:t>
            </w:r>
          </w:p>
        </w:tc>
        <w:tc>
          <w:tcPr>
            <w:tcW w:type="dxa" w:w="8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900 €</w:t>
            </w:r>
          </w:p>
        </w:tc>
      </w:tr>
      <w:tr>
        <w:tc>
          <w:tcPr>
            <w:tcW w:type="dxa" w:w="2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Réaliste</w:t>
            </w:r>
          </w:p>
        </w:tc>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6 000</w:t>
            </w:r>
          </w:p>
        </w:tc>
        <w:tc>
          <w:tcPr>
            <w:tcW w:type="dxa" w:w="14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1 400</w:t>
            </w:r>
          </w:p>
        </w:tc>
        <w:tc>
          <w:tcPr>
            <w:tcW w:type="dxa" w:w="1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90</w:t>
            </w:r>
          </w:p>
        </w:tc>
        <w:tc>
          <w:tcPr>
            <w:tcW w:type="dxa" w:w="1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760 €</w:t>
            </w:r>
          </w:p>
        </w:tc>
        <w:tc>
          <w:tcPr>
            <w:tcW w:type="dxa" w:w="8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3 300 €</w:t>
            </w:r>
          </w:p>
        </w:tc>
      </w:tr>
      <w:tr>
        <w:tc>
          <w:tcPr>
            <w:tcW w:type="dxa" w:w="2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Optimiste (1 vidéo virale)</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25 000</w:t>
            </w:r>
          </w:p>
        </w:tc>
        <w:tc>
          <w:tcPr>
            <w:tcW w:type="dxa" w:w="14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5 500</w:t>
            </w:r>
          </w:p>
        </w:tc>
        <w:tc>
          <w:tcPr>
            <w:tcW w:type="dxa" w:w="1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380</w:t>
            </w:r>
          </w:p>
        </w:tc>
        <w:tc>
          <w:tcPr>
            <w:tcW w:type="dxa" w:w="1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3 200 €</w:t>
            </w:r>
          </w:p>
        </w:tc>
        <w:tc>
          <w:tcPr>
            <w:tcW w:type="dxa" w:w="8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13 000 €</w:t>
            </w:r>
          </w:p>
        </w:tc>
      </w:tr>
    </w:tbl>
    <w:p>
      <w:pPr>
        <w:spacing w:after="160"/>
      </w:pPr>
    </w:p>
    <w:p>
      <w:pPr>
        <w:spacing w:after="160"/>
      </w:pPr>
      <w:r>
        <w:t xml:space="preserve">* Net des commissions stores, avant coûts IA. Hypothèses : conversion téléchargement→MAU ~22 %, MAU→payant 5–7 % (au-dessus des 3 % du marché grâce au ciblage early adopters, sous les 46 % de conversion d’essai des meilleures apps), churn mensuel 8–10 %, 40 % des abonnés en annuel. Ces chiffres ne font pas vivre leur auteur : ils financent le projet (coûts couverts dès ~15 abonnés) et constituent la preuve de traction pour la suite — bourse entrepreneuriat étudiant, Station F, ou simplement continuer en autofinancé.</w:t>
      </w:r>
    </w:p>
    <w:p>
      <w:pPr>
        <w:pStyle w:val="Heading2"/>
      </w:pPr>
      <w:r>
        <w:t xml:space="preserve">4.5 Seuils de décision</w:t>
      </w:r>
    </w:p>
    <w:p>
      <w:pPr>
        <w:pStyle w:val="ListParagraph"/>
        <w:numPr>
          <w:ilvl w:val="0"/>
          <w:numId w:val="2"/>
        </w:numPr>
        <w:spacing w:after="100"/>
      </w:pPr>
      <w:r>
        <w:rPr>
          <w:b/>
          <w:bCs/>
        </w:rPr>
        <w:t xml:space="preserve">~15 abonnés : </w:t>
      </w:r>
      <w:r>
        <w:t xml:space="preserve">coûts fixes couverts, le projet ne coûte plus rien.</w:t>
      </w:r>
    </w:p>
    <w:p>
      <w:pPr>
        <w:pStyle w:val="ListParagraph"/>
        <w:numPr>
          <w:ilvl w:val="0"/>
          <w:numId w:val="2"/>
        </w:numPr>
        <w:spacing w:after="100"/>
      </w:pPr>
      <w:r>
        <w:rPr>
          <w:b/>
          <w:bCs/>
        </w:rPr>
        <w:t xml:space="preserve">M6, rétention J30 &gt; 25 % et &gt;50 abonnés : </w:t>
      </w:r>
      <w:r>
        <w:t xml:space="preserve">investir le temps dans la V2 (agrégation bancaire via agrégateur, module sport enrichi, Expo natif).</w:t>
      </w:r>
    </w:p>
    <w:p>
      <w:pPr>
        <w:pStyle w:val="ListParagraph"/>
        <w:numPr>
          <w:ilvl w:val="0"/>
          <w:numId w:val="2"/>
        </w:numPr>
        <w:spacing w:after="100"/>
      </w:pPr>
      <w:r>
        <w:rPr>
          <w:b/>
          <w:bCs/>
        </w:rPr>
        <w:t xml:space="preserve">M6, rétention J30 &lt; 15 % : </w:t>
      </w:r>
      <w:r>
        <w:t xml:space="preserve">pivoter sur la verticale qui retient le mieux plutôt que s’acharner sur le tout-en-un. Les données d’usage par module trancheront.</w:t>
      </w:r>
    </w:p>
    <w:p>
      <w:r>
        <w:br w:type="page"/>
      </w:r>
    </w:p>
    <w:p>
      <w:pPr>
        <w:pStyle w:val="Heading1"/>
      </w:pPr>
      <w:r>
        <w:t xml:space="preserve">5. Stack technique et app mobile</w:t>
      </w:r>
    </w:p>
    <w:p>
      <w:pPr>
        <w:pStyle w:val="Heading2"/>
      </w:pPr>
      <w:r>
        <w:t xml:space="preserve">5.1 Stratégie mobile : Capacitor d’abord, Expo si traction</w:t>
      </w:r>
    </w:p>
    <w:p>
      <w:pPr>
        <w:spacing w:after="160"/>
      </w:pPr>
      <w:r>
        <w:rPr>
          <w:b/>
          <w:bCs/>
        </w:rPr>
        <w:t xml:space="preserve">Le front React/Vite existant change tout : </w:t>
      </w:r>
      <w:r>
        <w:t xml:space="preserve">avec Capacitor (open source, gratuit), il se wrappe tel quel dans un conteneur natif iOS/Android. C’est la voie la plus rapide documentée en 2026 quand on a déjà une web app : quelques jours de travail (safe areas, navigation, clavier, micro) contre 2–4 semaines de réécriture UI complète avec Expo/React Native. Le micro et WebRTC fonctionnent dans la WebView moderne (getUserMedia sur WKWebView). Risque connu : le rejet Apple « minimum functionality » (guideline 4.2) pour les apps qui sentent le site wrappé — pare-feu : notifications push natives, haptics, mode hors-ligne, et une vraie intégration vocale native.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900"/>
        <w:gridCol w:w="1826"/>
      </w:tblGrid>
      <w:tr>
        <w:trPr>
          <w:tblHeader/>
        </w:trPr>
        <w:tc>
          <w:tcPr>
            <w:tcW w:type="dxa" w:w="26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Option</w:t>
            </w:r>
          </w:p>
        </w:tc>
        <w:tc>
          <w:tcPr>
            <w:tcW w:type="dxa" w:w="27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Délai de sortie</w:t>
            </w:r>
          </w:p>
        </w:tc>
        <w:tc>
          <w:tcPr>
            <w:tcW w:type="dxa" w:w="19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Coût</w:t>
            </w:r>
          </w:p>
        </w:tc>
        <w:tc>
          <w:tcPr>
            <w:tcW w:type="dxa" w:w="18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Verdict</w:t>
            </w:r>
          </w:p>
        </w:tc>
      </w:tr>
      <w:tr>
        <w:tc>
          <w:tcPr>
            <w:tcW w:type="dxa" w:w="2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Capacitor (wrapper du front existant)</w:t>
            </w:r>
          </w:p>
        </w:tc>
        <w:tc>
          <w:tcPr>
            <w:tcW w:type="dxa" w:w="2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3–7 jours de code</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0 €</w:t>
            </w:r>
          </w:p>
        </w:tc>
        <w:tc>
          <w:tcPr>
            <w:tcW w:type="dxa" w:w="18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V1 — recommandé</w:t>
            </w:r>
          </w:p>
        </w:tc>
      </w:tr>
      <w:tr>
        <w:tc>
          <w:tcPr>
            <w:tcW w:type="dxa" w:w="26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Expo / React Native</w:t>
            </w:r>
          </w:p>
        </w:tc>
        <w:tc>
          <w:tcPr>
            <w:tcW w:type="dxa" w:w="2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2–4 semaines (réécriture UI, ~85 % de la logique JS réutilisable)</w:t>
            </w:r>
          </w:p>
        </w:tc>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0 € (EAS Free : 15 builds/mois, OTA 1 000 MAU)</w:t>
            </w:r>
          </w:p>
        </w:tc>
        <w:tc>
          <w:tcPr>
            <w:tcW w:type="dxa" w:w="18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V2 si traction, pour le feel natif</w:t>
            </w:r>
          </w:p>
        </w:tc>
      </w:tr>
      <w:tr>
        <w:tc>
          <w:tcPr>
            <w:tcW w:type="dxa" w:w="2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Flutter / Kotlin Multiplatform</w:t>
            </w:r>
          </w:p>
        </w:tc>
        <w:tc>
          <w:tcPr>
            <w:tcW w:type="dxa" w:w="2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Longs</w:t>
            </w:r>
          </w:p>
        </w:tc>
        <w:tc>
          <w:tcPr>
            <w:tcW w:type="dxa" w:w="19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0 €</w:t>
            </w:r>
          </w:p>
        </w:tc>
        <w:tc>
          <w:tcPr>
            <w:tcW w:type="dxa" w:w="18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Zéro réutilisation du code React — écartés</w:t>
            </w:r>
          </w:p>
        </w:tc>
      </w:tr>
      <w:tr>
        <w:tc>
          <w:tcPr>
            <w:tcW w:type="dxa" w:w="26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PWA seule</w:t>
            </w:r>
          </w:p>
        </w:tc>
        <w:tc>
          <w:tcPr>
            <w:tcW w:type="dxa" w:w="2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Immédiat</w:t>
            </w:r>
          </w:p>
        </w:tc>
        <w:tc>
          <w:tcPr>
            <w:tcW w:type="dxa" w:w="19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0 €</w:t>
            </w:r>
          </w:p>
        </w:tc>
        <w:tc>
          <w:tcPr>
            <w:tcW w:type="dxa" w:w="18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Pas de présence stores, push iOS instable, dégradée en UE — complément, pas destination</w:t>
            </w:r>
          </w:p>
        </w:tc>
      </w:tr>
    </w:tbl>
    <w:p>
      <w:pPr>
        <w:spacing w:after="160"/>
      </w:pPr>
    </w:p>
    <w:p>
      <w:pPr>
        <w:pStyle w:val="Heading2"/>
      </w:pPr>
      <w:r>
        <w:t xml:space="preserve">5.2 Publication sur les stores</w:t>
      </w:r>
    </w:p>
    <w:p>
      <w:pPr>
        <w:pStyle w:val="ListParagraph"/>
        <w:numPr>
          <w:ilvl w:val="0"/>
          <w:numId w:val="2"/>
        </w:numPr>
        <w:spacing w:after="100"/>
      </w:pPr>
      <w:r>
        <w:rPr>
          <w:b/>
          <w:bCs/>
        </w:rPr>
        <w:t xml:space="preserve">Apple : </w:t>
      </w:r>
      <w:r>
        <w:t xml:space="preserve">99 $/an, compte individuel. Première soumission : review de 2 à 5 jours (moyenne courante ensuite : ~9 h). TestFlight gratuit pour la bêta. Attention : Apple rejette plus sévèrement les apps visiblement bâclées générées par IA — soigner onboarding, états vides et gestion d’erreurs.</w:t>
      </w:r>
    </w:p>
    <w:p>
      <w:pPr>
        <w:pStyle w:val="ListParagraph"/>
        <w:numPr>
          <w:ilvl w:val="0"/>
          <w:numId w:val="2"/>
        </w:numPr>
        <w:spacing w:after="100"/>
      </w:pPr>
      <w:r>
        <w:rPr>
          <w:b/>
          <w:bCs/>
        </w:rPr>
        <w:t xml:space="preserve">Google : </w:t>
      </w:r>
      <w:r>
        <w:t xml:space="preserve">25 $ une fois. La règle des 12 testeurs pendant 14 jours de test fermé reste en vigueur en 2026 pour les comptes individuels → lancer le closed testing dès le premier APK qui démarre, même imparfait (communautés d’échange de testeurs : Testers Community, r/AndroidClosedTesting). Délai réaliste total Android : 2–3 semaines.</w:t>
      </w:r>
    </w:p>
    <w:p>
      <w:pPr>
        <w:pStyle w:val="ListParagraph"/>
        <w:numPr>
          <w:ilvl w:val="0"/>
          <w:numId w:val="2"/>
        </w:numPr>
        <w:spacing w:after="100"/>
      </w:pPr>
      <w:r>
        <w:rPr>
          <w:b/>
          <w:bCs/>
        </w:rPr>
        <w:t xml:space="preserve">Paiements : </w:t>
      </w:r>
      <w:r>
        <w:t xml:space="preserve">IAP obligatoire pour l’abonnement in-app ; via le Small Business Program la commission tombe à 15 %. L’alternative Stripe web en UE (DMA) existe mais coûte in fine 15–20 % + frais Stripe : pas intéressante à ce stade. RevenueCat (gratuit &lt;2 500 $/mois de revenus) unifie IAP iOS/Android et notifie le backend FastAPI par webhooks.</w:t>
      </w:r>
    </w:p>
    <w:p>
      <w:pPr>
        <w:pStyle w:val="Heading2"/>
      </w:pPr>
      <w:r>
        <w:t xml:space="preserve">5.3 Backend et infrastructure</w:t>
      </w:r>
    </w:p>
    <w:p>
      <w:pPr>
        <w:pStyle w:val="ListParagraph"/>
        <w:numPr>
          <w:ilvl w:val="0"/>
          <w:numId w:val="2"/>
        </w:numPr>
        <w:spacing w:after="100"/>
      </w:pPr>
      <w:r>
        <w:rPr>
          <w:b/>
          <w:bCs/>
        </w:rPr>
        <w:t xml:space="preserve">Conserver le backend FastAPI existant </w:t>
      </w:r>
      <w:r>
        <w:t xml:space="preserve">— c’est l’actif du projet. Chantier n°1 : remplacer l’auth par clé API (mono-utilisateur) par des comptes JWT multi-utilisateurs avec isolation stricte des données par utilisateur.</w:t>
      </w:r>
    </w:p>
    <w:p>
      <w:pPr>
        <w:pStyle w:val="ListParagraph"/>
        <w:numPr>
          <w:ilvl w:val="0"/>
          <w:numId w:val="2"/>
        </w:numPr>
        <w:spacing w:after="100"/>
      </w:pPr>
      <w:r>
        <w:rPr>
          <w:b/>
          <w:bCs/>
        </w:rPr>
        <w:t xml:space="preserve">Hébergement : </w:t>
      </w:r>
      <w:r>
        <w:t xml:space="preserve">VPS Hetzner CX22 (~4,60 €/mois, 2 vCPU / 4 Go, hébergé en UE) : FastAPI + PostgreSQL + Kokoro TTS sur la même machine via Docker Compose + Caddy. Pas de cold start (rédhibitoire pour le vocal), coût fixe. Neon (Postgres managé, free tier) en option de secours/backup.</w:t>
      </w:r>
    </w:p>
    <w:p>
      <w:pPr>
        <w:pStyle w:val="ListParagraph"/>
        <w:numPr>
          <w:ilvl w:val="0"/>
          <w:numId w:val="2"/>
        </w:numPr>
        <w:spacing w:after="100"/>
      </w:pPr>
      <w:r>
        <w:rPr>
          <w:b/>
          <w:bCs/>
        </w:rPr>
        <w:t xml:space="preserve">Pipeline vocale (architecture § 6) : </w:t>
      </w:r>
      <w:r>
        <w:t xml:space="preserve">WebSocket streaming entre l’app et le backend ; VAD côté client ; STT et LLM en API externes ; TTS local sur le VPS.</w:t>
      </w:r>
    </w:p>
    <w:p>
      <w:pPr>
        <w:pStyle w:val="Heading2"/>
      </w:pPr>
      <w:r>
        <w:t xml:space="preserve">5.4 Développement avec Claude Code (Opus 4.8)</w:t>
      </w:r>
    </w:p>
    <w:p>
      <w:pPr>
        <w:spacing w:after="160"/>
      </w:pPr>
      <w:r>
        <w:t xml:space="preserve">Tout le code est produit avec Claude Code. Les retours d’expérience 2026 convergent sur quatre règles : (1) garder la maîtrise de l’architecture — l’agent accélère, il ne décide pas ; (2) tester tôt sur appareil réel, car les quirks natifs (permissions micro iOS, audio session, background modes) sont le point faible du code généré ; (3) travailler par petites itérations validées par les tests existants du repo ; (4) documenter les invariants du domaine dans le repo (c’est déjà fait via README et docs/) pour que l’agent les respecte. Expo publie d’ailleurs une documentation officielle « Claude Code and Expo » pour la phase V2.</w:t>
      </w:r>
    </w:p>
    <w:p>
      <w:r>
        <w:br w:type="page"/>
      </w:r>
    </w:p>
    <w:p>
      <w:pPr>
        <w:pStyle w:val="Heading1"/>
      </w:pPr>
      <w:r>
        <w:t xml:space="preserve">6. Comparatif des providers IA (juillet 2026)</w:t>
      </w:r>
    </w:p>
    <w:p>
      <w:pPr>
        <w:pStyle w:val="Heading2"/>
      </w:pPr>
      <w:r>
        <w:t xml:space="preserve">6.1 Modèles de langage — prix et aptitude au tool calling</w:t>
      </w:r>
    </w:p>
    <w:p>
      <w:pPr>
        <w:spacing w:after="160"/>
      </w:pPr>
      <w:r>
        <w:t xml:space="preserve">Prix en $ par million de tokens, relevés le 01/07/2026 (marché très volatil — re-vérifier avant mise en production). L’usage d’AdamHUB est du tool calling intensif : l’IA doit appeler de façon fiable les ~99 actions du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4726"/>
      </w:tblGrid>
      <w:tr>
        <w:trPr>
          <w:tblHeader/>
        </w:trPr>
        <w:tc>
          <w:tcPr>
            <w:tcW w:type="dxa" w:w="23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Modèle</w:t>
            </w:r>
          </w:p>
        </w:tc>
        <w:tc>
          <w:tcPr>
            <w:tcW w:type="dxa" w:w="1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Input</w:t>
            </w:r>
          </w:p>
        </w:tc>
        <w:tc>
          <w:tcPr>
            <w:tcW w:type="dxa" w:w="10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Output</w:t>
            </w:r>
          </w:p>
        </w:tc>
        <w:tc>
          <w:tcPr>
            <w:tcW w:type="dxa" w:w="47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Atout / limite</w:t>
            </w:r>
          </w:p>
        </w:tc>
      </w:tr>
      <w:tr>
        <w:tc>
          <w:tcPr>
            <w:tcW w:type="dxa" w:w="2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DeepSeek V4 Flash</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0,14</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0,28</w:t>
            </w:r>
          </w:p>
        </w:tc>
        <w:tc>
          <w:tcPr>
            <w:tcW w:type="dxa" w:w="4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Le moins cher ; cache d’entrée à −98 % (le catalogue d’outils devient quasi gratuit) ; désactiver le mode thinking pour le vocal</w:t>
            </w:r>
          </w:p>
        </w:tc>
      </w:tr>
      <w:tr>
        <w:tc>
          <w:tcPr>
            <w:tcW w:type="dxa" w:w="2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Mistral Small</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0,10</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0,30</w:t>
            </w:r>
          </w:p>
        </w:tc>
        <w:tc>
          <w:tcPr>
            <w:tcW w:type="dxa" w:w="4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Acteur français, natif FR ; contexte 32K limitant</w:t>
            </w:r>
          </w:p>
        </w:tc>
      </w:tr>
      <w:tr>
        <w:tc>
          <w:tcPr>
            <w:tcW w:type="dxa" w:w="2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Qwen3.6 Flash</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0,19</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1,13</w:t>
            </w:r>
          </w:p>
        </w:tc>
        <w:tc>
          <w:tcPr>
            <w:tcW w:type="dxa" w:w="4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Qwen3.7 Max leader BFCL v4 ; endpoint Singapour</w:t>
            </w:r>
          </w:p>
        </w:tc>
      </w:tr>
      <w:tr>
        <w:tc>
          <w:tcPr>
            <w:tcW w:type="dxa" w:w="2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Gemini 3.1 Flash-Lite</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0,25</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1,50</w:t>
            </w:r>
          </w:p>
        </w:tc>
        <w:tc>
          <w:tcPr>
            <w:tcW w:type="dxa" w:w="4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Top-3 BFCL v3 (76,5 %), free tier généreux, latence faible, écosystème mature — choix n°1</w:t>
            </w:r>
          </w:p>
        </w:tc>
      </w:tr>
      <w:tr>
        <w:tc>
          <w:tcPr>
            <w:tcW w:type="dxa" w:w="2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GPT-5 mini</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0,25</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2,00</w:t>
            </w:r>
          </w:p>
        </w:tc>
        <w:tc>
          <w:tcPr>
            <w:tcW w:type="dxa" w:w="4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Solide, écosystème OpenAI</w:t>
            </w:r>
          </w:p>
        </w:tc>
      </w:tr>
      <w:tr>
        <w:tc>
          <w:tcPr>
            <w:tcW w:type="dxa" w:w="2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MiniMax M2 / M2.7</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0,26–0,30</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1,00–1,20</w:t>
            </w:r>
          </w:p>
        </w:tc>
        <w:tc>
          <w:tcPr>
            <w:tcW w:type="dxa" w:w="4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Conçu pour les agents ; à A/B tester</w:t>
            </w:r>
          </w:p>
        </w:tc>
      </w:tr>
      <w:tr>
        <w:tc>
          <w:tcPr>
            <w:tcW w:type="dxa" w:w="2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GLM-4.7 (Zhipu)</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0,60</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2,20</w:t>
            </w:r>
          </w:p>
        </w:tc>
        <w:tc>
          <w:tcPr>
            <w:tcW w:type="dxa" w:w="4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GLM 4.5 n°1 BFCL v3 (76,7 %) ; variantes Flash gratuites pour prototyper</w:t>
            </w:r>
          </w:p>
        </w:tc>
      </w:tr>
      <w:tr>
        <w:tc>
          <w:tcPr>
            <w:tcW w:type="dxa" w:w="2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Kimi K2.5 (Moonshot)</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0,60</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3,00</w:t>
            </w:r>
          </w:p>
        </w:tc>
        <w:tc>
          <w:tcPr>
            <w:tcW w:type="dxa" w:w="4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Bon agentique, plus cher</w:t>
            </w:r>
          </w:p>
        </w:tc>
      </w:tr>
      <w:tr>
        <w:tc>
          <w:tcPr>
            <w:tcW w:type="dxa" w:w="2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Claude Haiku 4.5</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1,00</w:t>
            </w:r>
          </w:p>
        </w:tc>
        <w:tc>
          <w:tcPr>
            <w:tcW w:type="dxa" w:w="10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5,00</w:t>
            </w:r>
          </w:p>
        </w:tc>
        <w:tc>
          <w:tcPr>
            <w:tcW w:type="dxa" w:w="47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Très fiable, le plus cher du segment ; à réserver aux tâches critiques</w:t>
            </w:r>
          </w:p>
        </w:tc>
      </w:tr>
      <w:tr>
        <w:tc>
          <w:tcPr>
            <w:tcW w:type="dxa" w:w="2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Llama 3.3 70B (DeepInfra)</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0,23</w:t>
            </w:r>
          </w:p>
        </w:tc>
        <w:tc>
          <w:tcPr>
            <w:tcW w:type="dxa" w:w="10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0,40</w:t>
            </w:r>
          </w:p>
        </w:tc>
        <w:tc>
          <w:tcPr>
            <w:tcW w:type="dxa" w:w="47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Open weights ; Groq pour la vitesse (0,59/0,79)</w:t>
            </w:r>
          </w:p>
        </w:tc>
      </w:tr>
    </w:tbl>
    <w:p>
      <w:pPr>
        <w:spacing w:after="160"/>
      </w:pPr>
    </w:p>
    <w:p>
      <w:pPr>
        <w:spacing w:after="160"/>
      </w:pPr>
      <w:r>
        <w:rPr>
          <w:b/>
          <w:bCs/>
        </w:rPr>
        <w:t xml:space="preserve">Enseignement des benchmarks (BFCL v3/v4, τ-bench, Artificial Analysis) : </w:t>
      </w:r>
      <w:r>
        <w:t xml:space="preserve">les modèles « flash » à moins de 0,30 $/M font désormais quasi jeu égal avec les modèles premium en function calling (Gemini 3.1 Flash-Lite à 76,5 % contre 76,6 % pour Claude Opus 4.7 sur BFCL v3). Payer un modèle premium pour ce cas d’usage ne se justifie plus. Aucun benchmark public dédié au tool calling en français n’existe : prévoir une petite suite d’évaluation maison (50 commandes vocales FR types) pour arbitrer entre les 2–3 finalistes.</w:t>
      </w:r>
    </w:p>
    <w:p>
      <w:pPr>
        <w:spacing w:after="160"/>
      </w:pPr>
      <w:r>
        <w:rPr>
          <w:b/>
          <w:bCs/>
        </w:rPr>
        <w:t xml:space="preserve">Astuce d’architecture qui divise la facture par 3 à 5 : </w:t>
      </w:r>
      <w:r>
        <w:t xml:space="preserve">ne jamais envoyer les 99 outils à chaque requête. Un routeur (ou RAG d’outils) sélectionne 10–15 outils pertinents par requête, et le prompt caching rend le préambule quasi gratuit. OpenRouter (frais 5,5 %) permet d’A/B tester tous ces modèles sans changer de code, avec fallback automatique — utile en développement, optionnel en production.</w:t>
      </w:r>
    </w:p>
    <w:p>
      <w:pPr>
        <w:pStyle w:val="Heading2"/>
      </w:pPr>
      <w:r>
        <w:t xml:space="preserve">6.2 Stack vocale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100"/>
        <w:gridCol w:w="2226"/>
      </w:tblGrid>
      <w:tr>
        <w:trPr>
          <w:tblHeader/>
        </w:trPr>
        <w:tc>
          <w:tcPr>
            <w:tcW w:type="dxa" w:w="21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Brique</w:t>
            </w:r>
          </w:p>
        </w:tc>
        <w:tc>
          <w:tcPr>
            <w:tcW w:type="dxa" w:w="26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Option retenue</w:t>
            </w:r>
          </w:p>
        </w:tc>
        <w:tc>
          <w:tcPr>
            <w:tcW w:type="dxa" w:w="21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Prix</w:t>
            </w:r>
          </w:p>
        </w:tc>
        <w:tc>
          <w:tcPr>
            <w:tcW w:type="dxa" w:w="22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Alternative</w:t>
            </w:r>
          </w:p>
        </w:tc>
      </w:tr>
      <w:tr>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STT (reconnaissance)</w:t>
            </w:r>
          </w:p>
        </w:tc>
        <w:tc>
          <w:tcPr>
            <w:tcW w:type="dxa" w:w="2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Groq Whisper large-v3-turbo</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~0,0007 $/min</w:t>
            </w:r>
          </w:p>
        </w:tc>
        <w:tc>
          <w:tcPr>
            <w:tcW w:type="dxa" w:w="2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Gladia Solaria-3 : n°1 en français, 10 h/mois gratuites, 0,75 $/h temps réel — à préférer si le budget suit</w:t>
            </w:r>
          </w:p>
        </w:tc>
      </w:tr>
      <w:tr>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LLM (compréhension + actions)</w:t>
            </w:r>
          </w:p>
        </w:tc>
        <w:tc>
          <w:tcPr>
            <w:tcW w:type="dxa" w:w="26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Gemini 3.1 Flash-Lite ou DeepSeek V4 Flash</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voir § 6.1</w:t>
            </w:r>
          </w:p>
        </w:tc>
        <w:tc>
          <w:tcPr>
            <w:tcW w:type="dxa" w:w="2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A/B test via OpenRouter</w:t>
            </w:r>
          </w:p>
        </w:tc>
      </w:tr>
      <w:tr>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TTS (synthèse)</w:t>
            </w:r>
          </w:p>
        </w:tc>
        <w:tc>
          <w:tcPr>
            <w:tcW w:type="dxa" w:w="26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Kokoro-82M auto-hébergé sur le VPS</w:t>
            </w:r>
          </w:p>
        </w:tc>
        <w:tc>
          <w:tcPr>
            <w:tcW w:type="dxa" w:w="21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0 $ (Apache 2.0, &lt;2 Go VRAM, FR supporté)</w:t>
            </w:r>
          </w:p>
        </w:tc>
        <w:tc>
          <w:tcPr>
            <w:tcW w:type="dxa" w:w="2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Azure Neural (~15 $/M car., excellentes voix FR) ; Éviter ElevenLabs (50–300 $/M car.)</w:t>
            </w:r>
          </w:p>
        </w:tc>
      </w:tr>
      <w:tr>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Tout-en-un temps réel</w:t>
            </w:r>
          </w:p>
        </w:tc>
        <w:tc>
          <w:tcPr>
            <w:tcW w:type="dxa" w:w="26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Gemini Live API (option « qualité »)</w:t>
            </w:r>
          </w:p>
        </w:tc>
        <w:tc>
          <w:tcPr>
            <w:tcW w:type="dxa" w:w="21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~0,037 $/min tout compris</w:t>
            </w:r>
          </w:p>
        </w:tc>
        <w:tc>
          <w:tcPr>
            <w:tcW w:type="dxa" w:w="2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OpenAI Realtime : 0,18–0,46 $/min — hors budget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800"/>
        <w:gridCol w:w="2526"/>
      </w:tblGrid>
      <w:tr>
        <w:trPr>
          <w:tblHeader/>
        </w:trPr>
        <w:tc>
          <w:tcPr>
            <w:tcW w:type="dxa" w:w="27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Combo</w:t>
            </w:r>
          </w:p>
        </w:tc>
        <w:tc>
          <w:tcPr>
            <w:tcW w:type="dxa" w:w="38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Composition</w:t>
            </w:r>
          </w:p>
        </w:tc>
        <w:tc>
          <w:tcPr>
            <w:tcW w:type="dxa" w:w="25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Coût / utilisateur actif / mois*</w:t>
            </w:r>
          </w:p>
        </w:tc>
      </w:tr>
      <w:tr>
        <w:tc>
          <w:tcPr>
            <w:tcW w:type="dxa" w:w="2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 — Ultra low-cost (lancement)</w:t>
            </w:r>
          </w:p>
        </w:tc>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Groq Whisper + DeepSeek V4 Flash (cache) + Kokoro</w:t>
            </w:r>
          </w:p>
        </w:tc>
        <w:tc>
          <w:tcPr>
            <w:tcW w:type="dxa" w:w="25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1,50–2,50 $</w:t>
            </w:r>
          </w:p>
        </w:tc>
      </w:tr>
      <w:tr>
        <w:tc>
          <w:tcPr>
            <w:tcW w:type="dxa" w:w="27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B — Équilibré FR</w:t>
            </w:r>
          </w:p>
        </w:tc>
        <w:tc>
          <w:tcPr>
            <w:tcW w:type="dxa" w:w="38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Gladia temps réel + Gemini 3.1 Flash-Lite + Azure Neural</w:t>
            </w:r>
          </w:p>
        </w:tc>
        <w:tc>
          <w:tcPr>
            <w:tcW w:type="dxa" w:w="25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 6–9 $</w:t>
            </w:r>
          </w:p>
        </w:tc>
      </w:tr>
      <w:tr>
        <w:tc>
          <w:tcPr>
            <w:tcW w:type="dxa" w:w="27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 — Premium voix</w:t>
            </w:r>
          </w:p>
        </w:tc>
        <w:tc>
          <w:tcPr>
            <w:tcW w:type="dxa" w:w="38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Gemini Live API + Claude Haiku 4.5 (texte)</w:t>
            </w:r>
          </w:p>
        </w:tc>
        <w:tc>
          <w:tcPr>
            <w:tcW w:type="dxa" w:w="25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 17–20 $</w:t>
            </w:r>
          </w:p>
        </w:tc>
      </w:tr>
    </w:tbl>
    <w:p>
      <w:pPr>
        <w:spacing w:after="160"/>
      </w:pPr>
    </w:p>
    <w:p>
      <w:pPr>
        <w:spacing w:after="160"/>
      </w:pPr>
      <w:r>
        <w:t xml:space="preserve">* Profil intensif : 10 min de vocal + 50 requêtes texte par jour. La pipeline maison (combo A) est 7 à 20 fois moins chère que Gemini Live et 30 à 100 fois moins chère qu’OpenAI Realtime, au prix d’une latence de ~1–2 s (contre ~0,5 s) et d’un peu d’ingénierie (VAD, interruptions, streaming). Stratégie : lancer sur le combo A, proposer le combo B/C comme option de qualité vocale pour les abonnés si les marges le permettent. Avec 500 € de budget, le combo A couvre des dizaines d’utilisateurs-mois — les coûts IA ne sont pas le facteur limitant du lancement.</w:t>
      </w:r>
    </w:p>
    <w:p>
      <w:r>
        <w:br w:type="page"/>
      </w:r>
    </w:p>
    <w:p>
      <w:pPr>
        <w:pStyle w:val="Heading1"/>
      </w:pPr>
      <w:r>
        <w:t xml:space="preserve">7. Roadmap — des stores en 8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Phase</w:t>
            </w:r>
          </w:p>
        </w:tc>
        <w:tc>
          <w:tcPr>
            <w:tcW w:type="dxa" w:w="12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Semaines</w:t>
            </w:r>
          </w:p>
        </w:tc>
        <w:tc>
          <w:tcPr>
            <w:tcW w:type="dxa" w:w="56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Livrables (tout codé avec Claude Code / Opus 4.8)</w:t>
            </w:r>
          </w:p>
        </w:tc>
      </w:tr>
      <w:tr>
        <w:tc>
          <w:tcPr>
            <w:tcW w:type="dxa" w:w="2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1. Fondations produit</w:t>
            </w:r>
          </w:p>
        </w:tc>
        <w:tc>
          <w:tcPr>
            <w:tcW w:type="dxa" w:w="1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S1–S2</w:t>
            </w:r>
          </w:p>
        </w:tc>
        <w:tc>
          <w:tcPr>
            <w:tcW w:type="dxa" w:w="5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Auth multi-utilisateurs JWT + isolation des données ; onboarding ; durcissement sécurité (rate limiting, RGPD : export/suppression de compte) ; déploiement Hetzner</w:t>
            </w:r>
          </w:p>
        </w:tc>
      </w:tr>
      <w:tr>
        <w:tc>
          <w:tcPr>
            <w:tcW w:type="dxa" w:w="2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2. Pipeline vocale</w:t>
            </w:r>
          </w:p>
        </w:tc>
        <w:tc>
          <w:tcPr>
            <w:tcW w:type="dxa" w:w="1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S2–S3</w:t>
            </w:r>
          </w:p>
        </w:tc>
        <w:tc>
          <w:tcPr>
            <w:tcW w:type="dxa" w:w="56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WebSocket streaming, VAD côté client, intégration Groq Whisper + LLM (routeur d’outils + cache) + Kokoro ; suite d’éval de 50 commandes FR ; A/B DeepSeek vs Gemini</w:t>
            </w:r>
          </w:p>
        </w:tc>
      </w:tr>
      <w:tr>
        <w:tc>
          <w:tcPr>
            <w:tcW w:type="dxa" w:w="2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3. App mobile Capacitor</w:t>
            </w:r>
          </w:p>
        </w:tc>
        <w:tc>
          <w:tcPr>
            <w:tcW w:type="dxa" w:w="1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S3–S4</w:t>
            </w:r>
          </w:p>
        </w:tc>
        <w:tc>
          <w:tcPr>
            <w:tcW w:type="dxa" w:w="5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Wrapper du front React existant ; adaptations mobiles (safe areas, navigation, clavier, micro natif) ; push notifications ; RevenueCat + écrans d’abonnement</w:t>
            </w:r>
          </w:p>
        </w:tc>
      </w:tr>
      <w:tr>
        <w:tc>
          <w:tcPr>
            <w:tcW w:type="dxa" w:w="2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4. Bêta fermée</w:t>
            </w:r>
          </w:p>
        </w:tc>
        <w:tc>
          <w:tcPr>
            <w:tcW w:type="dxa" w:w="12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S4–S6</w:t>
            </w:r>
          </w:p>
        </w:tc>
        <w:tc>
          <w:tcPr>
            <w:tcW w:type="dxa" w:w="56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TestFlight (iOS) et closed testing Google (12 testeurs, 14 jours obligatoires — à lancer dès le premier build) ; corrections ; soumission des fiches stores</w:t>
            </w:r>
          </w:p>
        </w:tc>
      </w:tr>
      <w:tr>
        <w:tc>
          <w:tcPr>
            <w:tcW w:type="dxa" w:w="2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5. Lancement</w:t>
            </w:r>
          </w:p>
        </w:tc>
        <w:tc>
          <w:tcPr>
            <w:tcW w:type="dxa" w:w="12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S7–S8</w:t>
            </w:r>
          </w:p>
        </w:tc>
        <w:tc>
          <w:tcPr>
            <w:tcW w:type="dxa" w:w="56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Review Apple (2–5 j) ; passage en production Google ; Product Hunt + 10 vidéos démo TikTok/Reels prêtes avant le jour J</w:t>
            </w:r>
          </w:p>
        </w:tc>
      </w:tr>
    </w:tbl>
    <w:p>
      <w:pPr>
        <w:spacing w:after="160"/>
      </w:pPr>
    </w:p>
    <w:p>
      <w:pPr>
        <w:spacing w:after="160"/>
      </w:pPr>
      <w:r>
        <w:rPr>
          <w:b/>
          <w:bCs/>
        </w:rPr>
        <w:t xml:space="preserve">Le chemin critique n’est pas le code : </w:t>
      </w:r>
      <w:r>
        <w:t xml:space="preserve">ce sont les 14 jours de test fermé Google et la première review Apple. D’où la règle : ouvrir les comptes développeur et lancer le closed testing dès la semaine 3, même avec un build imparfait. En parallèle du développement, publier 2–3 extraits de démo par semaine pour construire une audience avant le lancement.</w:t>
      </w:r>
    </w:p>
    <w:p>
      <w:pPr>
        <w:pStyle w:val="Heading2"/>
      </w:pPr>
      <w:r>
        <w:t xml:space="preserve">Après le lancement (V2, si les seuils du § 4.5 sont atteints)</w:t>
      </w:r>
    </w:p>
    <w:p>
      <w:pPr>
        <w:pStyle w:val="ListParagraph"/>
        <w:numPr>
          <w:ilvl w:val="0"/>
          <w:numId w:val="2"/>
        </w:numPr>
        <w:spacing w:after="100"/>
      </w:pPr>
      <w:r>
        <w:t xml:space="preserve">Migration Expo/React Native pour un rendu natif (réutilisation de ~85 % de la logique JS).</w:t>
      </w:r>
    </w:p>
    <w:p>
      <w:pPr>
        <w:pStyle w:val="ListParagraph"/>
        <w:numPr>
          <w:ilvl w:val="0"/>
          <w:numId w:val="2"/>
        </w:numPr>
        <w:spacing w:after="100"/>
      </w:pPr>
      <w:r>
        <w:t xml:space="preserve">Agrégation bancaire via agrégateur agréé (Powens/Bridge) — quand le volume justifie le contrat.</w:t>
      </w:r>
    </w:p>
    <w:p>
      <w:pPr>
        <w:pStyle w:val="ListParagraph"/>
        <w:numPr>
          <w:ilvl w:val="0"/>
          <w:numId w:val="2"/>
        </w:numPr>
        <w:spacing w:after="100"/>
      </w:pPr>
      <w:r>
        <w:t xml:space="preserve">Intégrations : import Google Calendar bidirectionnel, autres enseignes de supermarchés, wearables pour le sport.</w:t>
      </w:r>
    </w:p>
    <w:p>
      <w:pPr>
        <w:pStyle w:val="ListParagraph"/>
        <w:numPr>
          <w:ilvl w:val="0"/>
          <w:numId w:val="2"/>
        </w:numPr>
        <w:spacing w:after="100"/>
      </w:pPr>
      <w:r>
        <w:t xml:space="preserve">Option vocale premium (Gemini Live) et voix personnalisables.</w:t>
      </w:r>
    </w:p>
    <w:p>
      <w:r>
        <w:br w:type="page"/>
      </w:r>
    </w:p>
    <w:p>
      <w:pPr>
        <w:pStyle w:val="Heading1"/>
      </w:pPr>
      <w:r>
        <w:t xml:space="preserve">8. Risques et parades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Risque</w:t>
            </w:r>
          </w:p>
        </w:tc>
        <w:tc>
          <w:tcPr>
            <w:tcW w:type="dxa" w:w="1500"/>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Probabilité</w:t>
            </w:r>
          </w:p>
        </w:tc>
        <w:tc>
          <w:tcPr>
            <w:tcW w:type="dxa" w:w="4226"/>
            <w:tcBorders>
              <w:top w:val="single" w:color="B8CDD6" w:sz="1"/>
              <w:left w:val="single" w:color="B8CDD6" w:sz="1"/>
              <w:bottom w:val="single" w:color="B8CDD6" w:sz="1"/>
              <w:right w:val="single" w:color="B8CDD6" w:sz="1"/>
            </w:tcBorders>
            <w:shd w:fill="DCE9EE" w:val="clear"/>
            <w:tcMar>
              <w:top w:type="dxa" w:w="80"/>
              <w:left w:type="dxa" w:w="120"/>
              <w:bottom w:type="dxa" w:w="80"/>
              <w:right w:type="dxa" w:w="120"/>
            </w:tcMar>
          </w:tcPr>
          <w:p>
            <w:pPr>
              <w:jc w:val="left"/>
            </w:pPr>
            <w:r>
              <w:rPr>
                <w:b/>
                <w:bCs/>
                <w:sz w:val="20"/>
                <w:szCs w:val="20"/>
              </w:rPr>
              <w:t xml:space="preserve">Parade</w:t>
            </w:r>
          </w:p>
        </w:tc>
      </w:tr>
      <w:tr>
        <w:tc>
          <w:tcPr>
            <w:tcW w:type="dxa" w:w="3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Conversion payante insuffisante (norme marché : ~3 %)</w:t>
            </w:r>
          </w:p>
        </w:tc>
        <w:tc>
          <w:tcPr>
            <w:tcW w:type="dxa" w:w="15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Élevée</w:t>
            </w:r>
          </w:p>
        </w:tc>
        <w:tc>
          <w:tcPr>
            <w:tcW w:type="dxa" w:w="4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Free tier utile mais vocal verrouillé ; essai 14 j ; annuel poussé ; seuils de décision à M6</w:t>
            </w:r>
          </w:p>
        </w:tc>
      </w:tr>
      <w:tr>
        <w:tc>
          <w:tcPr>
            <w:tcW w:type="dxa" w:w="3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Google/Apple/OpenAI lancent l’assistant de vie intégré à l’OS</w:t>
            </w:r>
          </w:p>
        </w:tc>
        <w:tc>
          <w:tcPr>
            <w:tcW w:type="dxa" w:w="15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Moyenne</w:t>
            </w:r>
          </w:p>
        </w:tc>
        <w:tc>
          <w:tcPr>
            <w:tcW w:type="dxa" w:w="4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Jouer la profondeur locale (supermarchés FR, recettes FR, français parfait) et la confiance (données en UE, pas de pub)</w:t>
            </w:r>
          </w:p>
        </w:tc>
      </w:tr>
      <w:tr>
        <w:tc>
          <w:tcPr>
            <w:tcW w:type="dxa" w:w="3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Rejet App Store 4.2 (app Capacitor jugée « site wrappé »)</w:t>
            </w:r>
          </w:p>
        </w:tc>
        <w:tc>
          <w:tcPr>
            <w:tcW w:type="dxa" w:w="15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Moyenne</w:t>
            </w:r>
          </w:p>
        </w:tc>
        <w:tc>
          <w:tcPr>
            <w:tcW w:type="dxa" w:w="4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Push natif, haptics, offline, vocal natif ; plan B : accélérer la V2 Expo</w:t>
            </w:r>
          </w:p>
        </w:tc>
      </w:tr>
      <w:tr>
        <w:tc>
          <w:tcPr>
            <w:tcW w:type="dxa" w:w="3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Coûts IA dérapent avec l’usage gratuit</w:t>
            </w:r>
          </w:p>
        </w:tc>
        <w:tc>
          <w:tcPr>
            <w:tcW w:type="dxa" w:w="15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Moyenne</w:t>
            </w:r>
          </w:p>
        </w:tc>
        <w:tc>
          <w:tcPr>
            <w:tcW w:type="dxa" w:w="4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Quotas stricts, routeur d’outils + cache, monitoring coût/utilisateur dès le jour 1</w:t>
            </w:r>
          </w:p>
        </w:tc>
      </w:tr>
      <w:tr>
        <w:tc>
          <w:tcPr>
            <w:tcW w:type="dxa" w:w="3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Hausse de prix d’un provider IA (marché volatil)</w:t>
            </w:r>
          </w:p>
        </w:tc>
        <w:tc>
          <w:tcPr>
            <w:tcW w:type="dxa" w:w="15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Élevée</w:t>
            </w:r>
          </w:p>
        </w:tc>
        <w:tc>
          <w:tcPr>
            <w:tcW w:type="dxa" w:w="4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Abstraction multi-provider (OpenRouter en dev) : changer de modèle = 1 ligne de config</w:t>
            </w:r>
          </w:p>
        </w:tc>
      </w:tr>
      <w:tr>
        <w:tc>
          <w:tcPr>
            <w:tcW w:type="dxa" w:w="33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Solo founder : temps et énergie</w:t>
            </w:r>
          </w:p>
        </w:tc>
        <w:tc>
          <w:tcPr>
            <w:tcW w:type="dxa" w:w="1500"/>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Élevée</w:t>
            </w:r>
          </w:p>
        </w:tc>
        <w:tc>
          <w:tcPr>
            <w:tcW w:type="dxa" w:w="4226"/>
            <w:tcBorders>
              <w:top w:val="single" w:color="B8CDD6" w:sz="1"/>
              <w:left w:val="single" w:color="B8CDD6" w:sz="1"/>
              <w:bottom w:val="single" w:color="B8CDD6" w:sz="1"/>
              <w:right w:val="single" w:color="B8CDD6" w:sz="1"/>
            </w:tcBorders>
            <w:shd w:fill="F2F7F9" w:val="clear"/>
            <w:tcMar>
              <w:top w:type="dxa" w:w="80"/>
              <w:left w:type="dxa" w:w="120"/>
              <w:bottom w:type="dxa" w:w="80"/>
              <w:right w:type="dxa" w:w="120"/>
            </w:tcMar>
          </w:tcPr>
          <w:p>
            <w:pPr>
              <w:jc w:val="left"/>
            </w:pPr>
            <w:r>
              <w:rPr>
                <w:b w:val="false"/>
                <w:bCs w:val="false"/>
                <w:sz w:val="20"/>
                <w:szCs w:val="20"/>
              </w:rPr>
              <w:t xml:space="preserve">Périmètre V1 impitoyable (finances manuelles, une enseigne, 2 plateformes via un seul code) ; Claude Code comme démultiplicateur</w:t>
            </w:r>
          </w:p>
        </w:tc>
      </w:tr>
      <w:tr>
        <w:tc>
          <w:tcPr>
            <w:tcW w:type="dxa" w:w="33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RGPD / AI Act (données sensibles multi-domaines)</w:t>
            </w:r>
          </w:p>
        </w:tc>
        <w:tc>
          <w:tcPr>
            <w:tcW w:type="dxa" w:w="1500"/>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Faible si traité tôt</w:t>
            </w:r>
          </w:p>
        </w:tc>
        <w:tc>
          <w:tcPr>
            <w:tcW w:type="dxa" w:w="4226"/>
            <w:tcBorders>
              <w:top w:val="single" w:color="B8CDD6" w:sz="1"/>
              <w:left w:val="single" w:color="B8CDD6" w:sz="1"/>
              <w:bottom w:val="single" w:color="B8CDD6" w:sz="1"/>
              <w:right w:val="single" w:color="B8CDD6" w:sz="1"/>
            </w:tcBorders>
            <w:tcMar>
              <w:top w:type="dxa" w:w="80"/>
              <w:left w:type="dxa" w:w="120"/>
              <w:bottom w:type="dxa" w:w="80"/>
              <w:right w:type="dxa" w:w="120"/>
            </w:tcMar>
          </w:tcPr>
          <w:p>
            <w:pPr>
              <w:jc w:val="left"/>
            </w:pPr>
            <w:r>
              <w:rPr>
                <w:b w:val="false"/>
                <w:bCs w:val="false"/>
                <w:sz w:val="20"/>
                <w:szCs w:val="20"/>
              </w:rPr>
              <w:t xml:space="preserve">AIPD dès la V1, consentement explicite, hébergement UE, transparence IA, pas de scoring de crédit ni de conseil médical</w:t>
            </w:r>
          </w:p>
        </w:tc>
      </w:tr>
    </w:tbl>
    <w:p>
      <w:pPr>
        <w:spacing w:after="160"/>
      </w:pPr>
    </w:p>
    <w:p>
      <w:pPr>
        <w:spacing w:after="160"/>
      </w:pPr>
      <w:r>
        <w:rPr>
          <w:b/>
          <w:bCs/>
        </w:rPr>
        <w:t xml:space="preserve">En synthèse : </w:t>
      </w:r>
      <w:r>
        <w:t xml:space="preserve">le projet a un actif technique réel, une fenêtre de marché vérifiée (aucun équivalent français), des coûts variables maîtrisés et un budget qui tient. Le pari n’est pas technologique — il est comportemental : transformer l’usage épisodique du vocal en habitude quotidienne. C’est exactement ce que la bêta fermée doit mesurer avant d’investir un euro de plus.</w:t>
      </w:r>
    </w:p>
    <w:p>
      <w:r>
        <w:br w:type="page"/>
      </w:r>
    </w:p>
    <w:p>
      <w:pPr>
        <w:pStyle w:val="Heading1"/>
      </w:pPr>
      <w:r>
        <w:t xml:space="preserve">9. Sources principales</w:t>
      </w:r>
    </w:p>
    <w:p>
      <w:pPr>
        <w:spacing w:after="160"/>
      </w:pPr>
      <w:r>
        <w:rPr>
          <w:b/>
          <w:bCs/>
        </w:rPr>
        <w:t xml:space="preserve">Marché et concurrence : </w:t>
      </w:r>
    </w:p>
    <w:p>
      <w:pPr>
        <w:pStyle w:val="ListParagraph"/>
        <w:numPr>
          <w:ilvl w:val="0"/>
          <w:numId w:val="2"/>
        </w:numPr>
        <w:spacing w:after="100"/>
      </w:pPr>
      <w:r>
        <w:t xml:space="preserve">MarketsandMarkets, Market.us, Grand View Research (tailles de marché assistants IA) — marketsandmarkets.com ; market.us ; grandviewresearch.com</w:t>
      </w:r>
    </w:p>
    <w:p>
      <w:pPr>
        <w:pStyle w:val="ListParagraph"/>
        <w:numPr>
          <w:ilvl w:val="0"/>
          <w:numId w:val="2"/>
        </w:numPr>
        <w:spacing w:after="100"/>
      </w:pPr>
      <w:r>
        <w:t xml:space="preserve">Menlo Ventures « 2025: The State of Consumer AI » — menlovc.com ; a16z « State of Consumer AI » et « Revenue Benchmarks AI Apps » — a16z.com</w:t>
      </w:r>
    </w:p>
    <w:p>
      <w:pPr>
        <w:pStyle w:val="ListParagraph"/>
        <w:numPr>
          <w:ilvl w:val="0"/>
          <w:numId w:val="2"/>
        </w:numPr>
        <w:spacing w:after="100"/>
      </w:pPr>
      <w:r>
        <w:t xml:space="preserve">RevenueCat « State of Subscription Apps 2025 » — revenuecat.com ; Adapty — adapty.io</w:t>
      </w:r>
    </w:p>
    <w:p>
      <w:pPr>
        <w:pStyle w:val="ListParagraph"/>
        <w:numPr>
          <w:ilvl w:val="0"/>
          <w:numId w:val="2"/>
        </w:numPr>
        <w:spacing w:after="100"/>
      </w:pPr>
      <w:r>
        <w:t xml:space="preserve">Pricing concurrents : trymartin.com, usemotion.com, reclaim.ai, structured.app, samsungfood.com, finary.com, blogs comparatifs Bankin’/Linxo</w:t>
      </w:r>
    </w:p>
    <w:p>
      <w:pPr>
        <w:pStyle w:val="ListParagraph"/>
        <w:numPr>
          <w:ilvl w:val="0"/>
          <w:numId w:val="2"/>
        </w:numPr>
        <w:spacing w:after="100"/>
      </w:pPr>
      <w:r>
        <w:t xml:space="preserve">Adoption française : blogdumoderateur.com (IA générative), comarketing-news.fr (assistants vocaux), étude Submix/BearingPoint 2025 (abonnements)</w:t>
      </w:r>
    </w:p>
    <w:p>
      <w:pPr>
        <w:spacing w:after="160"/>
      </w:pPr>
      <w:r>
        <w:rPr>
          <w:b/>
          <w:bCs/>
        </w:rPr>
        <w:t xml:space="preserve">Providers IA : </w:t>
      </w:r>
    </w:p>
    <w:p>
      <w:pPr>
        <w:pStyle w:val="ListParagraph"/>
        <w:numPr>
          <w:ilvl w:val="0"/>
          <w:numId w:val="2"/>
        </w:numPr>
        <w:spacing w:after="100"/>
      </w:pPr>
      <w:r>
        <w:t xml:space="preserve">Pages officielles : api-docs.deepseek.com, ai.google.dev/gemini-api/docs/pricing, platform.minimax.io, docs.z.ai, mistral.ai/pricing, platform.claude.com, groq.com/pricing, openrouter.ai/pricing</w:t>
      </w:r>
    </w:p>
    <w:p>
      <w:pPr>
        <w:pStyle w:val="ListParagraph"/>
        <w:numPr>
          <w:ilvl w:val="0"/>
          <w:numId w:val="2"/>
        </w:numPr>
        <w:spacing w:after="100"/>
      </w:pPr>
      <w:r>
        <w:t xml:space="preserve">Benchmarks : gorilla.cs.berkeley.edu/leaderboard.html (BFCL), llm-stats.com, artificialanalysis.ai</w:t>
      </w:r>
    </w:p>
    <w:p>
      <w:pPr>
        <w:pStyle w:val="ListParagraph"/>
        <w:numPr>
          <w:ilvl w:val="0"/>
          <w:numId w:val="2"/>
        </w:numPr>
        <w:spacing w:after="100"/>
      </w:pPr>
      <w:r>
        <w:t xml:space="preserve">Vocal : gladia.io/pricing, cartesia.ai/pricing, ttscost.com, kokorottsai.com, hackernoon.com (coûts OpenAI Realtime mesurés sur 4 000 sessions)</w:t>
      </w:r>
    </w:p>
    <w:p>
      <w:pPr>
        <w:spacing w:after="160"/>
      </w:pPr>
      <w:r>
        <w:rPr>
          <w:b/>
          <w:bCs/>
        </w:rPr>
        <w:t xml:space="preserve">Mobile et stores : </w:t>
      </w:r>
    </w:p>
    <w:p>
      <w:pPr>
        <w:pStyle w:val="ListParagraph"/>
        <w:numPr>
          <w:ilvl w:val="0"/>
          <w:numId w:val="2"/>
        </w:numPr>
        <w:spacing w:after="100"/>
      </w:pPr>
      <w:r>
        <w:t xml:space="preserve">expo.dev/pricing, docs.expo.dev/agents/claude, capgo.app, pkgpulse.com (comparatif RN/Expo/Capacitor 2026)</w:t>
      </w:r>
    </w:p>
    <w:p>
      <w:pPr>
        <w:pStyle w:val="ListParagraph"/>
        <w:numPr>
          <w:ilvl w:val="0"/>
          <w:numId w:val="2"/>
        </w:numPr>
        <w:spacing w:after="100"/>
      </w:pPr>
      <w:r>
        <w:t xml:space="preserve">developer.apple.com (programme, DMA UE), runway.team/appreviewtimes, testerscommunity.com (règle 12 testeurs Google), revenuecat.com/pricing</w:t>
      </w:r>
    </w:p>
    <w:p>
      <w:pPr>
        <w:pStyle w:val="ListParagraph"/>
        <w:numPr>
          <w:ilvl w:val="0"/>
          <w:numId w:val="2"/>
        </w:numPr>
        <w:spacing w:after="100"/>
      </w:pPr>
      <w:r>
        <w:t xml:space="preserve">Infra : hetzner.com/cloud, vpsbenchmarks.com, neon.tech / supabase.com (free tiers)</w:t>
      </w:r>
    </w:p>
    <w:p>
      <w:pPr>
        <w:spacing w:after="160"/>
      </w:pPr>
      <w:r>
        <w:rPr>
          <w:b/>
          <w:bCs/>
        </w:rPr>
        <w:t xml:space="preserve">Réglementation : </w:t>
      </w:r>
    </w:p>
    <w:p>
      <w:pPr>
        <w:pStyle w:val="ListParagraph"/>
        <w:numPr>
          <w:ilvl w:val="0"/>
          <w:numId w:val="2"/>
        </w:numPr>
        <w:spacing w:after="100"/>
      </w:pPr>
      <w:r>
        <w:t xml:space="preserve">AI Act : leto.legal, lesbases.anct.gouv.fr ; DSP2/agrégation : powens.com, bridgeapi.io, blog.finexer.com (pricing Tink)</w:t>
      </w:r>
    </w:p>
    <w:p>
      <w:pPr>
        <w:spacing w:after="160"/>
      </w:pPr>
      <w:r>
        <w:rPr>
          <w:i/>
          <w:iCs/>
          <w:color w:val="666666"/>
          <w:sz w:val="20"/>
          <w:szCs w:val="20"/>
        </w:rPr>
        <w:t xml:space="preserve">Avertissement : ce document est un travail de synthèse à visée d’aide à la décision. Les prix des API IA sont extrêmement volatils (relevés au 01/07/2026) et doivent être re-vérifiés avant tout engagement. Les projections financières sont des hypothèses de travail, pas des prévisions. Ce document ne constitue ni un conseil juridique ni un conseil financier.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88888"/>
        <w:sz w:val="16"/>
        <w:szCs w:val="16"/>
      </w:rPr>
      <w:t xml:space="preserve">AdamHUB — Étude de marché &amp; business plan</w:t>
    </w:r>
    <w:r>
      <w:rPr>
        <w:color w:val="888888"/>
        <w:sz w:val="16"/>
        <w:szCs w:val="16"/>
      </w:rPr>
      <w:t xml:space="preserve">	Juillet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00"/>
      <w:outlineLvl w:val="0"/>
    </w:pPr>
    <w:rPr>
      <w:rFonts w:ascii="Arial" w:cs="Arial" w:eastAsia="Arial" w:hAnsi="Arial"/>
      <w:b/>
      <w:bCs/>
      <w:color w:val="1F4E5F"/>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6B7E"/>
      <w:sz w:val="26"/>
      <w:szCs w:val="26"/>
    </w:rPr>
  </w:style>
  <w:style w:type="paragraph" w:styleId="Heading3">
    <w:name w:val="Heading 3"/>
    <w:basedOn w:val="Normal"/>
    <w:next w:val="Normal"/>
    <w:qFormat/>
    <w:pPr>
      <w:spacing w:after="14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2026-07-01T21:45:27.957Z</dcterms:created>
  <dcterms:modified xsi:type="dcterms:W3CDTF">2026-07-01T21:45:27.957Z</dcterms:modified>
</cp:coreProperties>
</file>

<file path=docProps/custom.xml><?xml version="1.0" encoding="utf-8"?>
<Properties xmlns="http://schemas.openxmlformats.org/officeDocument/2006/custom-properties" xmlns:vt="http://schemas.openxmlformats.org/officeDocument/2006/docPropsVTypes"/>
</file>