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ESTATE PLANNING DOCUMENT</w:t>
      </w:r>
    </w:p>
    <w:p>
      <w:r>
        <w:rPr>
          <w:sz w:val="24"/>
          <w:szCs w:val="24"/>
        </w:rPr>
        <w:t xml:space="preserve">Client Name: {client_name}</w:t>
      </w:r>
    </w:p>
    <w:p>
      <w:r>
        <w:rPr>
          <w:sz w:val="24"/>
          <w:szCs w:val="24"/>
        </w:rPr>
        <w:t xml:space="preserve">Primary Executor: {executor}</w:t>
      </w:r>
    </w:p>
    <w:p>
      <w:r>
        <w:rPr>
          <w:sz w:val="24"/>
          <w:szCs w:val="24"/>
        </w:rPr>
        <w:t xml:space="preserve">Trustee Distribution Logic: {trustee_logic}</w:t>
      </w:r>
    </w:p>
    <w:p>
      <w:r>
        <w:rPr>
          <w:i/>
          <w:iCs/>
          <w:sz w:val="20"/>
          <w:szCs w:val="20"/>
        </w:rPr>
        <w:t xml:space="preserve">This document is generated by Vertex AI Data Extraction and filled via docxtemplater.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2026-04-07T11:03:45.825Z</dcterms:created>
  <dcterms:modified xsi:type="dcterms:W3CDTF">2026-04-07T11:03:45.826Z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