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Features in Legal Management Systems: A Comparative Feature Analysis</w:t>
      </w:r>
    </w:p>
    <w:p>
      <w:pPr>
        <w:pStyle w:val="Heading2"/>
      </w:pPr>
      <w:r>
        <w:t>Executive Summary</w:t>
      </w:r>
    </w:p>
    <w:p>
      <w:pPr/>
      <w:r>
        <w:t>Artificial Intelligence (AI) features have become a baseline expectation across legal</w:t>
      </w:r>
      <w:r>
        <w:t xml:space="preserve"> </w:t>
      </w:r>
      <w:r>
        <w:t>management platforms rather than a premium add-on. This report analyzes four legal</w:t>
      </w:r>
      <w:r>
        <w:t xml:space="preserve"> </w:t>
      </w:r>
      <w:r>
        <w:t>technology suites — Casewell, Clauseway, Matterly, and Docketra — across eight AI</w:t>
      </w:r>
      <w:r>
        <w:t xml:space="preserve"> </w:t>
      </w:r>
      <w:r>
        <w:t>capabilities, classifying each capability by how many of the analyzed entities offer</w:t>
      </w:r>
      <w:r>
        <w:t xml:space="preserve"> </w:t>
      </w:r>
      <w:r>
        <w:t>it. Three capabilities qualify as universal standards, with adoption at or above 70</w:t>
      </w:r>
      <w:r>
        <w:t xml:space="preserve"> </w:t>
      </w:r>
      <w:r>
        <w:t>percent: Conversational Document Querying (4/4 entities), Document and Case</w:t>
      </w:r>
      <w:r>
        <w:t xml:space="preserve"> </w:t>
      </w:r>
      <w:r>
        <w:t>Summarization (3/4), and Permission-Aware Access Controls (3/4).</w:t>
      </w:r>
    </w:p>
    <w:p>
      <w:pPr/>
      <w:r>
        <w:t>Three capabilities fall into the emerging band (30–69 percent adoption): Contract</w:t>
      </w:r>
      <w:r>
        <w:t xml:space="preserve"> </w:t>
      </w:r>
      <w:r>
        <w:t>Metadata Extraction, Clause Risk and Deviation Detection, and Court Docketing and</w:t>
      </w:r>
      <w:r>
        <w:t xml:space="preserve"> </w:t>
      </w:r>
      <w:r>
        <w:t>Deadline Extraction, each offered by 2/4 entities. The two categories the suites serve</w:t>
      </w:r>
      <w:r>
        <w:t xml:space="preserve"> </w:t>
      </w:r>
      <w:r>
        <w:t>show a clear division: the two Contract Lifecycle Management (CLM)-focused entities</w:t>
      </w:r>
      <w:r>
        <w:t xml:space="preserve"> </w:t>
      </w:r>
      <w:r>
        <w:t>offer the contract-analysis capabilities, while the two Legal Management System</w:t>
      </w:r>
      <w:r>
        <w:t xml:space="preserve"> </w:t>
      </w:r>
      <w:r>
        <w:t>(LMS)-focused entities offer the litigation-oriented ones.</w:t>
      </w:r>
    </w:p>
    <w:p>
      <w:pPr/>
      <w:r>
        <w:t>Two capabilities remain differentiators, each offered by a single entity: Predictive</w:t>
      </w:r>
      <w:r>
        <w:t xml:space="preserve"> </w:t>
      </w:r>
      <w:r>
        <w:t>Case Outcome Analytics (Casewell) and Agentic Matter Workflow Automation (Matterly).</w:t>
      </w:r>
      <w:r>
        <w:t xml:space="preserve"> </w:t>
      </w:r>
      <w:r>
        <w:t>The analysis also surfaces three gaps: none of the entities documents a private-model</w:t>
      </w:r>
      <w:r>
        <w:t xml:space="preserve"> </w:t>
      </w:r>
      <w:r>
        <w:t>or on-premises deployment option, none documents an audit trail for AI-generated</w:t>
      </w:r>
      <w:r>
        <w:t xml:space="preserve"> </w:t>
      </w:r>
      <w:r>
        <w:t>output, and none publishes a validation methodology for its analytical claims. These</w:t>
      </w:r>
      <w:r>
        <w:t xml:space="preserve"> </w:t>
      </w:r>
      <w:r>
        <w:t>gaps mark the current white space in this market.</w:t>
      </w:r>
    </w:p>
    <w:p>
      <w:pPr>
        <w:pStyle w:val="Heading2"/>
      </w:pPr>
      <w:r>
        <w:t>Methodology</w:t>
      </w:r>
    </w:p>
    <w:p>
      <w:pPr>
        <w:pStyle w:val="ListBullet"/>
      </w:pPr>
      <w:r>
        <w:t>Sources searched: vendor documentation, official pricing pages, product release</w:t>
      </w:r>
      <w:r>
        <w:t xml:space="preserve"> </w:t>
      </w:r>
      <w:r>
        <w:t>notes, independent legal-tech comparison articles, and practitioner forum threads</w:t>
      </w:r>
    </w:p>
    <w:p>
      <w:pPr>
        <w:pStyle w:val="ListBullet"/>
      </w:pPr>
      <w:r>
        <w:t>Time scope: January 2025 – August 2026 (volatile facts — pricing, release notes —</w:t>
      </w:r>
      <w:r>
        <w:t xml:space="preserve"> </w:t>
      </w:r>
      <w:r>
        <w:t>verified within this window)</w:t>
      </w:r>
    </w:p>
    <w:p>
      <w:pPr>
        <w:pStyle w:val="ListBullet"/>
      </w:pPr>
      <w:r>
        <w:t>Geographic scope: global</w:t>
      </w:r>
    </w:p>
    <w:p>
      <w:pPr>
        <w:pStyle w:val="ListBullet"/>
      </w:pPr>
      <w:r>
        <w:t>Entities analyzed: 4 — Casewell, Clauseway, Matterly, Docketra</w:t>
      </w:r>
    </w:p>
    <w:p>
      <w:pPr>
        <w:pStyle w:val="ListBullet"/>
      </w:pPr>
      <w:r>
        <w:t>Classification thresholds: Universal (70%+), Emerging (30-69%), Differentiator (&lt;30%)</w:t>
      </w:r>
    </w:p>
    <w:p>
      <w:pPr>
        <w:pStyle w:val="ListBullet"/>
      </w:pPr>
      <w:r>
        <w:t>Template adaptations applied: None; used as written. The optional Category-Specific</w:t>
      </w:r>
      <w:r>
        <w:t xml:space="preserve"> </w:t>
      </w:r>
      <w:r>
        <w:t>Standards section is included because the analyzed entities span two product</w:t>
      </w:r>
      <w:r>
        <w:t xml:space="preserve"> </w:t>
      </w:r>
      <w:r>
        <w:t>categories (CLM and LMS).</w:t>
      </w:r>
    </w:p>
    <w:p>
      <w:pPr>
        <w:pStyle w:val="ListBullet"/>
      </w:pPr>
      <w:r>
        <w:t>Fictional-content note: all entity names, features, prices, and source URLs in this</w:t>
      </w:r>
      <w:r>
        <w:t xml:space="preserve"> </w:t>
      </w:r>
      <w:r>
        <w:t>sample are invented for demonstration purposes (see the note under References).</w:t>
      </w:r>
    </w:p>
    <w:p>
      <w:pPr>
        <w:pStyle w:val="Heading2"/>
      </w:pPr>
      <w:r>
        <w:t>Market Standards</w:t>
      </w:r>
    </w:p>
    <w:p>
      <w:pPr>
        <w:pStyle w:val="Heading3"/>
      </w:pPr>
      <w:r>
        <w:t>Universal Standards (70%+ adoption)</w:t>
      </w:r>
    </w:p>
    <w:p>
      <w:pPr>
        <w:pStyle w:val="Heading4"/>
      </w:pPr>
      <w:r>
        <w:t>Conversational Document Querying</w:t>
      </w:r>
    </w:p>
    <w:p>
      <w:pPr/>
      <w:r>
        <w:t>Lets users upload case files, contracts, and discovery materials and query them</w:t>
      </w:r>
      <w:r>
        <w:t xml:space="preserve"> </w:t>
      </w:r>
      <w:r>
        <w:t>directly in natural language, with answers linked to the source passages. The</w:t>
      </w:r>
      <w:r>
        <w:t xml:space="preserve"> </w:t>
      </w:r>
      <w:r>
        <w:t>underlying retrieval approach is generally Retrieval-Augmented Generation (RAG).</w:t>
      </w:r>
    </w:p>
    <w:p>
      <w:pPr>
        <w:pStyle w:val="ListBullet"/>
      </w:pPr>
      <w:r/>
      <w:r>
        <w:rPr>
          <w:b/>
        </w:rPr>
        <w:t>Adoption</w:t>
      </w:r>
      <w:r>
        <w:t>: 4/4 entities (100%)</w:t>
      </w:r>
    </w:p>
    <w:p>
      <w:pPr>
        <w:pStyle w:val="ListBullet"/>
      </w:pPr>
      <w:r/>
      <w:r>
        <w:rPr>
          <w:b/>
        </w:rPr>
        <w:t>Offered by</w:t>
      </w:r>
      <w:r>
        <w:t>: Casewell, Clauseway, Matterly, Docketra</w:t>
      </w:r>
    </w:p>
    <w:p>
      <w:pPr>
        <w:pStyle w:val="Heading4"/>
      </w:pPr>
      <w:r>
        <w:t>Document and Case Summarization</w:t>
      </w:r>
    </w:p>
    <w:p>
      <w:pPr/>
      <w:r>
        <w:t>Produces short factual briefs of lengthy filings, agreements, transcripts, and</w:t>
      </w:r>
      <w:r>
        <w:t xml:space="preserve"> </w:t>
      </w:r>
      <w:r>
        <w:t>correspondence, with references back to the summarized passages.</w:t>
      </w:r>
    </w:p>
    <w:p>
      <w:pPr>
        <w:pStyle w:val="ListBullet"/>
      </w:pPr>
      <w:r/>
      <w:r>
        <w:rPr>
          <w:b/>
        </w:rPr>
        <w:t>Adoption</w:t>
      </w:r>
      <w:r>
        <w:t>: 3/4 entities (75%)</w:t>
      </w:r>
    </w:p>
    <w:p>
      <w:pPr>
        <w:pStyle w:val="ListBullet"/>
      </w:pPr>
      <w:r/>
      <w:r>
        <w:rPr>
          <w:b/>
        </w:rPr>
        <w:t>Offered by</w:t>
      </w:r>
      <w:r>
        <w:t>: Casewell, Clauseway, Matterly</w:t>
      </w:r>
    </w:p>
    <w:p>
      <w:pPr>
        <w:pStyle w:val="Heading4"/>
      </w:pPr>
      <w:r>
        <w:t>Permission-Aware Access Controls</w:t>
      </w:r>
    </w:p>
    <w:p>
      <w:pPr/>
      <w:r>
        <w:t>Aligns AI output and document access with Role-Based Access Control (RBAC) settings,</w:t>
      </w:r>
      <w:r>
        <w:t xml:space="preserve"> </w:t>
      </w:r>
      <w:r>
        <w:t>so responses respect matter permissions and client confidentiality walls.</w:t>
      </w:r>
    </w:p>
    <w:p>
      <w:pPr>
        <w:pStyle w:val="ListBullet"/>
      </w:pPr>
      <w:r/>
      <w:r>
        <w:rPr>
          <w:b/>
        </w:rPr>
        <w:t>Adoption</w:t>
      </w:r>
      <w:r>
        <w:t>: 3/4 entities (75%)</w:t>
      </w:r>
    </w:p>
    <w:p>
      <w:pPr>
        <w:pStyle w:val="ListBullet"/>
      </w:pPr>
      <w:r/>
      <w:r>
        <w:rPr>
          <w:b/>
        </w:rPr>
        <w:t>Offered by</w:t>
      </w:r>
      <w:r>
        <w:t>: Casewell, Matterly, Docketra</w:t>
      </w:r>
    </w:p>
    <w:p>
      <w:pPr>
        <w:pStyle w:val="Heading3"/>
      </w:pPr>
      <w:r>
        <w:t>Emerging Standards (30-69% adoption)</w:t>
      </w:r>
    </w:p>
    <w:p>
      <w:pPr>
        <w:pStyle w:val="Heading4"/>
      </w:pPr>
      <w:r>
        <w:t>Contract Metadata Extraction</w:t>
      </w:r>
    </w:p>
    <w:p>
      <w:pPr/>
      <w:r>
        <w:t>Applies language processing to pull parties, execution dates, renewal windows,</w:t>
      </w:r>
      <w:r>
        <w:t xml:space="preserve"> </w:t>
      </w:r>
      <w:r>
        <w:t>governing law, and payment milestones into structured database fields.</w:t>
      </w:r>
    </w:p>
    <w:p>
      <w:pPr>
        <w:pStyle w:val="ListBullet"/>
      </w:pPr>
      <w:r/>
      <w:r>
        <w:rPr>
          <w:b/>
        </w:rPr>
        <w:t>Adoption</w:t>
      </w:r>
      <w:r>
        <w:t>: 2/4 entities (50%)</w:t>
      </w:r>
    </w:p>
    <w:p>
      <w:pPr>
        <w:pStyle w:val="ListBullet"/>
      </w:pPr>
      <w:r/>
      <w:r>
        <w:rPr>
          <w:b/>
        </w:rPr>
        <w:t>Offered by</w:t>
      </w:r>
      <w:r>
        <w:t>: Casewell, Clauseway</w:t>
      </w:r>
    </w:p>
    <w:p>
      <w:pPr>
        <w:pStyle w:val="Heading4"/>
      </w:pPr>
      <w:r>
        <w:t>Clause Risk and Deviation Detection</w:t>
      </w:r>
    </w:p>
    <w:p>
      <w:pPr/>
      <w:r>
        <w:t>Scans agreements to flag provisions that deviate from organizational standards, such</w:t>
      </w:r>
      <w:r>
        <w:t xml:space="preserve"> </w:t>
      </w:r>
      <w:r>
        <w:t>as uncapped liability, ambiguous termination clauses, or non-compete terms.</w:t>
      </w:r>
    </w:p>
    <w:p>
      <w:pPr>
        <w:pStyle w:val="ListBullet"/>
      </w:pPr>
      <w:r/>
      <w:r>
        <w:rPr>
          <w:b/>
        </w:rPr>
        <w:t>Adoption</w:t>
      </w:r>
      <w:r>
        <w:t>: 2/4 entities (50%)</w:t>
      </w:r>
    </w:p>
    <w:p>
      <w:pPr>
        <w:pStyle w:val="ListBullet"/>
      </w:pPr>
      <w:r/>
      <w:r>
        <w:rPr>
          <w:b/>
        </w:rPr>
        <w:t>Offered by</w:t>
      </w:r>
      <w:r>
        <w:t>: Casewell, Clauseway</w:t>
      </w:r>
    </w:p>
    <w:p>
      <w:pPr>
        <w:pStyle w:val="Heading4"/>
      </w:pPr>
      <w:r>
        <w:t>Court Docketing and Deadline Extraction</w:t>
      </w:r>
    </w:p>
    <w:p>
      <w:pPr/>
      <w:r>
        <w:t>Parses court scheduling orders and notices to extract hearing dates and populate</w:t>
      </w:r>
      <w:r>
        <w:t xml:space="preserve"> </w:t>
      </w:r>
      <w:r>
        <w:t>litigation calendars, with side-by-side display of the source text.</w:t>
      </w:r>
    </w:p>
    <w:p>
      <w:pPr>
        <w:pStyle w:val="ListBullet"/>
      </w:pPr>
      <w:r/>
      <w:r>
        <w:rPr>
          <w:b/>
        </w:rPr>
        <w:t>Adoption</w:t>
      </w:r>
      <w:r>
        <w:t>: 2/4 entities (50%)</w:t>
      </w:r>
    </w:p>
    <w:p>
      <w:pPr>
        <w:pStyle w:val="ListBullet"/>
      </w:pPr>
      <w:r/>
      <w:r>
        <w:rPr>
          <w:b/>
        </w:rPr>
        <w:t>Offered by</w:t>
      </w:r>
      <w:r>
        <w:t>: Matterly, Docketra</w:t>
      </w:r>
    </w:p>
    <w:p>
      <w:pPr>
        <w:pStyle w:val="Heading2"/>
      </w:pPr>
      <w:r>
        <w:t>Category-Specific Standards</w:t>
      </w:r>
    </w:p>
    <w:p>
      <w:pPr/>
      <w:r>
        <w:t>The analyzed entities span two product categories: Casewell and Clauseway position</w:t>
      </w:r>
      <w:r>
        <w:t xml:space="preserve"> </w:t>
      </w:r>
      <w:r>
        <w:t>primarily as CLM platforms; Matterly and Docketra position primarily as LMS platforms.</w:t>
      </w:r>
    </w:p>
    <w:p>
      <w:pPr>
        <w:pStyle w:val="Heading3"/>
      </w:pPr>
      <w:r>
        <w:t>Contract Lifecycle Management (CLM) Standards</w:t>
      </w:r>
    </w:p>
    <w:p>
      <w:pPr>
        <w:pStyle w:val="ListBullet"/>
      </w:pPr>
      <w:r/>
      <w:r>
        <w:rPr>
          <w:b/>
        </w:rPr>
        <w:t>Contract Metadata Extraction</w:t>
      </w:r>
      <w:r>
        <w:t>: 2/2 entities in this category (Casewell, Clauseway)</w:t>
      </w:r>
    </w:p>
    <w:p>
      <w:pPr>
        <w:pStyle w:val="ListBullet"/>
      </w:pPr>
      <w:r/>
      <w:r>
        <w:rPr>
          <w:b/>
        </w:rPr>
        <w:t>Clause Risk and Deviation Detection</w:t>
      </w:r>
      <w:r>
        <w:t>: 2/2 entities in this category (Casewell,</w:t>
      </w:r>
      <w:r>
        <w:t xml:space="preserve"> </w:t>
      </w:r>
      <w:r>
        <w:t>Clauseway)</w:t>
      </w:r>
    </w:p>
    <w:p>
      <w:pPr>
        <w:pStyle w:val="Heading3"/>
      </w:pPr>
      <w:r>
        <w:t>Legal Management System (LMS) Standards</w:t>
      </w:r>
    </w:p>
    <w:p>
      <w:pPr>
        <w:pStyle w:val="ListBullet"/>
      </w:pPr>
      <w:r/>
      <w:r>
        <w:rPr>
          <w:b/>
        </w:rPr>
        <w:t>Court Docketing and Deadline Extraction</w:t>
      </w:r>
      <w:r>
        <w:t>: 2/2 entities in this category (Matterly,</w:t>
      </w:r>
      <w:r>
        <w:t xml:space="preserve"> </w:t>
      </w:r>
      <w:r>
        <w:t>Docketra)</w:t>
      </w:r>
    </w:p>
    <w:p>
      <w:pPr>
        <w:pStyle w:val="Heading2"/>
      </w:pPr>
      <w:r>
        <w:t>Differentiating Features (&lt;30% adoption)</w:t>
      </w:r>
    </w:p>
    <w:p>
      <w:pPr>
        <w:pStyle w:val="Heading3"/>
      </w:pPr>
      <w:r>
        <w:t>Predictive Case Outcome Analytics — Casewell</w:t>
      </w:r>
    </w:p>
    <w:p>
      <w:pPr/>
      <w:r>
        <w:t>Evaluates historical case data to project litigation outcomes and surface operational</w:t>
      </w:r>
      <w:r>
        <w:t xml:space="preserve"> </w:t>
      </w:r>
      <w:r>
        <w:t>trends. Offered only by Casewell (1/4 entities, 25%).</w:t>
      </w:r>
    </w:p>
    <w:p>
      <w:pPr>
        <w:pStyle w:val="Heading3"/>
      </w:pPr>
      <w:r>
        <w:t>Agentic Matter Workflow Automation — Matterly</w:t>
      </w:r>
    </w:p>
    <w:p>
      <w:pPr/>
      <w:r>
        <w:t>Executes multi-step matter workflows across connected tools through an Application</w:t>
      </w:r>
      <w:r>
        <w:t xml:space="preserve"> </w:t>
      </w:r>
      <w:r>
        <w:t>Programming Interface (API) — for example, opening follow-up tasks after a filing</w:t>
      </w:r>
      <w:r>
        <w:t xml:space="preserve"> </w:t>
      </w:r>
      <w:r>
        <w:t>deadline and notifying the responsible attorney — under user-defined approval rules.</w:t>
      </w:r>
      <w:r>
        <w:t xml:space="preserve"> </w:t>
      </w:r>
      <w:r>
        <w:t>Offered only by Matterly (1/4 entities, 25%).</w:t>
      </w:r>
    </w:p>
    <w:p>
      <w:pPr>
        <w:pStyle w:val="Heading2"/>
      </w:pPr>
      <w:r>
        <w:t>Feature-by-Feature Deep Dive</w:t>
      </w:r>
    </w:p>
    <w:p>
      <w:pPr>
        <w:pStyle w:val="Heading3"/>
      </w:pPr>
      <w:r>
        <w:t>Conversational Document Querying</w:t>
      </w:r>
    </w:p>
    <w:p>
      <w:pPr>
        <w:pStyle w:val="ListBullet"/>
      </w:pPr>
      <w:r/>
      <w:r>
        <w:rPr>
          <w:b/>
        </w:rPr>
        <w:t>Description</w:t>
      </w:r>
      <w:r>
        <w:t>: Natural-language querying over uploaded case files and contracts,</w:t>
      </w:r>
      <w:r>
        <w:t xml:space="preserve"> </w:t>
      </w:r>
      <w:r>
        <w:t>with answers linked to source passages.</w:t>
      </w:r>
    </w:p>
    <w:p>
      <w:pPr>
        <w:pStyle w:val="ListBullet"/>
      </w:pPr>
      <w:r/>
      <w:r>
        <w:rPr>
          <w:b/>
        </w:rPr>
        <w:t>Adoption</w:t>
      </w:r>
      <w:r>
        <w:t>: 4/4 entities (100%)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Casewell: query interface inside the document viewer, with passage-level citations</w:t>
      </w:r>
    </w:p>
    <w:p>
      <w:pPr>
        <w:pStyle w:val="ListBullet2"/>
      </w:pPr>
      <w:r>
        <w:t>Clauseway: clause-level query presets for contract review, alongside free-text search</w:t>
      </w:r>
    </w:p>
    <w:p>
      <w:pPr>
        <w:pStyle w:val="ListBullet2"/>
      </w:pPr>
      <w:r>
        <w:t>Matterly: matter-workspace scope, indexing pleadings and correspondence together</w:t>
      </w:r>
    </w:p>
    <w:p>
      <w:pPr>
        <w:pStyle w:val="ListBullet2"/>
      </w:pPr>
      <w:r>
        <w:t>Docketra: mobile-first query flow tuned to short questions from courtrooms</w:t>
      </w:r>
    </w:p>
    <w:p>
      <w:pPr>
        <w:pStyle w:val="Heading3"/>
      </w:pPr>
      <w:r>
        <w:t>Document and Case Summarization</w:t>
      </w:r>
    </w:p>
    <w:p>
      <w:pPr>
        <w:pStyle w:val="ListBullet"/>
      </w:pPr>
      <w:r/>
      <w:r>
        <w:rPr>
          <w:b/>
        </w:rPr>
        <w:t>Description</w:t>
      </w:r>
      <w:r>
        <w:t>: Short factual briefs of lengthy documents with references to the</w:t>
      </w:r>
      <w:r>
        <w:t xml:space="preserve"> </w:t>
      </w:r>
      <w:r>
        <w:t>summarized passages.</w:t>
      </w:r>
    </w:p>
    <w:p>
      <w:pPr>
        <w:pStyle w:val="ListBullet"/>
      </w:pPr>
      <w:r/>
      <w:r>
        <w:rPr>
          <w:b/>
        </w:rPr>
        <w:t>Adoption</w:t>
      </w:r>
      <w:r>
        <w:t>: 3/4 entities (75%)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Casewell: per-document briefs with an adjustable length setting</w:t>
      </w:r>
    </w:p>
    <w:p>
      <w:pPr>
        <w:pStyle w:val="ListBullet2"/>
      </w:pPr>
      <w:r>
        <w:t>Clauseway: contract abstracts following a fixed clause checklist</w:t>
      </w:r>
    </w:p>
    <w:p>
      <w:pPr>
        <w:pStyle w:val="ListBullet2"/>
      </w:pPr>
      <w:r>
        <w:t>Matterly: matter-level synthesis that merges summaries across a case file</w:t>
      </w:r>
    </w:p>
    <w:p>
      <w:pPr>
        <w:pStyle w:val="Heading3"/>
      </w:pPr>
      <w:r>
        <w:t>Permission-Aware Access Controls</w:t>
      </w:r>
    </w:p>
    <w:p>
      <w:pPr>
        <w:pStyle w:val="ListBullet"/>
      </w:pPr>
      <w:r/>
      <w:r>
        <w:rPr>
          <w:b/>
        </w:rPr>
        <w:t>Description</w:t>
      </w:r>
      <w:r>
        <w:t>: AI output and document access aligned with RBAC settings and</w:t>
      </w:r>
      <w:r>
        <w:t xml:space="preserve"> </w:t>
      </w:r>
      <w:r>
        <w:t>confidentiality walls.</w:t>
      </w:r>
    </w:p>
    <w:p>
      <w:pPr>
        <w:pStyle w:val="ListBullet"/>
      </w:pPr>
      <w:r/>
      <w:r>
        <w:rPr>
          <w:b/>
        </w:rPr>
        <w:t>Adoption</w:t>
      </w:r>
      <w:r>
        <w:t>: 3/4 entities (75%)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Casewell: ethical-wall enforcement at the matter level</w:t>
      </w:r>
    </w:p>
    <w:p>
      <w:pPr>
        <w:pStyle w:val="ListBullet2"/>
      </w:pPr>
      <w:r>
        <w:t>Matterly: role-based response filtering, including inside shared workspaces</w:t>
      </w:r>
    </w:p>
    <w:p>
      <w:pPr>
        <w:pStyle w:val="ListBullet2"/>
      </w:pPr>
      <w:r>
        <w:t>Docketra: firm-wide permission inheritance from the calendar module</w:t>
      </w:r>
    </w:p>
    <w:p>
      <w:pPr>
        <w:pStyle w:val="Heading3"/>
      </w:pPr>
      <w:r>
        <w:t>Contract Metadata Extraction</w:t>
      </w:r>
    </w:p>
    <w:p>
      <w:pPr>
        <w:pStyle w:val="ListBullet"/>
      </w:pPr>
      <w:r/>
      <w:r>
        <w:rPr>
          <w:b/>
        </w:rPr>
        <w:t>Description</w:t>
      </w:r>
      <w:r>
        <w:t>: Pulls parties, dates, governing law, and payment milestones into</w:t>
      </w:r>
      <w:r>
        <w:t xml:space="preserve"> </w:t>
      </w:r>
      <w:r>
        <w:t>structured fields.</w:t>
      </w:r>
    </w:p>
    <w:p>
      <w:pPr>
        <w:pStyle w:val="ListBullet"/>
      </w:pPr>
      <w:r/>
      <w:r>
        <w:rPr>
          <w:b/>
        </w:rPr>
        <w:t>Adoption</w:t>
      </w:r>
      <w:r>
        <w:t>: 2/4 entities (50%)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Casewell: extraction into a customizable clause library</w:t>
      </w:r>
    </w:p>
    <w:p>
      <w:pPr>
        <w:pStyle w:val="ListBullet2"/>
      </w:pPr>
      <w:r>
        <w:t>Clauseway: extraction with a reviewer-confirmation queue before records are saved</w:t>
      </w:r>
    </w:p>
    <w:p>
      <w:pPr>
        <w:pStyle w:val="Heading3"/>
      </w:pPr>
      <w:r>
        <w:t>Clause Risk and Deviation Detection</w:t>
      </w:r>
    </w:p>
    <w:p>
      <w:pPr>
        <w:pStyle w:val="ListBullet"/>
      </w:pPr>
      <w:r/>
      <w:r>
        <w:rPr>
          <w:b/>
        </w:rPr>
        <w:t>Description</w:t>
      </w:r>
      <w:r>
        <w:t>: Flags provisions that deviate from organizational standards.</w:t>
      </w:r>
    </w:p>
    <w:p>
      <w:pPr>
        <w:pStyle w:val="ListBullet"/>
      </w:pPr>
      <w:r/>
      <w:r>
        <w:rPr>
          <w:b/>
        </w:rPr>
        <w:t>Adoption</w:t>
      </w:r>
      <w:r>
        <w:t>: 2/4 entities (50%)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Casewell: risk scoring against a user-maintained playbook</w:t>
      </w:r>
    </w:p>
    <w:p>
      <w:pPr>
        <w:pStyle w:val="ListBullet2"/>
      </w:pPr>
      <w:r>
        <w:t>Clauseway: deviation reporting benchmarked against previously executed agreements</w:t>
      </w:r>
    </w:p>
    <w:p>
      <w:pPr>
        <w:pStyle w:val="Heading3"/>
      </w:pPr>
      <w:r>
        <w:t>Court Docketing and Deadline Extraction</w:t>
      </w:r>
    </w:p>
    <w:p>
      <w:pPr>
        <w:pStyle w:val="ListBullet"/>
      </w:pPr>
      <w:r/>
      <w:r>
        <w:rPr>
          <w:b/>
        </w:rPr>
        <w:t>Description</w:t>
      </w:r>
      <w:r>
        <w:t>: Extracts hearing dates from court orders into litigation calendars,</w:t>
      </w:r>
      <w:r>
        <w:t xml:space="preserve"> </w:t>
      </w:r>
      <w:r>
        <w:t>with source-text verification.</w:t>
      </w:r>
    </w:p>
    <w:p>
      <w:pPr>
        <w:pStyle w:val="ListBullet"/>
      </w:pPr>
      <w:r/>
      <w:r>
        <w:rPr>
          <w:b/>
        </w:rPr>
        <w:t>Adoption</w:t>
      </w:r>
      <w:r>
        <w:t>: 2/4 entities (50%)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Matterly: deadline calculation rules by jurisdiction, with conflict warnings</w:t>
      </w:r>
    </w:p>
    <w:p>
      <w:pPr>
        <w:pStyle w:val="ListBullet2"/>
      </w:pPr>
      <w:r>
        <w:t>Docketra: side-by-side display of the extracted date and the source sentence</w:t>
      </w:r>
    </w:p>
    <w:p>
      <w:pPr>
        <w:pStyle w:val="Heading3"/>
      </w:pPr>
      <w:r>
        <w:t>Predictive Case Outcome Analytics</w:t>
      </w:r>
    </w:p>
    <w:p>
      <w:pPr>
        <w:pStyle w:val="ListBullet"/>
      </w:pPr>
      <w:r/>
      <w:r>
        <w:rPr>
          <w:b/>
        </w:rPr>
        <w:t>Description</w:t>
      </w:r>
      <w:r>
        <w:t>: Projects litigation outcomes and operational trends from historical</w:t>
      </w:r>
      <w:r>
        <w:t xml:space="preserve"> </w:t>
      </w:r>
      <w:r>
        <w:t>case data.</w:t>
      </w:r>
    </w:p>
    <w:p>
      <w:pPr>
        <w:pStyle w:val="ListBullet"/>
      </w:pPr>
      <w:r/>
      <w:r>
        <w:rPr>
          <w:b/>
        </w:rPr>
        <w:t>Adoption</w:t>
      </w:r>
      <w:r>
        <w:t>: 1/4 entities (25%)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Casewell: outcome projection per claim type, with historical trend charts</w:t>
      </w:r>
    </w:p>
    <w:p>
      <w:pPr>
        <w:pStyle w:val="Heading3"/>
      </w:pPr>
      <w:r>
        <w:t>Agentic Matter Workflow Automation</w:t>
      </w:r>
    </w:p>
    <w:p>
      <w:pPr>
        <w:pStyle w:val="ListBullet"/>
      </w:pPr>
      <w:r/>
      <w:r>
        <w:rPr>
          <w:b/>
        </w:rPr>
        <w:t>Description</w:t>
      </w:r>
      <w:r>
        <w:t>: Executes multi-step workflows across connected tools under</w:t>
      </w:r>
      <w:r>
        <w:t xml:space="preserve"> </w:t>
      </w:r>
      <w:r>
        <w:t>user-defined approval rules.</w:t>
      </w:r>
    </w:p>
    <w:p>
      <w:pPr>
        <w:pStyle w:val="ListBullet"/>
      </w:pPr>
      <w:r/>
      <w:r>
        <w:rPr>
          <w:b/>
        </w:rPr>
        <w:t>Adoption</w:t>
      </w:r>
      <w:r>
        <w:t>: 1/4 entities (25%)</w:t>
      </w:r>
    </w:p>
    <w:p>
      <w:pPr>
        <w:pStyle w:val="ListBullet"/>
      </w:pPr>
      <w:r/>
      <w:r>
        <w:rPr>
          <w:b/>
        </w:rPr>
        <w:t>Implementation Variations</w:t>
      </w:r>
      <w:r>
        <w:t>:</w:t>
      </w:r>
    </w:p>
    <w:p>
      <w:pPr>
        <w:pStyle w:val="ListBullet2"/>
      </w:pPr>
      <w:r>
        <w:t>Matterly: rule-based agent builder with required human approval before any action</w:t>
      </w:r>
      <w:r>
        <w:t xml:space="preserve"> </w:t>
      </w:r>
      <w:r>
        <w:t>that modifies data in a connected tool</w:t>
      </w:r>
    </w:p>
    <w:p>
      <w:pPr>
        <w:pStyle w:val="Heading2"/>
      </w:pPr>
      <w:r>
        <w:t>Entity Coverage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Casewell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Clauseway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Matterly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Docketra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Conversational Document Querying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Document and Case Summarization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Permission-Aware Access Controls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Contract Metadata Extraction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Clause Risk and Deviation Detection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✗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Court Docketing and Deadline Extraction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Predictive Case Outcome Analytics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✗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Agentic Matter Workflow Automation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✗</w:t>
            </w:r>
          </w:p>
        </w:tc>
      </w:tr>
    </w:tbl>
    <w:p>
      <w:pPr>
        <w:pStyle w:val="Heading2"/>
      </w:pPr>
      <w:r>
        <w:t>Pricing Comparison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Basic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Pro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</w:rPr>
              <w:t>Enterprise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Casewell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Per user/month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$12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$22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Custom quote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Clauseway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Per user/month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$9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$18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$28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Matterly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Flat monthly (normalized at 25 users)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$500/month (≈$20/user)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Not offered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</w:pPr>
            <w:r>
              <w:t>Custom quote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Docketra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Credits/month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$30 (100 credits)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$90 (350 credits)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line="240" w:lineRule="auto" w:before="40" w:after="40"/>
            </w:pPr>
            <w:r>
              <w:t>Custom quote</w:t>
            </w:r>
          </w:p>
        </w:tc>
      </w:tr>
    </w:tbl>
    <w:p>
      <w:pPr/>
      <w:r>
        <w:t>Normalization notes: Matterly prices are published as flat monthly fees; the figure</w:t>
      </w:r>
      <w:r>
        <w:t xml:space="preserve"> </w:t>
      </w:r>
      <w:r>
        <w:t>above is normalized to a 25-user firm for comparison. Docketra consumes credits for AI</w:t>
      </w:r>
      <w:r>
        <w:t xml:space="preserve"> </w:t>
      </w:r>
      <w:r>
        <w:t>actions (queries, extractions) rather than gating features by tier. Clauseway is the</w:t>
      </w:r>
      <w:r>
        <w:t xml:space="preserve"> </w:t>
      </w:r>
      <w:r>
        <w:t>only entity that publishes every tier publicly; three of the four entities require a</w:t>
      </w:r>
      <w:r>
        <w:t xml:space="preserve"> </w:t>
      </w:r>
      <w:r>
        <w:t>custom quote for at least one tier. All figures verified against the pricing sources</w:t>
      </w:r>
      <w:r>
        <w:t xml:space="preserve"> </w:t>
      </w:r>
      <w:r>
        <w:t>in August 2026.</w:t>
      </w:r>
    </w:p>
    <w:p>
      <w:pPr>
        <w:pStyle w:val="Heading2"/>
      </w:pPr>
      <w:r>
        <w:t>Gaps &amp; Opportunities</w:t>
      </w:r>
    </w:p>
    <w:p>
      <w:pPr>
        <w:pStyle w:val="ListBullet"/>
      </w:pPr>
      <w:r/>
      <w:r>
        <w:rPr>
          <w:b/>
        </w:rPr>
        <w:t>Private-model and on-premises deployment</w:t>
      </w:r>
      <w:r>
        <w:t>: none of the four entities documents an</w:t>
      </w:r>
      <w:r>
        <w:t xml:space="preserve"> </w:t>
      </w:r>
      <w:r>
        <w:t>option to run its AI features against privately hosted models — an unmet need for</w:t>
      </w:r>
      <w:r>
        <w:t xml:space="preserve"> </w:t>
      </w:r>
      <w:r>
        <w:t>firms and legal departments with client-confidentiality or data-residency</w:t>
      </w:r>
      <w:r>
        <w:t xml:space="preserve"> </w:t>
      </w:r>
      <w:r>
        <w:t>constraints.</w:t>
      </w:r>
    </w:p>
    <w:p>
      <w:pPr>
        <w:pStyle w:val="ListBullet"/>
      </w:pPr>
      <w:r/>
      <w:r>
        <w:rPr>
          <w:b/>
        </w:rPr>
        <w:t>Audit trails for AI-generated output</w:t>
      </w:r>
      <w:r>
        <w:t>: no entity documents a reviewable log of</w:t>
      </w:r>
      <w:r>
        <w:t xml:space="preserve"> </w:t>
      </w:r>
      <w:r>
        <w:t>AI-generated suggestions (extracted clauses, drafted summaries, agent actions) — a</w:t>
      </w:r>
      <w:r>
        <w:t xml:space="preserve"> </w:t>
      </w:r>
      <w:r>
        <w:t>white space for accountability-sensitive buyers.</w:t>
      </w:r>
    </w:p>
    <w:p>
      <w:pPr>
        <w:pStyle w:val="ListBullet"/>
      </w:pPr>
      <w:r/>
      <w:r>
        <w:rPr>
          <w:b/>
        </w:rPr>
        <w:t>Validation transparency</w:t>
      </w:r>
      <w:r>
        <w:t>: analytical capabilities such as Predictive Case Outcome</w:t>
      </w:r>
      <w:r>
        <w:t xml:space="preserve"> </w:t>
      </w:r>
      <w:r>
        <w:t>Analytics are offered without a published validation methodology, leaving buyers no</w:t>
      </w:r>
      <w:r>
        <w:t xml:space="preserve"> </w:t>
      </w:r>
      <w:r>
        <w:t>basis to compare accuracy claims across entities.</w:t>
      </w:r>
    </w:p>
    <w:p>
      <w:pPr>
        <w:pStyle w:val="Heading2"/>
      </w:pPr>
      <w:r>
        <w:t>References</w:t>
      </w:r>
    </w:p>
    <w:p>
      <w:pPr>
        <w:pStyle w:val="Heading3"/>
      </w:pPr>
      <w:r>
        <w:t>Casewell</w:t>
      </w:r>
    </w:p>
    <w:p>
      <w:pPr>
        <w:pStyle w:val="ListBullet"/>
      </w:pPr>
      <w:r>
        <w:t xml:space="preserve">Product documentation — AI features and clause library: </w:t>
      </w:r>
      <w:hyperlink r:id="rId9">
        <w:r>
          <w:rPr>
            <w:color w:val="1B3A5C"/>
            <w:u w:val="single"/>
          </w:rPr>
          <w:t xml:space="preserve">https://www.casewell.example/docs</w:t>
        </w:r>
      </w:hyperlink>
    </w:p>
    <w:p>
      <w:pPr>
        <w:pStyle w:val="ListBullet"/>
      </w:pPr>
      <w:r>
        <w:t xml:space="preserve">Pricing page (verified August 2026): </w:t>
      </w:r>
      <w:hyperlink r:id="rId10">
        <w:r>
          <w:rPr>
            <w:color w:val="1B3A5C"/>
            <w:u w:val="single"/>
          </w:rPr>
          <w:t xml:space="preserve">https://www.casewell.example/pricing</w:t>
        </w:r>
      </w:hyperlink>
    </w:p>
    <w:p>
      <w:pPr>
        <w:pStyle w:val="Heading3"/>
      </w:pPr>
      <w:r>
        <w:t>Clauseway</w:t>
      </w:r>
    </w:p>
    <w:p>
      <w:pPr>
        <w:pStyle w:val="ListBullet"/>
      </w:pPr>
      <w:r>
        <w:t xml:space="preserve">Product documentation — contract review and deviation reporting: </w:t>
      </w:r>
      <w:hyperlink r:id="rId11">
        <w:r>
          <w:rPr>
            <w:color w:val="1B3A5C"/>
            <w:u w:val="single"/>
          </w:rPr>
          <w:t xml:space="preserve">https://www.clauseway.example/docs</w:t>
        </w:r>
      </w:hyperlink>
    </w:p>
    <w:p>
      <w:pPr>
        <w:pStyle w:val="ListBullet"/>
      </w:pPr>
      <w:r>
        <w:t xml:space="preserve">Pricing page (verified August 2026): </w:t>
      </w:r>
      <w:hyperlink r:id="rId12">
        <w:r>
          <w:rPr>
            <w:color w:val="1B3A5C"/>
            <w:u w:val="single"/>
          </w:rPr>
          <w:t xml:space="preserve">https://www.clauseway.example/pricing</w:t>
        </w:r>
      </w:hyperlink>
    </w:p>
    <w:p>
      <w:pPr>
        <w:pStyle w:val="Heading3"/>
      </w:pPr>
      <w:r>
        <w:t>Matterly</w:t>
      </w:r>
    </w:p>
    <w:p>
      <w:pPr>
        <w:pStyle w:val="ListBullet"/>
      </w:pPr>
      <w:r>
        <w:t xml:space="preserve">Product documentation — matter workspaces and agents: </w:t>
      </w:r>
      <w:hyperlink r:id="rId13">
        <w:r>
          <w:rPr>
            <w:color w:val="1B3A5C"/>
            <w:u w:val="single"/>
          </w:rPr>
          <w:t xml:space="preserve">https://www.matterly.example/docs</w:t>
        </w:r>
      </w:hyperlink>
    </w:p>
    <w:p>
      <w:pPr>
        <w:pStyle w:val="ListBullet"/>
      </w:pPr>
      <w:r>
        <w:t xml:space="preserve">Pricing page (verified August 2026): </w:t>
      </w:r>
      <w:hyperlink r:id="rId14">
        <w:r>
          <w:rPr>
            <w:color w:val="1B3A5C"/>
            <w:u w:val="single"/>
          </w:rPr>
          <w:t xml:space="preserve">https://www.matterly.example/pricing</w:t>
        </w:r>
      </w:hyperlink>
    </w:p>
    <w:p>
      <w:pPr>
        <w:pStyle w:val="Heading3"/>
      </w:pPr>
      <w:r>
        <w:t>Docketra</w:t>
      </w:r>
    </w:p>
    <w:p>
      <w:pPr>
        <w:pStyle w:val="ListBullet"/>
      </w:pPr>
      <w:r>
        <w:t xml:space="preserve">Product documentation — docketing and mobile query flow: </w:t>
      </w:r>
      <w:hyperlink r:id="rId15">
        <w:r>
          <w:rPr>
            <w:color w:val="1B3A5C"/>
            <w:u w:val="single"/>
          </w:rPr>
          <w:t xml:space="preserve">https://www.docketra.example/docs</w:t>
        </w:r>
      </w:hyperlink>
    </w:p>
    <w:p>
      <w:pPr>
        <w:pStyle w:val="ListBullet"/>
      </w:pPr>
      <w:r>
        <w:t xml:space="preserve">Pricing page (verified August 2026): </w:t>
      </w:r>
      <w:hyperlink r:id="rId16">
        <w:r>
          <w:rPr>
            <w:color w:val="1B3A5C"/>
            <w:u w:val="single"/>
          </w:rPr>
          <w:t xml:space="preserve">https://www.docketra.example/pricing</w:t>
        </w:r>
      </w:hyperlink>
    </w:p>
    <w:p>
      <w:pPr>
        <w:pStyle w:val="Heading3"/>
      </w:pPr>
      <w:r>
        <w:t>Comparison and Community Sources</w:t>
      </w:r>
    </w:p>
    <w:p>
      <w:pPr>
        <w:pStyle w:val="ListBullet"/>
      </w:pPr>
      <w:r>
        <w:t xml:space="preserve">Independent comparison article on AI features in legal management systems: </w:t>
      </w:r>
      <w:hyperlink r:id="rId17">
        <w:r>
          <w:rPr>
            <w:color w:val="1B3A5C"/>
            <w:u w:val="single"/>
          </w:rPr>
          <w:t xml:space="preserve">https://www.legaltechreviews.example/articles/ai-features-2026</w:t>
        </w:r>
      </w:hyperlink>
    </w:p>
    <w:p>
      <w:pPr>
        <w:pStyle w:val="ListBullet"/>
      </w:pPr>
      <w:r>
        <w:t xml:space="preserve">Practitioner forum thread on docketing automation: </w:t>
      </w:r>
      <w:hyperlink r:id="rId18">
        <w:r>
          <w:rPr>
            <w:color w:val="1B3A5C"/>
            <w:u w:val="single"/>
          </w:rPr>
          <w:t xml:space="preserve">https://forum.legalpractice.example/threads/docketing-automation</w:t>
        </w:r>
      </w:hyperlink>
    </w:p>
    <w:p>
      <w:pPr>
        <w:pStyle w:val="Quote"/>
      </w:pPr>
      <w:r/>
      <w:r>
        <w:rPr>
          <w:b/>
        </w:rPr>
        <w:t>Fictional-content note</w:t>
      </w:r>
      <w:r>
        <w:t>: every entity, feature, price, and URL in this sample is</w:t>
      </w:r>
      <w:r>
        <w:t xml:space="preserve"> </w:t>
      </w:r>
      <w:r>
        <w:t xml:space="preserve">invented for demonstration purposes. The </w:t>
      </w:r>
      <w:r>
        <w:rPr>
          <w:rFonts w:ascii="Consolas" w:hAnsi="Consolas"/>
          <w:sz w:val="20"/>
          <w:shd w:val="clear" w:color="auto" w:fill="F2F2F2"/>
        </w:rPr>
        <w:t>.example</w:t>
      </w:r>
      <w:r>
        <w:t xml:space="preserve"> top-level domain is reserved for</w:t>
      </w:r>
      <w:r>
        <w:t xml:space="preserve"> </w:t>
      </w:r>
      <w:r>
        <w:t>documentation and cannot resolve to a real site. The capability set mirrors the</w:t>
      </w:r>
      <w:r>
        <w:t xml:space="preserve"> </w:t>
      </w:r>
      <w:r>
        <w:t>structure of a legal-AI feature analysis (universal standards, CLM and LMS category</w:t>
      </w:r>
      <w:r>
        <w:t xml:space="preserve"> </w:t>
      </w:r>
      <w:r>
        <w:t>standards, differentiators) so the sample doubles as a domain reference.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20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 w:eastAsia="Calibri" w:cs="Calibri"/>
      <w:b/>
      <w:bCs/>
      <w:color w:val="1B3A5C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eastAsia="Calibri" w:cs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 w:eastAsia="Calibri" w:cs="Calibri"/>
      <w:b/>
      <w:bCs/>
      <w:color w:val="1B3A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Calibri" w:hAnsi="Calibri" w:eastAsia="Calibri" w:cs="Calibri"/>
      <w:b/>
      <w:bCs/>
      <w:i/>
      <w:iCs/>
      <w:color w:val="1B3A5C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="Calibri" w:hAnsi="Calibri" w:eastAsia="Calibri" w:cs="Calibri"/>
      <w:b/>
      <w:color w:val="1B3A5C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="Calibri" w:hAnsi="Calibri" w:eastAsia="Calibri" w:cs="Calibri"/>
      <w:b/>
      <w:i/>
      <w:iCs/>
      <w:color w:val="1B3A5C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sewell.example/docs" TargetMode="External"/><Relationship Id="rId10" Type="http://schemas.openxmlformats.org/officeDocument/2006/relationships/hyperlink" Target="https://www.casewell.example/pricing" TargetMode="External"/><Relationship Id="rId11" Type="http://schemas.openxmlformats.org/officeDocument/2006/relationships/hyperlink" Target="https://www.clauseway.example/docs" TargetMode="External"/><Relationship Id="rId12" Type="http://schemas.openxmlformats.org/officeDocument/2006/relationships/hyperlink" Target="https://www.clauseway.example/pricing" TargetMode="External"/><Relationship Id="rId13" Type="http://schemas.openxmlformats.org/officeDocument/2006/relationships/hyperlink" Target="https://www.matterly.example/docs" TargetMode="External"/><Relationship Id="rId14" Type="http://schemas.openxmlformats.org/officeDocument/2006/relationships/hyperlink" Target="https://www.matterly.example/pricing" TargetMode="External"/><Relationship Id="rId15" Type="http://schemas.openxmlformats.org/officeDocument/2006/relationships/hyperlink" Target="https://www.docketra.example/docs" TargetMode="External"/><Relationship Id="rId16" Type="http://schemas.openxmlformats.org/officeDocument/2006/relationships/hyperlink" Target="https://www.docketra.example/pricing" TargetMode="External"/><Relationship Id="rId17" Type="http://schemas.openxmlformats.org/officeDocument/2006/relationships/hyperlink" Target="https://www.legaltechreviews.example/articles/ai-features-2026" TargetMode="External"/><Relationship Id="rId18" Type="http://schemas.openxmlformats.org/officeDocument/2006/relationships/hyperlink" Target="https://forum.legalpractice.example/threads/docketing-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