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left"/>
      </w:pPr>
      <w:r>
        <w:rPr>
          <w:rFonts w:ascii="Calibri" w:cs="Calibri" w:eastAsia="Calibri" w:hAnsi="Calibri"/>
          <w:color w:val="6B7280"/>
          <w:sz w:val="22"/>
          <w:szCs w:val="22"/>
        </w:rPr>
        <w:t xml:space="preserve">[PD-Internal]</w:t>
      </w:r>
    </w:p>
    <w:p>
      <w:pPr>
        <w:spacing w:after="40"/>
      </w:pPr>
      <w:r>
        <w:rPr>
          <w:rFonts w:ascii="Calibri" w:cs="Calibri" w:eastAsia="Calibri" w:hAnsi="Calibri"/>
          <w:b/>
          <w:bCs/>
          <w:color w:val="1F4A3F"/>
          <w:sz w:val="56"/>
          <w:szCs w:val="56"/>
        </w:rPr>
        <w:t xml:space="preserve">Ultima Markets (UM)</w:t>
      </w:r>
    </w:p>
    <w:p>
      <w:pPr>
        <w:spacing w:after="300"/>
      </w:pPr>
      <w:r>
        <w:rPr>
          <w:rFonts w:ascii="Calibri" w:cs="Calibri" w:eastAsia="Calibri" w:hAnsi="Calibri"/>
          <w:b/>
          <w:bCs/>
          <w:color w:val="1A1A1A"/>
          <w:sz w:val="40"/>
          <w:szCs w:val="40"/>
        </w:rPr>
        <w:t xml:space="preserve">Brand In-Depth Understanding</w:t>
      </w:r>
    </w:p>
    <w:p>
      <w:pPr>
        <w:pBdr>
          <w:bottom w:val="single" w:color="1F4A3F" w:sz="12"/>
        </w:pBdr>
        <w:spacing w:after="240"/>
      </w:pPr>
    </w:p>
    <w:p>
      <w:pPr>
        <w:spacing w:after="120" w:line="276"/>
      </w:pPr>
      <w:r>
        <w:rPr>
          <w:rFonts w:ascii="Calibri" w:cs="Calibri" w:eastAsia="Calibri" w:hAnsi="Calibri"/>
          <w:i/>
          <w:iCs/>
          <w:color w:val="6B7280"/>
          <w:sz w:val="22"/>
          <w:szCs w:val="22"/>
        </w:rPr>
        <w:t xml:space="preserve">Decision-grade brand documentation prepared so a colleague unfamiliar with Ultima Markets can grasp the full picture and hold an informed conversation.</w:t>
      </w:r>
    </w:p>
    <w:p>
      <w:pPr>
        <w:spacing w:after="200"/>
      </w:pPr>
    </w:p>
    <w:p>
      <w:pPr>
        <w:spacing w:after="120" w:line="276"/>
      </w:pPr>
      <w:r>
        <w:rPr>
          <w:rFonts w:ascii="Calibri" w:cs="Calibri" w:eastAsia="Calibri" w:hAnsi="Calibri"/>
          <w:b/>
          <w:bCs/>
          <w:color w:val="1A1A1A"/>
          <w:sz w:val="20"/>
          <w:szCs w:val="20"/>
        </w:rPr>
        <w:t xml:space="preserve">Future Person In Charge:  </w:t>
      </w:r>
      <w:r>
        <w:rPr>
          <w:rFonts w:ascii="Calibri" w:cs="Calibri" w:eastAsia="Calibri" w:hAnsi="Calibri"/>
          <w:color w:val="1A1A1A"/>
          <w:sz w:val="20"/>
          <w:szCs w:val="20"/>
        </w:rPr>
        <w:t xml:space="preserve">Adam Foo (PD – Product Manager)</w:t>
      </w:r>
    </w:p>
    <w:p>
      <w:pPr>
        <w:spacing w:after="120" w:line="276"/>
      </w:pPr>
      <w:r>
        <w:rPr>
          <w:rFonts w:ascii="Calibri" w:cs="Calibri" w:eastAsia="Calibri" w:hAnsi="Calibri"/>
          <w:b/>
          <w:bCs/>
          <w:color w:val="1A1A1A"/>
          <w:sz w:val="20"/>
          <w:szCs w:val="20"/>
        </w:rPr>
        <w:t xml:space="preserve">Audience:  </w:t>
      </w:r>
      <w:r>
        <w:rPr>
          <w:rFonts w:ascii="Calibri" w:cs="Calibri" w:eastAsia="Calibri" w:hAnsi="Calibri"/>
          <w:color w:val="1A1A1A"/>
          <w:sz w:val="20"/>
          <w:szCs w:val="20"/>
        </w:rPr>
        <w:t xml:space="preserve">Head of Product → then shared and discussed with Karlos and Cathy</w:t>
      </w:r>
    </w:p>
    <w:p>
      <w:pPr>
        <w:spacing w:after="120" w:line="276"/>
      </w:pPr>
      <w:r>
        <w:rPr>
          <w:rFonts w:ascii="Calibri" w:cs="Calibri" w:eastAsia="Calibri" w:hAnsi="Calibri"/>
          <w:b/>
          <w:bCs/>
          <w:color w:val="1A1A1A"/>
          <w:sz w:val="20"/>
          <w:szCs w:val="20"/>
        </w:rPr>
        <w:t xml:space="preserve">Status:  </w:t>
      </w:r>
      <w:r>
        <w:rPr>
          <w:rFonts w:ascii="Calibri" w:cs="Calibri" w:eastAsia="Calibri" w:hAnsi="Calibri"/>
          <w:color w:val="1A1A1A"/>
          <w:sz w:val="20"/>
          <w:szCs w:val="20"/>
        </w:rPr>
        <w:t xml:space="preserve">Draft v1.0 — internal, confidential</w:t>
      </w:r>
    </w:p>
    <w:p>
      <w:pPr>
        <w:spacing w:after="120" w:line="276"/>
      </w:pPr>
      <w:r>
        <w:rPr>
          <w:rFonts w:ascii="Calibri" w:cs="Calibri" w:eastAsia="Calibri" w:hAnsi="Calibri"/>
          <w:b/>
          <w:bCs/>
          <w:color w:val="1A1A1A"/>
          <w:sz w:val="20"/>
          <w:szCs w:val="20"/>
        </w:rPr>
        <w:t xml:space="preserve">Date:  </w:t>
      </w:r>
      <w:r>
        <w:rPr>
          <w:rFonts w:ascii="Calibri" w:cs="Calibri" w:eastAsia="Calibri" w:hAnsi="Calibri"/>
          <w:color w:val="1A1A1A"/>
          <w:sz w:val="20"/>
          <w:szCs w:val="20"/>
        </w:rPr>
        <w:t xml:space="preserve">July 2026</w:t>
      </w:r>
    </w:p>
    <w:p>
      <w:pPr>
        <w:spacing w:after="240"/>
      </w:pPr>
    </w:p>
    <w:p>
      <w:pPr>
        <w:pBdr>
          <w:left w:val="single" w:color="92400E" w:sz="18"/>
        </w:pBdr>
        <w:shd w:fill="FFF7ED" w:color="auto" w:val="clear"/>
        <w:spacing w:after="120" w:before="120"/>
      </w:pPr>
      <w:r>
        <w:rPr>
          <w:rFonts w:ascii="Calibri" w:cs="Calibri" w:eastAsia="Calibri" w:hAnsi="Calibri"/>
          <w:b/>
          <w:bCs/>
          <w:color w:val="92400E"/>
          <w:sz w:val="18"/>
          <w:szCs w:val="18"/>
        </w:rPr>
        <w:t xml:space="preserve">  Handling note: </w:t>
      </w:r>
      <w:r>
        <w:rPr>
          <w:rFonts w:ascii="Calibri" w:cs="Calibri" w:eastAsia="Calibri" w:hAnsi="Calibri"/>
          <w:color w:val="92400E"/>
          <w:sz w:val="18"/>
          <w:szCs w:val="18"/>
        </w:rPr>
        <w:t xml:space="preserve">This document contains confidential internal figures (DPM, PNL, rebate economics, client geography). Per workspace data rules, amounts/process are retained; no client identity fields are included. Internal figures come from the UM monthly reports and group config/org sheets; public facts (licences, ownership, reputation, sponsorships) are drawn from Ultima's official site, the FCA/FSCA/CySEC registers (via WikiFX/Myfxbook), Finance Magnates and broker-review sites — see Sources appendix. Items still needing internal confirmation are flagged inline as [INTERNAL — to confirm].</w:t>
      </w:r>
    </w:p>
    <w:p>
      <w:r>
        <w:br w:type="page"/>
      </w:r>
    </w:p>
    <w:p>
      <w:pPr>
        <w:pStyle w:val="Heading1"/>
        <w:spacing w:after="140" w:before="320"/>
      </w:pPr>
      <w:r>
        <w:rPr>
          <w:rFonts w:ascii="Calibri" w:cs="Calibri" w:eastAsia="Calibri" w:hAnsi="Calibri"/>
          <w:b/>
          <w:bCs/>
          <w:color w:val="1F4A3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F4A3F"/>
          <w:sz w:val="30"/>
          <w:szCs w:val="30"/>
        </w:rPr>
        <w:t xml:space="preserve">Executive Summary</w:t>
      </w:r>
    </w:p>
    <w:p>
      <w:pPr>
        <w:spacing w:after="120" w:line="276"/>
      </w:pPr>
      <w:r>
        <w:rPr>
          <w:rFonts w:ascii="Calibri" w:cs="Calibri" w:eastAsia="Calibri" w:hAnsi="Calibri"/>
          <w:color w:val="1A1A1A"/>
          <w:sz w:val="20"/>
          <w:szCs w:val="20"/>
        </w:rPr>
        <w:t xml:space="preserve">Ultima Markets (UM) is a multi-asset CFD broker and one brand within a larger multi-brand group that also operates Vantage (GS/APAC/ASIC/FCA), VT, PU, Moneta, Star, VTJ, UMJ and Bybit. </w:t>
      </w:r>
      <w:r>
        <w:rPr>
          <w:rFonts w:ascii="Calibri" w:cs="Calibri" w:eastAsia="Calibri" w:hAnsi="Calibri"/>
          <w:color w:val="1A1A1A"/>
          <w:sz w:val="20"/>
          <w:szCs w:val="20"/>
        </w:rPr>
        <w:t xml:space="preserve">UM's book is overwhelmingly concentrated in precious metals: in June 2026, metals made up ~92% of trading volume and ~93% of net company PNL, with crypto punching far above its weight (~3% of volume but ~23% of PNL). Forex was the month's only loss-making segment. By country, volume is led by China (20%), Malaysia (17%), Italy (16%), Indonesia (10%) and Hong Kong (6%).</w:t>
      </w:r>
    </w:p>
    <w:p>
      <w:pPr>
        <w:spacing w:after="120" w:line="276"/>
      </w:pPr>
      <w:r>
        <w:rPr>
          <w:rFonts w:ascii="Calibri" w:cs="Calibri" w:eastAsia="Calibri" w:hAnsi="Calibri"/>
          <w:color w:val="1A1A1A"/>
          <w:sz w:val="20"/>
          <w:szCs w:val="20"/>
        </w:rPr>
        <w:t xml:space="preserve">The brand's commercial edge is a low-spread, IB-driven model. Its most active near-term programs are the </w:t>
      </w:r>
      <w:r>
        <w:rPr>
          <w:rFonts w:ascii="Calibri" w:cs="Calibri" w:eastAsia="Calibri" w:hAnsi="Calibri"/>
          <w:b/>
          <w:bCs/>
          <w:color w:val="1A1A1A"/>
          <w:sz w:val="20"/>
          <w:szCs w:val="20"/>
        </w:rPr>
        <w:t xml:space="preserve">FCA onshore go-live</w:t>
      </w:r>
      <w:r>
        <w:rPr>
          <w:rFonts w:ascii="Calibri" w:cs="Calibri" w:eastAsia="Calibri" w:hAnsi="Calibri"/>
          <w:color w:val="1A1A1A"/>
          <w:sz w:val="20"/>
          <w:szCs w:val="20"/>
        </w:rPr>
        <w:t xml:space="preserve"> (Phase 1 live 22 June 2026, ahead of schedule), the </w:t>
      </w:r>
      <w:r>
        <w:rPr>
          <w:rFonts w:ascii="Calibri" w:cs="Calibri" w:eastAsia="Calibri" w:hAnsi="Calibri"/>
          <w:b/>
          <w:bCs/>
          <w:color w:val="1A1A1A"/>
          <w:sz w:val="20"/>
          <w:szCs w:val="20"/>
        </w:rPr>
        <w:t xml:space="preserve">"UM Exness-ification" Ultimate account initiative</w:t>
      </w:r>
      <w:r>
        <w:rPr>
          <w:rFonts w:ascii="Calibri" w:cs="Calibri" w:eastAsia="Calibri" w:hAnsi="Calibri"/>
          <w:color w:val="1A1A1A"/>
          <w:sz w:val="20"/>
          <w:szCs w:val="20"/>
        </w:rPr>
        <w:t xml:space="preserve"> (Top-22 product spread optimisation, live in the 5 UMJ countries only, Top-22 tier suspended pending sign-off), the </w:t>
      </w:r>
      <w:r>
        <w:rPr>
          <w:rFonts w:ascii="Calibri" w:cs="Calibri" w:eastAsia="Calibri" w:hAnsi="Calibri"/>
          <w:b/>
          <w:bCs/>
          <w:color w:val="1A1A1A"/>
          <w:sz w:val="20"/>
          <w:szCs w:val="20"/>
        </w:rPr>
        <w:t xml:space="preserve">Loyalty Program</w:t>
      </w:r>
      <w:r>
        <w:rPr>
          <w:rFonts w:ascii="Calibri" w:cs="Calibri" w:eastAsia="Calibri" w:hAnsi="Calibri"/>
          <w:color w:val="1A1A1A"/>
          <w:sz w:val="20"/>
          <w:szCs w:val="20"/>
        </w:rPr>
        <w:t xml:space="preserve"> (3-tier, targeting 21 July 2026), the new </w:t>
      </w:r>
      <w:r>
        <w:rPr>
          <w:rFonts w:ascii="Calibri" w:cs="Calibri" w:eastAsia="Calibri" w:hAnsi="Calibri"/>
          <w:b/>
          <w:bCs/>
          <w:color w:val="1A1A1A"/>
          <w:sz w:val="20"/>
          <w:szCs w:val="20"/>
        </w:rPr>
        <w:t xml:space="preserve">5/24 &amp; 7/24 US-stock launch</w:t>
      </w:r>
      <w:r>
        <w:rPr>
          <w:rFonts w:ascii="Calibri" w:cs="Calibri" w:eastAsia="Calibri" w:hAnsi="Calibri"/>
          <w:color w:val="1A1A1A"/>
          <w:sz w:val="20"/>
          <w:szCs w:val="20"/>
        </w:rPr>
        <w:t xml:space="preserve"> (22 / 27 July), and </w:t>
      </w:r>
      <w:r>
        <w:rPr>
          <w:rFonts w:ascii="Calibri" w:cs="Calibri" w:eastAsia="Calibri" w:hAnsi="Calibri"/>
          <w:b/>
          <w:bCs/>
          <w:color w:val="1A1A1A"/>
          <w:sz w:val="20"/>
          <w:szCs w:val="20"/>
        </w:rPr>
        <w:t xml:space="preserve">Synthetic Product 1.0</w:t>
      </w:r>
      <w:r>
        <w:rPr>
          <w:rFonts w:ascii="Calibri" w:cs="Calibri" w:eastAsia="Calibri" w:hAnsi="Calibri"/>
          <w:color w:val="1A1A1A"/>
          <w:sz w:val="20"/>
          <w:szCs w:val="20"/>
        </w:rPr>
        <w:t xml:space="preserve"> — now </w:t>
      </w:r>
      <w:r>
        <w:rPr>
          <w:rFonts w:ascii="Calibri" w:cs="Calibri" w:eastAsia="Calibri" w:hAnsi="Calibri"/>
          <w:b/>
          <w:bCs/>
          <w:color w:val="1A1A1A"/>
          <w:sz w:val="20"/>
          <w:szCs w:val="20"/>
        </w:rPr>
        <w:t xml:space="preserve">on hold (暫緩)</w:t>
      </w:r>
      <w:r>
        <w:rPr>
          <w:rFonts w:ascii="Calibri" w:cs="Calibri" w:eastAsia="Calibri" w:hAnsi="Calibri"/>
          <w:color w:val="1A1A1A"/>
          <w:sz w:val="20"/>
          <w:szCs w:val="20"/>
        </w:rPr>
        <w:t xml:space="preserve">, a Vantage-model replication of 18 synthetic-index products (rebate up to UM's max 40%).</w:t>
      </w:r>
    </w:p>
    <w:p>
      <w:pPr>
        <w:spacing w:after="120" w:line="276"/>
      </w:pPr>
      <w:r>
        <w:rPr>
          <w:rFonts w:ascii="Calibri" w:cs="Calibri" w:eastAsia="Calibri" w:hAnsi="Calibri"/>
          <w:color w:val="1A1A1A"/>
          <w:sz w:val="20"/>
          <w:szCs w:val="20"/>
        </w:rPr>
        <w:t xml:space="preserve">Open questions for the Karlos/Cathy session concentrate on external verification (full licence/entity map, ownership, reputation). Internal economics are now better covered: the June report supplies a full Net RFR DPM table (Section 4). Remaining internal gaps are the precise UMJ rebate mechanics and per-country revenue (vs. volume). These are flagged throughout and summarised in the briefing at the end.</w:t>
      </w:r>
    </w:p>
    <w:p>
      <w:r>
        <w:br w:type="page"/>
      </w:r>
    </w:p>
    <w:p>
      <w:pPr>
        <w:pStyle w:val="Heading1"/>
        <w:spacing w:after="140" w:before="320"/>
      </w:pPr>
      <w:r>
        <w:rPr>
          <w:rFonts w:ascii="Calibri" w:cs="Calibri" w:eastAsia="Calibri" w:hAnsi="Calibri"/>
          <w:b/>
          <w:bCs/>
          <w:color w:val="1F4A3F"/>
          <w:sz w:val="30"/>
          <w:szCs w:val="30"/>
        </w:rPr>
        <w:t xml:space="preserve">1. Brand Basic Information</w:t>
      </w:r>
    </w:p>
    <w:p>
      <w:pPr>
        <w:pStyle w:val="Heading2"/>
        <w:spacing w:after="90" w:before="220"/>
      </w:pPr>
      <w:r>
        <w:rPr>
          <w:rFonts w:ascii="Calibri" w:cs="Calibri" w:eastAsia="Calibri" w:hAnsi="Calibri"/>
          <w:b/>
          <w:bCs/>
          <w:color w:val="1A1A1A"/>
          <w:sz w:val="24"/>
          <w:szCs w:val="24"/>
        </w:rPr>
        <w:t xml:space="preserve">1.A  Markets &amp; regions served</w:t>
      </w:r>
    </w:p>
    <w:p>
      <w:pPr>
        <w:pStyle w:val="ListParagraph"/>
        <w:numPr>
          <w:ilvl w:val="0"/>
          <w:numId w:val="2"/>
        </w:numPr>
        <w:spacing w:after="70" w:line="268"/>
      </w:pPr>
      <w:r>
        <w:rPr>
          <w:rFonts w:ascii="Calibri" w:cs="Calibri" w:eastAsia="Calibri" w:hAnsi="Calibri"/>
          <w:b/>
          <w:bCs/>
          <w:color w:val="1A1A1A"/>
          <w:sz w:val="20"/>
          <w:szCs w:val="20"/>
        </w:rPr>
        <w:t xml:space="preserve">Core reported geography (internal brand-detail sheet): </w:t>
      </w:r>
      <w:r>
        <w:rPr>
          <w:rFonts w:ascii="Calibri" w:cs="Calibri" w:eastAsia="Calibri" w:hAnsi="Calibri"/>
          <w:color w:val="1A1A1A"/>
          <w:sz w:val="20"/>
          <w:szCs w:val="20"/>
        </w:rPr>
        <w:t xml:space="preserve">Europe / South-East Asia ("歐洲/東南亞"), managed under the single "UM" internal boss/owner line.</w:t>
      </w:r>
    </w:p>
    <w:p>
      <w:pPr>
        <w:pStyle w:val="ListParagraph"/>
        <w:numPr>
          <w:ilvl w:val="0"/>
          <w:numId w:val="2"/>
        </w:numPr>
        <w:spacing w:after="70" w:line="268"/>
      </w:pPr>
      <w:r>
        <w:rPr>
          <w:rFonts w:ascii="Calibri" w:cs="Calibri" w:eastAsia="Calibri" w:hAnsi="Calibri"/>
          <w:b/>
          <w:bCs/>
          <w:color w:val="1A1A1A"/>
          <w:sz w:val="20"/>
          <w:szCs w:val="20"/>
        </w:rPr>
        <w:t xml:space="preserve">UM and UMJ are one company</w:t>
      </w:r>
      <w:r>
        <w:rPr>
          <w:rFonts w:ascii="Calibri" w:cs="Calibri" w:eastAsia="Calibri" w:hAnsi="Calibri"/>
          <w:color w:val="1A1A1A"/>
          <w:sz w:val="20"/>
          <w:szCs w:val="20"/>
        </w:rPr>
        <w:t xml:space="preserve">, segmented so certain projects can launch in specific countries only. UMJ is the vehicle for country-limited rollouts.</w:t>
      </w:r>
    </w:p>
    <w:p>
      <w:pPr>
        <w:pStyle w:val="ListParagraph"/>
        <w:numPr>
          <w:ilvl w:val="0"/>
          <w:numId w:val="2"/>
        </w:numPr>
        <w:spacing w:after="70" w:line="268"/>
      </w:pPr>
      <w:r>
        <w:rPr>
          <w:rFonts w:ascii="Calibri" w:cs="Calibri" w:eastAsia="Calibri" w:hAnsi="Calibri"/>
          <w:b/>
          <w:bCs/>
          <w:color w:val="1A1A1A"/>
          <w:sz w:val="20"/>
          <w:szCs w:val="20"/>
        </w:rPr>
        <w:t xml:space="preserve">UMJ = 5 countries: </w:t>
      </w:r>
      <w:r>
        <w:rPr>
          <w:rFonts w:ascii="Calibri" w:cs="Calibri" w:eastAsia="Calibri" w:hAnsi="Calibri"/>
          <w:color w:val="1A1A1A"/>
          <w:sz w:val="20"/>
          <w:szCs w:val="20"/>
        </w:rPr>
        <w:t xml:space="preserve">Japan, Mongolia, South Korea, Turkey and the Philippines. The Ultimate account and the STP/ECN-by-spread-percentage rebate are live in these UMJ countries only.</w:t>
      </w:r>
    </w:p>
    <w:p>
      <w:pPr>
        <w:pStyle w:val="ListParagraph"/>
        <w:numPr>
          <w:ilvl w:val="0"/>
          <w:numId w:val="2"/>
        </w:numPr>
        <w:spacing w:after="70" w:line="268"/>
      </w:pPr>
      <w:r>
        <w:rPr>
          <w:rFonts w:ascii="Calibri" w:cs="Calibri" w:eastAsia="Calibri" w:hAnsi="Calibri"/>
          <w:b/>
          <w:bCs/>
          <w:color w:val="1A1A1A"/>
          <w:sz w:val="20"/>
          <w:szCs w:val="20"/>
        </w:rPr>
        <w:t xml:space="preserve">UM-wide projects</w:t>
      </w:r>
      <w:r>
        <w:rPr>
          <w:rFonts w:ascii="Calibri" w:cs="Calibri" w:eastAsia="Calibri" w:hAnsi="Calibri"/>
          <w:color w:val="1A1A1A"/>
          <w:sz w:val="20"/>
          <w:szCs w:val="20"/>
        </w:rPr>
        <w:t xml:space="preserve"> (FCA onshore, Synthetic Indices) apply to the whole brand, which includes UMJ.</w:t>
      </w:r>
    </w:p>
    <w:p>
      <w:pPr>
        <w:pStyle w:val="ListParagraph"/>
        <w:numPr>
          <w:ilvl w:val="0"/>
          <w:numId w:val="2"/>
        </w:numPr>
        <w:spacing w:after="70" w:line="268"/>
      </w:pPr>
      <w:r>
        <w:rPr>
          <w:rFonts w:ascii="Calibri" w:cs="Calibri" w:eastAsia="Calibri" w:hAnsi="Calibri"/>
          <w:color w:val="1A1A1A"/>
          <w:sz w:val="20"/>
          <w:szCs w:val="20"/>
        </w:rPr>
        <w:t xml:space="preserve">The "UM Exness-ification" spread-optimisation program</w:t>
      </w:r>
      <w:r>
        <w:rPr>
          <w:rFonts w:ascii="Calibri" w:cs="Calibri" w:eastAsia="Calibri" w:hAnsi="Calibri"/>
          <w:color w:val="1A1A1A"/>
          <w:sz w:val="20"/>
          <w:szCs w:val="20"/>
        </w:rPr>
        <w:t xml:space="preserve"> is currently live in the UMJ 5 countries as the pilot for the aggressive-pricing push; the ultimate goal is to benchmark UM against Exness.</w:t>
      </w:r>
    </w:p>
    <w:p>
      <w:pPr>
        <w:pStyle w:val="ListParagraph"/>
        <w:numPr>
          <w:ilvl w:val="0"/>
          <w:numId w:val="2"/>
        </w:numPr>
        <w:spacing w:after="70" w:line="268"/>
      </w:pPr>
      <w:r>
        <w:rPr>
          <w:rFonts w:ascii="Calibri" w:cs="Calibri" w:eastAsia="Calibri" w:hAnsi="Calibri"/>
          <w:b/>
          <w:bCs/>
          <w:color w:val="1A1A1A"/>
          <w:sz w:val="20"/>
          <w:szCs w:val="20"/>
        </w:rPr>
        <w:t xml:space="preserve">Public footprint: </w:t>
      </w:r>
      <w:r>
        <w:rPr>
          <w:rFonts w:ascii="Calibri" w:cs="Calibri" w:eastAsia="Calibri" w:hAnsi="Calibri"/>
          <w:color w:val="1A1A1A"/>
          <w:sz w:val="20"/>
          <w:szCs w:val="20"/>
        </w:rPr>
        <w:t xml:space="preserve">Ultima Markets states it serves clients in 170+ countries (some sources say 172), with 300,000+ clients reported and ~400 employees (Tracxn, Apr 2026). Founded 2016.</w:t>
      </w:r>
    </w:p>
    <w:p>
      <w:pPr>
        <w:pStyle w:val="ListParagraph"/>
        <w:numPr>
          <w:ilvl w:val="0"/>
          <w:numId w:val="2"/>
        </w:numPr>
        <w:spacing w:after="70" w:line="268"/>
      </w:pPr>
      <w:r>
        <w:rPr>
          <w:rFonts w:ascii="Calibri" w:cs="Calibri" w:eastAsia="Calibri" w:hAnsi="Calibri"/>
          <w:b/>
          <w:bCs/>
          <w:color w:val="1A1A1A"/>
          <w:sz w:val="20"/>
          <w:szCs w:val="20"/>
        </w:rPr>
        <w:t xml:space="preserve">Excluded jurisdictions: </w:t>
      </w:r>
      <w:r>
        <w:rPr>
          <w:rFonts w:ascii="Calibri" w:cs="Calibri" w:eastAsia="Calibri" w:hAnsi="Calibri"/>
          <w:color w:val="1A1A1A"/>
          <w:sz w:val="20"/>
          <w:szCs w:val="20"/>
        </w:rPr>
        <w:t xml:space="preserve">US, Iran and North Korea are restricted (WikiBit). EU and UK clients are routed to the CySEC / FCA entities respectively; promotions are not available to CySEC/FCA clients due to regulatory limits.</w:t>
      </w:r>
    </w:p>
    <w:p>
      <w:pPr>
        <w:shd w:fill="FFF7ED" w:color="auto" w:val="clear"/>
        <w:spacing w:after="90" w:line="268"/>
      </w:pPr>
      <w:r>
        <w:rPr>
          <w:rFonts w:ascii="Calibri" w:cs="Calibri" w:eastAsia="Calibri" w:hAnsi="Calibri"/>
          <w:b/>
          <w:bCs/>
          <w:color w:val="92400E"/>
          <w:sz w:val="18"/>
          <w:szCs w:val="18"/>
        </w:rPr>
        <w:t xml:space="preserve">  [INTERNAL — to confirm] </w:t>
      </w:r>
      <w:r>
        <w:rPr>
          <w:rFonts w:ascii="Calibri" w:cs="Calibri" w:eastAsia="Calibri" w:hAnsi="Calibri"/>
          <w:color w:val="92400E"/>
          <w:sz w:val="18"/>
          <w:szCs w:val="18"/>
        </w:rPr>
        <w:t xml:space="preserve">Confirm the full internal exclusion list (e.g. any FATF grey-list handling) — public sources give only the headline US/Iran/DPRK exclusions.  ·  Owner: Compliance / Sales leadership  </w:t>
      </w:r>
    </w:p>
    <w:p>
      <w:pPr>
        <w:pStyle w:val="Heading2"/>
        <w:spacing w:after="90" w:before="220"/>
      </w:pPr>
      <w:r>
        <w:rPr>
          <w:rFonts w:ascii="Calibri" w:cs="Calibri" w:eastAsia="Calibri" w:hAnsi="Calibri"/>
          <w:b/>
          <w:bCs/>
          <w:color w:val="1A1A1A"/>
          <w:sz w:val="24"/>
          <w:szCs w:val="24"/>
        </w:rPr>
        <w:t xml:space="preserve">1.B  Licence / entity map &amp; primary business entity</w:t>
      </w:r>
    </w:p>
    <w:p>
      <w:pPr>
        <w:spacing w:after="120" w:line="276"/>
      </w:pPr>
      <w:r>
        <w:rPr>
          <w:rFonts w:ascii="Calibri" w:cs="Calibri" w:eastAsia="Calibri" w:hAnsi="Calibri"/>
          <w:color w:val="1A1A1A"/>
          <w:sz w:val="20"/>
          <w:szCs w:val="20"/>
        </w:rPr>
        <w:t xml:space="preserve">Ultima Markets is a trading name shared across several entities. The internal setups (Standard, FCA, UMJ) map onto the following publicly-registered entities (verified against the official site, the FCA/FSCA registers via WikiFX/Myfxbook, and Finance Magnates):</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2100"/>
        <w:gridCol w:w="2500"/>
        <w:gridCol w:w="1400"/>
        <w:gridCol w:w="3000"/>
      </w:tblGrid>
      <w:tr>
        <w:trPr>
          <w:tblHeader/>
        </w:trPr>
        <w:tc>
          <w:tcPr>
            <w:tcW w:type="dxa" w:w="21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Entity</w:t>
            </w:r>
          </w:p>
        </w:tc>
        <w:tc>
          <w:tcPr>
            <w:tcW w:type="dxa" w:w="25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Regulator / status</w:t>
            </w:r>
          </w:p>
        </w:tc>
        <w:tc>
          <w:tcPr>
            <w:tcW w:type="dxa" w:w="14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Licence no.</w:t>
            </w:r>
          </w:p>
        </w:tc>
        <w:tc>
          <w:tcPr>
            <w:tcW w:type="dxa" w:w="30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Registered address</w:t>
            </w:r>
          </w:p>
        </w:tc>
      </w:tr>
      <w:tr>
        <w:trPr>
          <w:cantSplit/>
        </w:trPr>
        <w:tc>
          <w:tcPr>
            <w:tcW w:type="dxa" w:w="2100"/>
            <w:tcMar>
              <w:top w:type="dxa" w:w="50"/>
              <w:left w:type="dxa" w:w="90"/>
              <w:bottom w:type="dxa" w:w="50"/>
              <w:right w:type="dxa" w:w="90"/>
            </w:tcMar>
          </w:tcPr>
          <w:p>
            <w:r>
              <w:rPr>
                <w:rFonts w:ascii="Calibri" w:cs="Calibri" w:eastAsia="Calibri" w:hAnsi="Calibri"/>
                <w:b/>
                <w:bCs/>
                <w:color w:val="1A1A1A"/>
                <w:sz w:val="17"/>
                <w:szCs w:val="17"/>
              </w:rPr>
              <w:t xml:space="preserve">Ultima Markets UK Limited</w:t>
            </w:r>
          </w:p>
        </w:tc>
        <w:tc>
          <w:tcPr>
            <w:tcW w:type="dxa" w:w="2500"/>
            <w:tcMar>
              <w:top w:type="dxa" w:w="50"/>
              <w:left w:type="dxa" w:w="90"/>
              <w:bottom w:type="dxa" w:w="50"/>
              <w:right w:type="dxa" w:w="90"/>
            </w:tcMar>
          </w:tcPr>
          <w:p>
            <w:r>
              <w:rPr>
                <w:rFonts w:ascii="Calibri" w:cs="Calibri" w:eastAsia="Calibri" w:hAnsi="Calibri"/>
                <w:b w:val="false"/>
                <w:bCs w:val="false"/>
                <w:color w:val="1A1A1A"/>
                <w:sz w:val="17"/>
                <w:szCs w:val="17"/>
              </w:rPr>
              <w:t xml:space="preserve">FCA (UK) — onshore, top-tier</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470325</w:t>
            </w:r>
          </w:p>
        </w:tc>
        <w:tc>
          <w:tcPr>
            <w:tcW w:type="dxa" w:w="3000"/>
            <w:tcMar>
              <w:top w:type="dxa" w:w="50"/>
              <w:left w:type="dxa" w:w="90"/>
              <w:bottom w:type="dxa" w:w="50"/>
              <w:right w:type="dxa" w:w="90"/>
            </w:tcMar>
          </w:tcPr>
          <w:p>
            <w:r>
              <w:rPr>
                <w:rFonts w:ascii="Calibri" w:cs="Calibri" w:eastAsia="Calibri" w:hAnsi="Calibri"/>
                <w:b w:val="false"/>
                <w:bCs w:val="false"/>
                <w:color w:val="1A1A1A"/>
                <w:sz w:val="17"/>
                <w:szCs w:val="17"/>
              </w:rPr>
              <w:t xml:space="preserve">1 Blossom Yard, 4th Floor, London E1 6RS, UK</w:t>
            </w:r>
          </w:p>
        </w:tc>
      </w:tr>
      <w:tr>
        <w:trPr>
          <w:cantSplit/>
        </w:trPr>
        <w:tc>
          <w:tcPr>
            <w:tcW w:type="dxa" w:w="21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Ultima Markets Cyprus Ltd</w:t>
            </w:r>
          </w:p>
        </w:tc>
        <w:tc>
          <w:tcPr>
            <w:tcW w:type="dxa" w:w="2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CySEC (Cyprus) — EU/MiFID II</w:t>
            </w:r>
          </w:p>
        </w:tc>
        <w:tc>
          <w:tcPr>
            <w:tcW w:type="dxa" w:w="1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426/23</w:t>
            </w:r>
          </w:p>
        </w:tc>
        <w:tc>
          <w:tcPr>
            <w:tcW w:type="dxa" w:w="30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Cyprus</w:t>
            </w:r>
          </w:p>
        </w:tc>
      </w:tr>
      <w:tr>
        <w:trPr>
          <w:cantSplit/>
        </w:trPr>
        <w:tc>
          <w:tcPr>
            <w:tcW w:type="dxa" w:w="2100"/>
            <w:tcMar>
              <w:top w:type="dxa" w:w="50"/>
              <w:left w:type="dxa" w:w="90"/>
              <w:bottom w:type="dxa" w:w="50"/>
              <w:right w:type="dxa" w:w="90"/>
            </w:tcMar>
          </w:tcPr>
          <w:p>
            <w:r>
              <w:rPr>
                <w:rFonts w:ascii="Calibri" w:cs="Calibri" w:eastAsia="Calibri" w:hAnsi="Calibri"/>
                <w:b/>
                <w:bCs/>
                <w:color w:val="1A1A1A"/>
                <w:sz w:val="17"/>
                <w:szCs w:val="17"/>
              </w:rPr>
              <w:t xml:space="preserve">Ultima Markets (Pty) Ltd</w:t>
            </w:r>
          </w:p>
        </w:tc>
        <w:tc>
          <w:tcPr>
            <w:tcW w:type="dxa" w:w="2500"/>
            <w:tcMar>
              <w:top w:type="dxa" w:w="50"/>
              <w:left w:type="dxa" w:w="90"/>
              <w:bottom w:type="dxa" w:w="50"/>
              <w:right w:type="dxa" w:w="90"/>
            </w:tcMar>
          </w:tcPr>
          <w:p>
            <w:r>
              <w:rPr>
                <w:rFonts w:ascii="Calibri" w:cs="Calibri" w:eastAsia="Calibri" w:hAnsi="Calibri"/>
                <w:b w:val="false"/>
                <w:bCs w:val="false"/>
                <w:color w:val="1A1A1A"/>
                <w:sz w:val="17"/>
                <w:szCs w:val="17"/>
              </w:rPr>
              <w:t xml:space="preserve">FSCA (South Africa)</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52497</w:t>
            </w:r>
          </w:p>
        </w:tc>
        <w:tc>
          <w:tcPr>
            <w:tcW w:type="dxa" w:w="3000"/>
            <w:tcMar>
              <w:top w:type="dxa" w:w="50"/>
              <w:left w:type="dxa" w:w="90"/>
              <w:bottom w:type="dxa" w:w="50"/>
              <w:right w:type="dxa" w:w="90"/>
            </w:tcMar>
          </w:tcPr>
          <w:p>
            <w:r>
              <w:rPr>
                <w:rFonts w:ascii="Calibri" w:cs="Calibri" w:eastAsia="Calibri" w:hAnsi="Calibri"/>
                <w:b w:val="false"/>
                <w:bCs w:val="false"/>
                <w:color w:val="1A1A1A"/>
                <w:sz w:val="17"/>
                <w:szCs w:val="17"/>
              </w:rPr>
              <w:t xml:space="preserve">South Africa</w:t>
            </w:r>
          </w:p>
        </w:tc>
      </w:tr>
      <w:tr>
        <w:trPr>
          <w:cantSplit/>
        </w:trPr>
        <w:tc>
          <w:tcPr>
            <w:tcW w:type="dxa" w:w="21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Ultima Markets (Mauritius) Ltd / Ultima Markets Ltd</w:t>
            </w:r>
          </w:p>
        </w:tc>
        <w:tc>
          <w:tcPr>
            <w:tcW w:type="dxa" w:w="2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FSC Mauritius — Full-Service Investment Dealer (global entity)</w:t>
            </w:r>
          </w:p>
        </w:tc>
        <w:tc>
          <w:tcPr>
            <w:tcW w:type="dxa" w:w="1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GB 23201593</w:t>
            </w:r>
          </w:p>
        </w:tc>
        <w:tc>
          <w:tcPr>
            <w:tcW w:type="dxa" w:w="30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2nd Floor, The Catalyst, 40 Silicon Ave, Ebene Cybercity 72201, Mauritius</w:t>
            </w:r>
          </w:p>
        </w:tc>
      </w:tr>
      <w:tr>
        <w:trPr>
          <w:cantSplit/>
        </w:trPr>
        <w:tc>
          <w:tcPr>
            <w:tcW w:type="dxa" w:w="2100"/>
            <w:tcMar>
              <w:top w:type="dxa" w:w="50"/>
              <w:left w:type="dxa" w:w="90"/>
              <w:bottom w:type="dxa" w:w="50"/>
              <w:right w:type="dxa" w:w="90"/>
            </w:tcMar>
          </w:tcPr>
          <w:p>
            <w:r>
              <w:rPr>
                <w:rFonts w:ascii="Calibri" w:cs="Calibri" w:eastAsia="Calibri" w:hAnsi="Calibri"/>
                <w:b/>
                <w:bCs/>
                <w:color w:val="1A1A1A"/>
                <w:sz w:val="17"/>
                <w:szCs w:val="17"/>
              </w:rPr>
              <w:t xml:space="preserve">Ultima Markets EU OÜ</w:t>
            </w:r>
          </w:p>
        </w:tc>
        <w:tc>
          <w:tcPr>
            <w:tcW w:type="dxa" w:w="2500"/>
            <w:tcMar>
              <w:top w:type="dxa" w:w="50"/>
              <w:left w:type="dxa" w:w="90"/>
              <w:bottom w:type="dxa" w:w="50"/>
              <w:right w:type="dxa" w:w="90"/>
            </w:tcMar>
          </w:tcPr>
          <w:p>
            <w:r>
              <w:rPr>
                <w:rFonts w:ascii="Calibri" w:cs="Calibri" w:eastAsia="Calibri" w:hAnsi="Calibri"/>
                <w:b w:val="false"/>
                <w:bCs w:val="false"/>
                <w:color w:val="1A1A1A"/>
                <w:sz w:val="17"/>
                <w:szCs w:val="17"/>
              </w:rPr>
              <w:t xml:space="preserve">Estonia — payment/facilitation only (not a trading licence)</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Reg 17134727</w:t>
            </w:r>
          </w:p>
        </w:tc>
        <w:tc>
          <w:tcPr>
            <w:tcW w:type="dxa" w:w="3000"/>
            <w:tcMar>
              <w:top w:type="dxa" w:w="50"/>
              <w:left w:type="dxa" w:w="90"/>
              <w:bottom w:type="dxa" w:w="50"/>
              <w:right w:type="dxa" w:w="90"/>
            </w:tcMar>
          </w:tcPr>
          <w:p>
            <w:r>
              <w:rPr>
                <w:rFonts w:ascii="Calibri" w:cs="Calibri" w:eastAsia="Calibri" w:hAnsi="Calibri"/>
                <w:b w:val="false"/>
                <w:bCs w:val="false"/>
                <w:color w:val="1A1A1A"/>
                <w:sz w:val="17"/>
                <w:szCs w:val="17"/>
              </w:rPr>
              <w:t xml:space="preserve">Seebi tn 1-1501, Tallinn 11316, Estonia</w:t>
            </w:r>
          </w:p>
        </w:tc>
      </w:tr>
    </w:tbl>
    <w:p>
      <w:pPr>
        <w:spacing w:after="80"/>
      </w:pPr>
    </w:p>
    <w:p>
      <w:pPr>
        <w:pStyle w:val="ListParagraph"/>
        <w:numPr>
          <w:ilvl w:val="0"/>
          <w:numId w:val="2"/>
        </w:numPr>
        <w:spacing w:after="70" w:line="268"/>
      </w:pPr>
      <w:r>
        <w:rPr>
          <w:rFonts w:ascii="Calibri" w:cs="Calibri" w:eastAsia="Calibri" w:hAnsi="Calibri"/>
          <w:b/>
          <w:bCs/>
          <w:color w:val="1A1A1A"/>
          <w:sz w:val="20"/>
          <w:szCs w:val="20"/>
        </w:rPr>
        <w:t xml:space="preserve">Primary business-driving entity: </w:t>
      </w:r>
      <w:r>
        <w:rPr>
          <w:rFonts w:ascii="Calibri" w:cs="Calibri" w:eastAsia="Calibri" w:hAnsi="Calibri"/>
          <w:color w:val="1A1A1A"/>
          <w:sz w:val="20"/>
          <w:szCs w:val="20"/>
        </w:rPr>
        <w:t xml:space="preserve">the FSC Mauritius global entity (GB 23201593) is the everyday book for most international clients — the main website copyright is held by Ultima Markets (Mauritius) Ltd. CySEC serves EU clients; FSCA serves South Africa.</w:t>
      </w:r>
    </w:p>
    <w:p>
      <w:pPr>
        <w:pStyle w:val="ListParagraph"/>
        <w:numPr>
          <w:ilvl w:val="0"/>
          <w:numId w:val="2"/>
        </w:numPr>
        <w:spacing w:after="70" w:line="268"/>
      </w:pPr>
      <w:r>
        <w:rPr>
          <w:rFonts w:ascii="Calibri" w:cs="Calibri" w:eastAsia="Calibri" w:hAnsi="Calibri"/>
          <w:b/>
          <w:bCs/>
          <w:color w:val="1A1A1A"/>
          <w:sz w:val="20"/>
          <w:szCs w:val="20"/>
        </w:rPr>
        <w:t xml:space="preserve">FCA (UK) — onshore, newest.</w:t>
      </w:r>
      <w:r>
        <w:rPr>
          <w:rFonts w:ascii="Calibri" w:cs="Calibri" w:eastAsia="Calibri" w:hAnsi="Calibri"/>
          <w:color w:val="1A1A1A"/>
          <w:sz w:val="20"/>
          <w:szCs w:val="20"/>
        </w:rPr>
        <w:t xml:space="preserve"> The "Ultima Markets" trading name was approved by the FCA on 21 July 2025 (ref 470325). Per Finance Magnates, the licence was obtained by acquiring Tiger Brokers' UK operations. This is the external counterpart to the internal "UM FCA is Onshore" project (Phase 1 live 22 June 2026).</w:t>
      </w:r>
    </w:p>
    <w:p>
      <w:pPr>
        <w:shd w:fill="FEF2F2" w:color="auto" w:val="clear"/>
        <w:spacing w:after="90" w:line="268"/>
      </w:pPr>
      <w:r>
        <w:rPr>
          <w:rFonts w:ascii="Calibri" w:cs="Calibri" w:eastAsia="Calibri" w:hAnsi="Calibri"/>
          <w:b/>
          <w:bCs/>
          <w:color w:val="B91C1C"/>
          <w:sz w:val="18"/>
          <w:szCs w:val="18"/>
        </w:rPr>
        <w:t xml:space="preserve">  FCA client-acceptance status:  </w:t>
      </w:r>
      <w:r>
        <w:rPr>
          <w:rFonts w:ascii="Calibri" w:cs="Calibri" w:eastAsia="Calibri" w:hAnsi="Calibri"/>
          <w:color w:val="B91C1C"/>
          <w:sz w:val="18"/>
          <w:szCs w:val="18"/>
        </w:rPr>
        <w:t xml:space="preserve">As of early 2026, the FCA entity was NOT yet onboarding UK clients — the site states onboarding will begin "in accordance with FCA requirements in 2026," and reviewers hit a "not yet accepting UK clients" message. UK clients are directed to ultima-markets.co.uk. So the FCA badge is live but the client book is not — consistent with the internal Phase 2 ("stabilise licence issuance") status.</w:t>
      </w:r>
    </w:p>
    <w:p>
      <w:pPr>
        <w:pStyle w:val="ListParagraph"/>
        <w:numPr>
          <w:ilvl w:val="0"/>
          <w:numId w:val="2"/>
        </w:numPr>
        <w:spacing w:after="70" w:line="268"/>
      </w:pPr>
      <w:r>
        <w:rPr>
          <w:rFonts w:ascii="Calibri" w:cs="Calibri" w:eastAsia="Calibri" w:hAnsi="Calibri"/>
          <w:b/>
          <w:bCs/>
          <w:color w:val="1A1A1A"/>
          <w:sz w:val="20"/>
          <w:szCs w:val="20"/>
        </w:rPr>
        <w:t xml:space="preserve">Domains: </w:t>
      </w:r>
      <w:r>
        <w:rPr>
          <w:rFonts w:ascii="Calibri" w:cs="Calibri" w:eastAsia="Calibri" w:hAnsi="Calibri"/>
          <w:color w:val="1A1A1A"/>
          <w:sz w:val="20"/>
          <w:szCs w:val="20"/>
        </w:rPr>
        <w:t xml:space="preserve">ultimamarkets.com (global/international), ultima-markets.co.uk (UK/FCA). Note a separate help-centre domain ultimarkets.com also appears.</w:t>
      </w:r>
    </w:p>
    <w:p>
      <w:pPr>
        <w:spacing w:after="120" w:line="276"/>
      </w:pPr>
      <w:r>
        <w:rPr>
          <w:rFonts w:ascii="Calibri" w:cs="Calibri" w:eastAsia="Calibri" w:hAnsi="Calibri"/>
          <w:b/>
          <w:bCs/>
          <w:color w:val="1A1A1A"/>
          <w:sz w:val="18"/>
          <w:szCs w:val="18"/>
        </w:rPr>
        <w:t xml:space="preserve">Cross-check note: </w:t>
      </w:r>
      <w:r>
        <w:rPr>
          <w:rFonts w:ascii="Calibri" w:cs="Calibri" w:eastAsia="Calibri" w:hAnsi="Calibri"/>
          <w:i/>
          <w:iCs/>
          <w:color w:val="6B7280"/>
          <w:sz w:val="18"/>
          <w:szCs w:val="18"/>
        </w:rPr>
        <w:t xml:space="preserve">Myfxbook additionally lists an SVG FSA registration (St Vincent). Internal Standard-group naming (UM_Hedge\M_UM_USD) and FCA naming (FCA_Hedge\M_UM_UK_USD) sit on top of these entities. WikiFX flags one profile as a "clone firm / high potential risk," which relates to the impersonation issue in Section 1.D, not necessarily the core entity.</w:t>
      </w:r>
    </w:p>
    <w:p>
      <w:pPr>
        <w:pStyle w:val="Heading2"/>
        <w:spacing w:after="90" w:before="220"/>
      </w:pPr>
      <w:r>
        <w:rPr>
          <w:rFonts w:ascii="Calibri" w:cs="Calibri" w:eastAsia="Calibri" w:hAnsi="Calibri"/>
          <w:b/>
          <w:bCs/>
          <w:color w:val="1A1A1A"/>
          <w:sz w:val="24"/>
          <w:szCs w:val="24"/>
        </w:rPr>
        <w:t xml:space="preserve">1.C  Positioning within the group</w:t>
      </w:r>
    </w:p>
    <w:p>
      <w:pPr>
        <w:spacing w:after="120" w:line="276"/>
      </w:pPr>
      <w:r>
        <w:rPr>
          <w:rFonts w:ascii="Calibri" w:cs="Calibri" w:eastAsia="Calibri" w:hAnsi="Calibri"/>
          <w:color w:val="1A1A1A"/>
          <w:sz w:val="20"/>
          <w:szCs w:val="20"/>
        </w:rPr>
        <w:t xml:space="preserve">UM sits inside a broad multi-brand portfolio. The group's listed brands are:</w:t>
      </w:r>
    </w:p>
    <w:p>
      <w:pPr>
        <w:spacing w:after="120" w:line="276"/>
      </w:pPr>
      <w:r>
        <w:rPr>
          <w:rFonts w:ascii="Calibri" w:cs="Calibri" w:eastAsia="Calibri" w:hAnsi="Calibri"/>
          <w:i/>
          <w:iCs/>
          <w:color w:val="1A1A1A"/>
          <w:sz w:val="20"/>
          <w:szCs w:val="20"/>
        </w:rPr>
        <w:t xml:space="preserve">Vantage (GS / APAC / ASIC / FCA), VT, PU, Moneta, UM, UMJ, Star, VTJ, Bybit.</w:t>
      </w:r>
    </w:p>
    <w:p>
      <w:pPr>
        <w:pStyle w:val="ListParagraph"/>
        <w:numPr>
          <w:ilvl w:val="0"/>
          <w:numId w:val="2"/>
        </w:numPr>
        <w:spacing w:after="70" w:line="268"/>
      </w:pPr>
      <w:r>
        <w:rPr>
          <w:rFonts w:ascii="Calibri" w:cs="Calibri" w:eastAsia="Calibri" w:hAnsi="Calibri"/>
          <w:color w:val="1A1A1A"/>
          <w:sz w:val="20"/>
          <w:szCs w:val="20"/>
        </w:rPr>
        <w:t xml:space="preserve">UM shares group-wide infrastructure: a common brand-model/pricing framework (the same one being replicated for Synthetic Product 1.0), shared PE (Price Engine), BIT, Admin, Risk (RA) and PD functions.</w:t>
      </w:r>
    </w:p>
    <w:p>
      <w:pPr>
        <w:pStyle w:val="ListParagraph"/>
        <w:numPr>
          <w:ilvl w:val="0"/>
          <w:numId w:val="2"/>
        </w:numPr>
        <w:spacing w:after="70" w:line="268"/>
      </w:pPr>
      <w:r>
        <w:rPr>
          <w:rFonts w:ascii="Calibri" w:cs="Calibri" w:eastAsia="Calibri" w:hAnsi="Calibri"/>
          <w:color w:val="1A1A1A"/>
          <w:sz w:val="20"/>
          <w:szCs w:val="20"/>
        </w:rPr>
        <w:t xml:space="preserve">Internally UM is benchmarked constantly against </w:t>
      </w:r>
      <w:r>
        <w:rPr>
          <w:rFonts w:ascii="Calibri" w:cs="Calibri" w:eastAsia="Calibri" w:hAnsi="Calibri"/>
          <w:b/>
          <w:bCs/>
          <w:color w:val="1A1A1A"/>
          <w:sz w:val="20"/>
          <w:szCs w:val="20"/>
        </w:rPr>
        <w:t xml:space="preserve">"V Brand" (Vantage)</w:t>
      </w:r>
      <w:r>
        <w:rPr>
          <w:rFonts w:ascii="Calibri" w:cs="Calibri" w:eastAsia="Calibri" w:hAnsi="Calibri"/>
          <w:color w:val="1A1A1A"/>
          <w:sz w:val="20"/>
          <w:szCs w:val="20"/>
        </w:rPr>
        <w:t xml:space="preserve"> — the group treats Vantage as the reference brand for spreads, DPM and rebate economics.</w:t>
      </w:r>
    </w:p>
    <w:p>
      <w:pPr>
        <w:pStyle w:val="Heading2"/>
        <w:spacing w:after="90" w:before="220"/>
      </w:pPr>
      <w:r>
        <w:rPr>
          <w:rFonts w:ascii="Calibri" w:cs="Calibri" w:eastAsia="Calibri" w:hAnsi="Calibri"/>
          <w:b/>
          <w:bCs/>
          <w:color w:val="1A1A1A"/>
          <w:sz w:val="24"/>
          <w:szCs w:val="24"/>
        </w:rPr>
        <w:t xml:space="preserve">1.D  Market reputation</w:t>
      </w:r>
    </w:p>
    <w:p>
      <w:pPr>
        <w:spacing w:after="120" w:line="276"/>
      </w:pPr>
      <w:r>
        <w:rPr>
          <w:rFonts w:ascii="Calibri" w:cs="Calibri" w:eastAsia="Calibri" w:hAnsi="Calibri"/>
          <w:b/>
          <w:bCs/>
          <w:color w:val="1A1A1A"/>
          <w:sz w:val="20"/>
          <w:szCs w:val="20"/>
        </w:rPr>
        <w:t xml:space="preserve">Positive signals: </w:t>
      </w:r>
      <w:r>
        <w:rPr>
          <w:rFonts w:ascii="Calibri" w:cs="Calibri" w:eastAsia="Calibri" w:hAnsi="Calibri"/>
          <w:color w:val="1A1A1A"/>
          <w:sz w:val="20"/>
          <w:szCs w:val="20"/>
        </w:rPr>
        <w:t xml:space="preserve">Ultima Markets was named "Fastest Growing Forex Broker 2025" and, in December 2024, became the first CFD broker to join the UN Global Compact — a sustainability/ESG positioning it markets heavily. It is a member of the Financial Commission (independent dispute resolution). Trader reviews (Trustpilot/company page) skew positive on ease of use, execution stability and support; third-party reviewers (daytrading.com, BrokerListings) rate it as more trustworthy than a pure offshore start-up thanks to the FCA and CySEC entities, while noting thin educational content and that most international clients trade under the less-protective Mauritius entity.</w:t>
      </w:r>
    </w:p>
    <w:p>
      <w:pPr>
        <w:pStyle w:val="ListParagraph"/>
        <w:numPr>
          <w:ilvl w:val="0"/>
          <w:numId w:val="2"/>
        </w:numPr>
        <w:spacing w:after="70" w:line="268"/>
      </w:pPr>
      <w:r>
        <w:rPr>
          <w:rFonts w:ascii="Calibri" w:cs="Calibri" w:eastAsia="Calibri" w:hAnsi="Calibri"/>
          <w:b/>
          <w:bCs/>
          <w:color w:val="1A1A1A"/>
          <w:sz w:val="20"/>
          <w:szCs w:val="20"/>
        </w:rPr>
        <w:t xml:space="preserve">Trading Central</w:t>
      </w:r>
      <w:r>
        <w:rPr>
          <w:rFonts w:ascii="Calibri" w:cs="Calibri" w:eastAsia="Calibri" w:hAnsi="Calibri"/>
          <w:color w:val="1A1A1A"/>
          <w:sz w:val="20"/>
          <w:szCs w:val="20"/>
        </w:rPr>
        <w:t xml:space="preserve"> is embedded as an external research layer — a credibility point over lightweight in-house blogs.</w:t>
      </w:r>
    </w:p>
    <w:p>
      <w:pPr>
        <w:shd w:fill="FFF7ED" w:color="auto" w:val="clear"/>
        <w:spacing w:after="90" w:line="268"/>
      </w:pPr>
      <w:r>
        <w:rPr>
          <w:rFonts w:ascii="Calibri" w:cs="Calibri" w:eastAsia="Calibri" w:hAnsi="Calibri"/>
          <w:b/>
          <w:bCs/>
          <w:color w:val="92400E"/>
          <w:sz w:val="18"/>
          <w:szCs w:val="18"/>
        </w:rPr>
        <w:t xml:space="preserve">  Reputation risk — brand impersonation:  </w:t>
      </w:r>
      <w:r>
        <w:rPr>
          <w:rFonts w:ascii="Calibri" w:cs="Calibri" w:eastAsia="Calibri" w:hAnsi="Calibri"/>
          <w:color w:val="92400E"/>
          <w:sz w:val="18"/>
          <w:szCs w:val="18"/>
        </w:rPr>
        <w:t xml:space="preserve">In Jan 2025 a Russian offshore broker (BCS Markets, part of BrokerCreditService) rebranded to "Ultima Markets" and registered Ultima Markets SV LLC in St Vincent. Our (original, 2016) Ultima Markets publicly stated it would pursue legal recourse to protect the brand. WikiFX also carries a "clone firm / high potential risk" flag on one profile. Client-facing teams should be ready to distinguish the genuine entities (table in 1.B) from impersonators, and watch for fake onboarding pages.</w:t>
      </w:r>
    </w:p>
    <w:p>
      <w:pPr>
        <w:pStyle w:val="Heading2"/>
        <w:spacing w:after="90" w:before="220"/>
      </w:pPr>
      <w:r>
        <w:rPr>
          <w:rFonts w:ascii="Calibri" w:cs="Calibri" w:eastAsia="Calibri" w:hAnsi="Calibri"/>
          <w:b/>
          <w:bCs/>
          <w:color w:val="1A1A1A"/>
          <w:sz w:val="24"/>
          <w:szCs w:val="24"/>
        </w:rPr>
        <w:t xml:space="preserve">1.E  Brand owner / ownership</w:t>
      </w:r>
    </w:p>
    <w:p>
      <w:pPr>
        <w:spacing w:after="120" w:line="276"/>
      </w:pPr>
      <w:r>
        <w:rPr>
          <w:rFonts w:ascii="Calibri" w:cs="Calibri" w:eastAsia="Calibri" w:hAnsi="Calibri"/>
          <w:color w:val="1A1A1A"/>
          <w:sz w:val="20"/>
          <w:szCs w:val="20"/>
        </w:rPr>
        <w:t xml:space="preserve">Public sources are partial and not fully consistent — worth confirming internally, but the external picture is:</w:t>
      </w:r>
    </w:p>
    <w:p>
      <w:pPr>
        <w:pStyle w:val="ListParagraph"/>
        <w:numPr>
          <w:ilvl w:val="0"/>
          <w:numId w:val="2"/>
        </w:numPr>
        <w:spacing w:after="70" w:line="268"/>
      </w:pPr>
      <w:r>
        <w:rPr>
          <w:rFonts w:ascii="Calibri" w:cs="Calibri" w:eastAsia="Calibri" w:hAnsi="Calibri"/>
          <w:color w:val="1A1A1A"/>
          <w:sz w:val="20"/>
          <w:szCs w:val="20"/>
        </w:rPr>
        <w:t xml:space="preserve">Group operating owner named as </w:t>
      </w:r>
      <w:r>
        <w:rPr>
          <w:rFonts w:ascii="Calibri" w:cs="Calibri" w:eastAsia="Calibri" w:hAnsi="Calibri"/>
          <w:b/>
          <w:bCs/>
          <w:color w:val="1A1A1A"/>
          <w:sz w:val="20"/>
          <w:szCs w:val="20"/>
        </w:rPr>
        <w:t xml:space="preserve">Ultima Management Pty Ltd</w:t>
      </w:r>
      <w:r>
        <w:rPr>
          <w:rFonts w:ascii="Calibri" w:cs="Calibri" w:eastAsia="Calibri" w:hAnsi="Calibri"/>
          <w:color w:val="1A1A1A"/>
          <w:sz w:val="20"/>
          <w:szCs w:val="20"/>
        </w:rPr>
        <w:t xml:space="preserve"> (WikiBit), which oversees global operations.</w:t>
      </w:r>
    </w:p>
    <w:p>
      <w:pPr>
        <w:pStyle w:val="ListParagraph"/>
        <w:numPr>
          <w:ilvl w:val="0"/>
          <w:numId w:val="2"/>
        </w:numPr>
        <w:spacing w:after="70" w:line="268"/>
      </w:pPr>
      <w:r>
        <w:rPr>
          <w:rFonts w:ascii="Calibri" w:cs="Calibri" w:eastAsia="Calibri" w:hAnsi="Calibri"/>
          <w:b/>
          <w:bCs/>
          <w:color w:val="1A1A1A"/>
          <w:sz w:val="20"/>
          <w:szCs w:val="20"/>
        </w:rPr>
        <w:t xml:space="preserve">HQ is described inconsistently: </w:t>
      </w:r>
      <w:r>
        <w:rPr>
          <w:rFonts w:ascii="Calibri" w:cs="Calibri" w:eastAsia="Calibri" w:hAnsi="Calibri"/>
          <w:color w:val="1A1A1A"/>
          <w:sz w:val="20"/>
          <w:szCs w:val="20"/>
        </w:rPr>
        <w:t xml:space="preserve">the group's own help centre and Tracxn say the headquarters is in Australia with offices across Asia; the main-site copyright and most registrations point to Mauritius (Ebene Cybercity). Both can be true (operational HQ vs registered/licensing home).</w:t>
      </w:r>
    </w:p>
    <w:p>
      <w:pPr>
        <w:pStyle w:val="ListParagraph"/>
        <w:numPr>
          <w:ilvl w:val="0"/>
          <w:numId w:val="2"/>
        </w:numPr>
        <w:spacing w:after="70" w:line="268"/>
      </w:pPr>
      <w:r>
        <w:rPr>
          <w:rFonts w:ascii="Calibri" w:cs="Calibri" w:eastAsia="Calibri" w:hAnsi="Calibri"/>
          <w:color w:val="1A1A1A"/>
          <w:sz w:val="20"/>
          <w:szCs w:val="20"/>
        </w:rPr>
        <w:t xml:space="preserve">Not publicly listed, not a bank</w:t>
      </w:r>
      <w:r>
        <w:rPr>
          <w:rFonts w:ascii="Calibri" w:cs="Calibri" w:eastAsia="Calibri" w:hAnsi="Calibri"/>
          <w:color w:val="1A1A1A"/>
          <w:sz w:val="20"/>
          <w:szCs w:val="20"/>
        </w:rPr>
        <w:t xml:space="preserve"> (BrokerListings). Tracxn lists one funding round and ~406 employees (Apr 2026).</w:t>
      </w:r>
    </w:p>
    <w:p>
      <w:pPr>
        <w:spacing w:after="120" w:line="276"/>
      </w:pPr>
      <w:r>
        <w:rPr>
          <w:rFonts w:ascii="Calibri" w:cs="Calibri" w:eastAsia="Calibri" w:hAnsi="Calibri"/>
          <w:b/>
          <w:bCs/>
          <w:color w:val="1A1A1A"/>
          <w:sz w:val="18"/>
          <w:szCs w:val="18"/>
        </w:rPr>
        <w:t xml:space="preserve">Note: </w:t>
      </w:r>
      <w:r>
        <w:rPr>
          <w:rFonts w:ascii="Calibri" w:cs="Calibri" w:eastAsia="Calibri" w:hAnsi="Calibri"/>
          <w:i/>
          <w:iCs/>
          <w:color w:val="6B7280"/>
          <w:sz w:val="18"/>
          <w:szCs w:val="18"/>
        </w:rPr>
        <w:t xml:space="preserve">a separate US FINRA entity, "Ultima Global Markets (USA), Inc." (owned by Ultima Structured Products PLC / Ultima World DMCC), is a different group and should not be conflated with our brand.</w:t>
      </w:r>
    </w:p>
    <w:p>
      <w:pPr>
        <w:shd w:fill="FFF7ED" w:color="auto" w:val="clear"/>
        <w:spacing w:after="90" w:line="268"/>
      </w:pPr>
      <w:r>
        <w:rPr>
          <w:rFonts w:ascii="Calibri" w:cs="Calibri" w:eastAsia="Calibri" w:hAnsi="Calibri"/>
          <w:b/>
          <w:bCs/>
          <w:color w:val="92400E"/>
          <w:sz w:val="18"/>
          <w:szCs w:val="18"/>
        </w:rPr>
        <w:t xml:space="preserve">  [INTERNAL — to confirm] </w:t>
      </w:r>
      <w:r>
        <w:rPr>
          <w:rFonts w:ascii="Calibri" w:cs="Calibri" w:eastAsia="Calibri" w:hAnsi="Calibri"/>
          <w:color w:val="92400E"/>
          <w:sz w:val="18"/>
          <w:szCs w:val="18"/>
        </w:rPr>
        <w:t xml:space="preserve">Confirm ultimate beneficial ownership and the legal parent above the operating entities, and reconcile the Australia-vs-Mauritius HQ description for external comms.  ·  Owner: Finance / Group strategy  </w:t>
      </w:r>
    </w:p>
    <w:p>
      <w:pPr>
        <w:pStyle w:val="Heading2"/>
        <w:spacing w:after="90" w:before="220"/>
      </w:pPr>
      <w:r>
        <w:rPr>
          <w:rFonts w:ascii="Calibri" w:cs="Calibri" w:eastAsia="Calibri" w:hAnsi="Calibri"/>
          <w:b/>
          <w:bCs/>
          <w:color w:val="1A1A1A"/>
          <w:sz w:val="24"/>
          <w:szCs w:val="24"/>
        </w:rPr>
        <w:t xml:space="preserve">1.F  Internal decision-making process</w:t>
      </w:r>
    </w:p>
    <w:p>
      <w:pPr>
        <w:spacing w:after="120" w:line="276"/>
      </w:pPr>
      <w:r>
        <w:rPr>
          <w:rFonts w:ascii="Calibri" w:cs="Calibri" w:eastAsia="Calibri" w:hAnsi="Calibri"/>
          <w:color w:val="1A1A1A"/>
          <w:sz w:val="20"/>
          <w:szCs w:val="20"/>
        </w:rPr>
        <w:t xml:space="preserve">From the org and project material, product/pricing/launch decisions flow through:</w:t>
      </w:r>
    </w:p>
    <w:p>
      <w:pPr>
        <w:pStyle w:val="ListParagraph"/>
        <w:numPr>
          <w:ilvl w:val="0"/>
          <w:numId w:val="2"/>
        </w:numPr>
        <w:spacing w:after="70" w:line="268"/>
      </w:pPr>
      <w:r>
        <w:rPr>
          <w:rFonts w:ascii="Calibri" w:cs="Calibri" w:eastAsia="Calibri" w:hAnsi="Calibri"/>
          <w:b/>
          <w:bCs/>
          <w:color w:val="1A1A1A"/>
          <w:sz w:val="20"/>
          <w:szCs w:val="20"/>
        </w:rPr>
        <w:t xml:space="preserve">PD / Product Team</w:t>
      </w:r>
      <w:r>
        <w:rPr>
          <w:rFonts w:ascii="Calibri" w:cs="Calibri" w:eastAsia="Calibri" w:hAnsi="Calibri"/>
          <w:color w:val="1A1A1A"/>
          <w:sz w:val="20"/>
          <w:szCs w:val="20"/>
        </w:rPr>
        <w:t xml:space="preserve"> (PIC Adam Foo; coordination via Adeline Hiew, Derek) — owns product spec, group naming, rebate settings, training.</w:t>
      </w:r>
    </w:p>
    <w:p>
      <w:pPr>
        <w:pStyle w:val="ListParagraph"/>
        <w:numPr>
          <w:ilvl w:val="0"/>
          <w:numId w:val="2"/>
        </w:numPr>
        <w:spacing w:after="70" w:line="268"/>
      </w:pPr>
      <w:r>
        <w:rPr>
          <w:rFonts w:ascii="Calibri" w:cs="Calibri" w:eastAsia="Calibri" w:hAnsi="Calibri"/>
          <w:b/>
          <w:bCs/>
          <w:color w:val="1A1A1A"/>
          <w:sz w:val="20"/>
          <w:szCs w:val="20"/>
        </w:rPr>
        <w:t xml:space="preserve">PE (Price Engine) Team</w:t>
      </w:r>
      <w:r>
        <w:rPr>
          <w:rFonts w:ascii="Calibri" w:cs="Calibri" w:eastAsia="Calibri" w:hAnsi="Calibri"/>
          <w:color w:val="1A1A1A"/>
          <w:sz w:val="20"/>
          <w:szCs w:val="20"/>
        </w:rPr>
        <w:t xml:space="preserve"> — implementation/execution of pricing and model replication.</w:t>
      </w:r>
    </w:p>
    <w:p>
      <w:pPr>
        <w:pStyle w:val="ListParagraph"/>
        <w:numPr>
          <w:ilvl w:val="0"/>
          <w:numId w:val="2"/>
        </w:numPr>
        <w:spacing w:after="70" w:line="268"/>
      </w:pPr>
      <w:r>
        <w:rPr>
          <w:rFonts w:ascii="Calibri" w:cs="Calibri" w:eastAsia="Calibri" w:hAnsi="Calibri"/>
          <w:b/>
          <w:bCs/>
          <w:color w:val="1A1A1A"/>
          <w:sz w:val="20"/>
          <w:szCs w:val="20"/>
        </w:rPr>
        <w:t xml:space="preserve">BIT</w:t>
      </w:r>
      <w:r>
        <w:rPr>
          <w:rFonts w:ascii="Calibri" w:cs="Calibri" w:eastAsia="Calibri" w:hAnsi="Calibri"/>
          <w:color w:val="1A1A1A"/>
          <w:sz w:val="20"/>
          <w:szCs w:val="20"/>
        </w:rPr>
        <w:t xml:space="preserve"> (Sheng Rong Hoo, Terry Lim, Meo Ling Tee) — platform/app and back-end build.</w:t>
      </w:r>
    </w:p>
    <w:p>
      <w:pPr>
        <w:pStyle w:val="ListParagraph"/>
        <w:numPr>
          <w:ilvl w:val="0"/>
          <w:numId w:val="2"/>
        </w:numPr>
        <w:spacing w:after="70" w:line="268"/>
      </w:pPr>
      <w:r>
        <w:rPr>
          <w:rFonts w:ascii="Calibri" w:cs="Calibri" w:eastAsia="Calibri" w:hAnsi="Calibri"/>
          <w:b/>
          <w:bCs/>
          <w:color w:val="1A1A1A"/>
          <w:sz w:val="20"/>
          <w:szCs w:val="20"/>
        </w:rPr>
        <w:t xml:space="preserve">Risk (RA)</w:t>
      </w:r>
      <w:r>
        <w:rPr>
          <w:rFonts w:ascii="Calibri" w:cs="Calibri" w:eastAsia="Calibri" w:hAnsi="Calibri"/>
          <w:color w:val="1A1A1A"/>
          <w:sz w:val="20"/>
          <w:szCs w:val="20"/>
        </w:rPr>
        <w:t xml:space="preserve"> (Sharon Kuo) — risk parameters, A-book hedging, problem-customer checks; RA intervention required for FCA Phase 2 LP switch.</w:t>
      </w:r>
    </w:p>
    <w:p>
      <w:pPr>
        <w:pStyle w:val="ListParagraph"/>
        <w:numPr>
          <w:ilvl w:val="0"/>
          <w:numId w:val="2"/>
        </w:numPr>
        <w:spacing w:after="70" w:line="268"/>
      </w:pPr>
      <w:r>
        <w:rPr>
          <w:rFonts w:ascii="Calibri" w:cs="Calibri" w:eastAsia="Calibri" w:hAnsi="Calibri"/>
          <w:b/>
          <w:bCs/>
          <w:color w:val="1A1A1A"/>
          <w:sz w:val="20"/>
          <w:szCs w:val="20"/>
        </w:rPr>
        <w:t xml:space="preserve">Compliance</w:t>
      </w:r>
      <w:r>
        <w:rPr>
          <w:rFonts w:ascii="Calibri" w:cs="Calibri" w:eastAsia="Calibri" w:hAnsi="Calibri"/>
          <w:color w:val="1A1A1A"/>
          <w:sz w:val="20"/>
          <w:szCs w:val="20"/>
        </w:rPr>
        <w:t xml:space="preserve"> (Ricky Hong) — regulatory sign-off, IP restrictions, LP-switch justification.</w:t>
      </w:r>
    </w:p>
    <w:p>
      <w:pPr>
        <w:pStyle w:val="ListParagraph"/>
        <w:numPr>
          <w:ilvl w:val="0"/>
          <w:numId w:val="2"/>
        </w:numPr>
        <w:spacing w:after="70" w:line="268"/>
      </w:pPr>
      <w:r>
        <w:rPr>
          <w:rFonts w:ascii="Calibri" w:cs="Calibri" w:eastAsia="Calibri" w:hAnsi="Calibri"/>
          <w:b/>
          <w:bCs/>
          <w:color w:val="1A1A1A"/>
          <w:sz w:val="20"/>
          <w:szCs w:val="20"/>
        </w:rPr>
        <w:t xml:space="preserve">Management sign-off</w:t>
      </w:r>
      <w:r>
        <w:rPr>
          <w:rFonts w:ascii="Calibri" w:cs="Calibri" w:eastAsia="Calibri" w:hAnsi="Calibri"/>
          <w:color w:val="1A1A1A"/>
          <w:sz w:val="20"/>
          <w:szCs w:val="20"/>
        </w:rPr>
        <w:t xml:space="preserve"> — e.g. final product naming for Synthetic 1.0 is "awaiting management approval," and Ultimate Top-22 optimisation range/rebate intensity needs boss (Kevin Nozaki) confirmation.</w:t>
      </w:r>
    </w:p>
    <w:p>
      <w:pPr>
        <w:pStyle w:val="ListParagraph"/>
        <w:numPr>
          <w:ilvl w:val="0"/>
          <w:numId w:val="2"/>
        </w:numPr>
        <w:spacing w:after="70" w:line="268"/>
      </w:pPr>
      <w:r>
        <w:rPr>
          <w:rFonts w:ascii="Calibri" w:cs="Calibri" w:eastAsia="Calibri" w:hAnsi="Calibri"/>
          <w:b/>
          <w:bCs/>
          <w:color w:val="1A1A1A"/>
          <w:sz w:val="20"/>
          <w:szCs w:val="20"/>
        </w:rPr>
        <w:t xml:space="preserve">Rebate governance: </w:t>
      </w:r>
      <w:r>
        <w:rPr>
          <w:rFonts w:ascii="Calibri" w:cs="Calibri" w:eastAsia="Calibri" w:hAnsi="Calibri"/>
          <w:color w:val="1A1A1A"/>
          <w:sz w:val="20"/>
          <w:szCs w:val="20"/>
        </w:rPr>
        <w:t xml:space="preserve">per Cheong's handover, "the three major bosses all need to have no problem with rebates, because they will go to the entire UM in future" — rebate changes are brand-wide and require multi-boss consensus, not a local call.</w:t>
      </w:r>
    </w:p>
    <w:p>
      <w:r>
        <w:br w:type="page"/>
      </w:r>
    </w:p>
    <w:p>
      <w:pPr>
        <w:pStyle w:val="Heading1"/>
        <w:spacing w:after="140" w:before="320"/>
      </w:pPr>
      <w:r>
        <w:rPr>
          <w:rFonts w:ascii="Calibri" w:cs="Calibri" w:eastAsia="Calibri" w:hAnsi="Calibri"/>
          <w:b/>
          <w:bCs/>
          <w:color w:val="1F4A3F"/>
          <w:sz w:val="30"/>
          <w:szCs w:val="30"/>
        </w:rPr>
        <w:t xml:space="preserve">2. Sales &amp; Marketing</w:t>
      </w:r>
    </w:p>
    <w:p>
      <w:pPr>
        <w:pStyle w:val="Heading2"/>
        <w:spacing w:after="90" w:before="220"/>
      </w:pPr>
      <w:r>
        <w:rPr>
          <w:rFonts w:ascii="Calibri" w:cs="Calibri" w:eastAsia="Calibri" w:hAnsi="Calibri"/>
          <w:b/>
          <w:bCs/>
          <w:color w:val="1A1A1A"/>
          <w:sz w:val="24"/>
          <w:szCs w:val="24"/>
        </w:rPr>
        <w:t xml:space="preserve">2.A  Promotion strategy</w:t>
      </w:r>
    </w:p>
    <w:p>
      <w:pPr>
        <w:pStyle w:val="ListParagraph"/>
        <w:numPr>
          <w:ilvl w:val="0"/>
          <w:numId w:val="2"/>
        </w:numPr>
        <w:spacing w:after="70" w:line="268"/>
      </w:pPr>
      <w:r>
        <w:rPr>
          <w:rFonts w:ascii="Calibri" w:cs="Calibri" w:eastAsia="Calibri" w:hAnsi="Calibri"/>
          <w:b/>
          <w:bCs/>
          <w:color w:val="1A1A1A"/>
          <w:sz w:val="20"/>
          <w:szCs w:val="20"/>
        </w:rPr>
        <w:t xml:space="preserve">Aggressive pricing as the headline lever ("Exness-ification").</w:t>
      </w:r>
      <w:r>
        <w:rPr>
          <w:rFonts w:ascii="Calibri" w:cs="Calibri" w:eastAsia="Calibri" w:hAnsi="Calibri"/>
          <w:color w:val="1A1A1A"/>
          <w:sz w:val="20"/>
          <w:szCs w:val="20"/>
        </w:rPr>
        <w:t xml:space="preserve"> The Ultimate account type optimises spreads 20% across all products, up to 27% for the Top-22 volume products — an explicit move to compete with Exness Pro (a Proposal Spread Table benchmarks APAC Premium vs Ultimate vs Exness Pro).</w:t>
      </w:r>
    </w:p>
    <w:p>
      <w:pPr>
        <w:pStyle w:val="ListParagraph"/>
        <w:numPr>
          <w:ilvl w:val="0"/>
          <w:numId w:val="2"/>
        </w:numPr>
        <w:spacing w:after="70" w:line="268"/>
      </w:pPr>
      <w:r>
        <w:rPr>
          <w:rFonts w:ascii="Calibri" w:cs="Calibri" w:eastAsia="Calibri" w:hAnsi="Calibri"/>
          <w:b/>
          <w:bCs/>
          <w:color w:val="1A1A1A"/>
          <w:sz w:val="20"/>
          <w:szCs w:val="20"/>
        </w:rPr>
        <w:t xml:space="preserve">Loyalty Program</w:t>
      </w:r>
      <w:r>
        <w:rPr>
          <w:rFonts w:ascii="Calibri" w:cs="Calibri" w:eastAsia="Calibri" w:hAnsi="Calibri"/>
          <w:color w:val="1A1A1A"/>
          <w:sz w:val="20"/>
          <w:szCs w:val="20"/>
        </w:rPr>
        <w:t xml:space="preserve"> — 3-tier account system (Standard / Low / General), targeting 21 July 2026 launch; the existing cashback campaign is scheduled to conclude end-July to hand over to it.</w:t>
      </w:r>
    </w:p>
    <w:p>
      <w:pPr>
        <w:pStyle w:val="ListParagraph"/>
        <w:numPr>
          <w:ilvl w:val="0"/>
          <w:numId w:val="2"/>
        </w:numPr>
        <w:spacing w:after="70" w:line="268"/>
      </w:pPr>
      <w:r>
        <w:rPr>
          <w:rFonts w:ascii="Calibri" w:cs="Calibri" w:eastAsia="Calibri" w:hAnsi="Calibri"/>
          <w:b/>
          <w:bCs/>
          <w:color w:val="1A1A1A"/>
          <w:sz w:val="20"/>
          <w:szCs w:val="20"/>
        </w:rPr>
        <w:t xml:space="preserve">Regional campaigns</w:t>
      </w:r>
      <w:r>
        <w:rPr>
          <w:rFonts w:ascii="Calibri" w:cs="Calibri" w:eastAsia="Calibri" w:hAnsi="Calibri"/>
          <w:color w:val="1A1A1A"/>
          <w:sz w:val="20"/>
          <w:szCs w:val="20"/>
        </w:rPr>
        <w:t xml:space="preserve"> — e.g. a proposed UMJ Japan live-trading account competition in September (one-month duration), timed after the loyalty launch and August user-acquisition push.</w:t>
      </w:r>
    </w:p>
    <w:p>
      <w:pPr>
        <w:pStyle w:val="ListParagraph"/>
        <w:numPr>
          <w:ilvl w:val="0"/>
          <w:numId w:val="2"/>
        </w:numPr>
        <w:spacing w:after="70" w:line="268"/>
      </w:pPr>
      <w:r>
        <w:rPr>
          <w:rFonts w:ascii="Calibri" w:cs="Calibri" w:eastAsia="Calibri" w:hAnsi="Calibri"/>
          <w:b/>
          <w:bCs/>
          <w:color w:val="1A1A1A"/>
          <w:sz w:val="20"/>
          <w:szCs w:val="20"/>
        </w:rPr>
        <w:t xml:space="preserve">Sponsorship — Inter Milan.</w:t>
      </w:r>
      <w:r>
        <w:rPr>
          <w:rFonts w:ascii="Calibri" w:cs="Calibri" w:eastAsia="Calibri" w:hAnsi="Calibri"/>
          <w:color w:val="1A1A1A"/>
          <w:sz w:val="20"/>
          <w:szCs w:val="20"/>
        </w:rPr>
        <w:t xml:space="preserve"> Ultima Markets signed a multi-year deal as Inter Milan's Official Regional Partner for Asia (its first sports sponsorship; announced ~Feb 2026), including co-branded content, digital activations and Asia-focused educational initiatives. Inter's large Asian/social following is the target.</w:t>
      </w:r>
    </w:p>
    <w:p>
      <w:pPr>
        <w:pStyle w:val="ListParagraph"/>
        <w:numPr>
          <w:ilvl w:val="0"/>
          <w:numId w:val="2"/>
        </w:numPr>
        <w:spacing w:after="70" w:line="268"/>
      </w:pPr>
      <w:r>
        <w:rPr>
          <w:rFonts w:ascii="Calibri" w:cs="Calibri" w:eastAsia="Calibri" w:hAnsi="Calibri"/>
          <w:b/>
          <w:bCs/>
          <w:color w:val="1A1A1A"/>
          <w:sz w:val="20"/>
          <w:szCs w:val="20"/>
        </w:rPr>
        <w:t xml:space="preserve">ESG / trust positioning.</w:t>
      </w:r>
      <w:r>
        <w:rPr>
          <w:rFonts w:ascii="Calibri" w:cs="Calibri" w:eastAsia="Calibri" w:hAnsi="Calibri"/>
          <w:color w:val="1A1A1A"/>
          <w:sz w:val="20"/>
          <w:szCs w:val="20"/>
        </w:rPr>
        <w:t xml:space="preserve"> "First CFD broker in the UN Global Compact" (Dec 2024) is used as a headline differentiator, alongside the "Fastest Growing Forex Broker 2025" award and "Best CFD Broker in Asia"-type recognitions. The brand leans on trust/sustainability messaging rather than a pure price message externally.</w:t>
      </w:r>
    </w:p>
    <w:p>
      <w:pPr>
        <w:shd w:fill="FFF7ED" w:color="auto" w:val="clear"/>
        <w:spacing w:after="90" w:line="268"/>
      </w:pPr>
      <w:r>
        <w:rPr>
          <w:rFonts w:ascii="Calibri" w:cs="Calibri" w:eastAsia="Calibri" w:hAnsi="Calibri"/>
          <w:b/>
          <w:bCs/>
          <w:color w:val="92400E"/>
          <w:sz w:val="18"/>
          <w:szCs w:val="18"/>
        </w:rPr>
        <w:t xml:space="preserve">  [INTERNAL — to confirm] </w:t>
      </w:r>
      <w:r>
        <w:rPr>
          <w:rFonts w:ascii="Calibri" w:cs="Calibri" w:eastAsia="Calibri" w:hAnsi="Calibri"/>
          <w:color w:val="92400E"/>
          <w:sz w:val="18"/>
          <w:szCs w:val="18"/>
        </w:rPr>
        <w:t xml:space="preserve">A single official slogan/tagline wasn't confirmed in sources; the brand markets around "your trading partner since 2016" and trust/ESG themes. Confirm the current official tagline.  ·  Owner: Marketing (Judy Lam)  </w:t>
      </w:r>
    </w:p>
    <w:p>
      <w:pPr>
        <w:pStyle w:val="Heading2"/>
        <w:spacing w:after="90" w:before="220"/>
      </w:pPr>
      <w:r>
        <w:rPr>
          <w:rFonts w:ascii="Calibri" w:cs="Calibri" w:eastAsia="Calibri" w:hAnsi="Calibri"/>
          <w:b/>
          <w:bCs/>
          <w:color w:val="1A1A1A"/>
          <w:sz w:val="24"/>
          <w:szCs w:val="24"/>
        </w:rPr>
        <w:t xml:space="preserve">2.B  Core competency</w:t>
      </w:r>
    </w:p>
    <w:p>
      <w:pPr>
        <w:spacing w:after="120" w:line="276"/>
      </w:pPr>
      <w:r>
        <w:rPr>
          <w:rFonts w:ascii="Calibri" w:cs="Calibri" w:eastAsia="Calibri" w:hAnsi="Calibri"/>
          <w:color w:val="1A1A1A"/>
          <w:sz w:val="20"/>
          <w:szCs w:val="20"/>
        </w:rPr>
        <w:t xml:space="preserve">The edge is </w:t>
      </w:r>
      <w:r>
        <w:rPr>
          <w:rFonts w:ascii="Calibri" w:cs="Calibri" w:eastAsia="Calibri" w:hAnsi="Calibri"/>
          <w:b/>
          <w:bCs/>
          <w:color w:val="1A1A1A"/>
          <w:sz w:val="20"/>
          <w:szCs w:val="20"/>
        </w:rPr>
        <w:t xml:space="preserve">pricing + distribution (marketing/sales-led), not proprietary product.</w:t>
      </w:r>
      <w:r>
        <w:rPr>
          <w:rFonts w:ascii="Calibri" w:cs="Calibri" w:eastAsia="Calibri" w:hAnsi="Calibri"/>
          <w:color w:val="1A1A1A"/>
          <w:sz w:val="20"/>
          <w:szCs w:val="20"/>
        </w:rPr>
        <w:t xml:space="preserve"> Evidence: UM's differentiation is built on low spreads relative to V Brand and heavy IB reliance; its flagship projects are all pricing/loyalty programs; and its "new" product line (Synthetic 1.0) is a replication of Vantage's, not an in-house innovation.</w:t>
      </w:r>
    </w:p>
    <w:p>
      <w:pPr>
        <w:pStyle w:val="Heading2"/>
        <w:spacing w:after="90" w:before="220"/>
      </w:pPr>
      <w:r>
        <w:rPr>
          <w:rFonts w:ascii="Calibri" w:cs="Calibri" w:eastAsia="Calibri" w:hAnsi="Calibri"/>
          <w:b/>
          <w:bCs/>
          <w:color w:val="1A1A1A"/>
          <w:sz w:val="24"/>
          <w:szCs w:val="24"/>
        </w:rPr>
        <w:t xml:space="preserve">2.C  Core competitors</w:t>
      </w:r>
    </w:p>
    <w:p>
      <w:pPr>
        <w:pStyle w:val="ListParagraph"/>
        <w:numPr>
          <w:ilvl w:val="0"/>
          <w:numId w:val="2"/>
        </w:numPr>
        <w:spacing w:after="70" w:line="268"/>
      </w:pPr>
      <w:r>
        <w:rPr>
          <w:rFonts w:ascii="Calibri" w:cs="Calibri" w:eastAsia="Calibri" w:hAnsi="Calibri"/>
          <w:b/>
          <w:bCs/>
          <w:color w:val="1A1A1A"/>
          <w:sz w:val="20"/>
          <w:szCs w:val="20"/>
        </w:rPr>
        <w:t xml:space="preserve">Internal benchmark: </w:t>
      </w:r>
      <w:r>
        <w:rPr>
          <w:rFonts w:ascii="Calibri" w:cs="Calibri" w:eastAsia="Calibri" w:hAnsi="Calibri"/>
          <w:color w:val="1A1A1A"/>
          <w:sz w:val="20"/>
          <w:szCs w:val="20"/>
        </w:rPr>
        <w:t xml:space="preserve">Vantage / "V Brand" — the constant reference for spread, DPM and rebate.</w:t>
      </w:r>
    </w:p>
    <w:p>
      <w:pPr>
        <w:pStyle w:val="ListParagraph"/>
        <w:numPr>
          <w:ilvl w:val="0"/>
          <w:numId w:val="2"/>
        </w:numPr>
        <w:spacing w:after="70" w:line="268"/>
      </w:pPr>
      <w:r>
        <w:rPr>
          <w:rFonts w:ascii="Calibri" w:cs="Calibri" w:eastAsia="Calibri" w:hAnsi="Calibri"/>
          <w:b/>
          <w:bCs/>
          <w:color w:val="1A1A1A"/>
          <w:sz w:val="20"/>
          <w:szCs w:val="20"/>
        </w:rPr>
        <w:t xml:space="preserve">External, positioning target: </w:t>
      </w:r>
      <w:r>
        <w:rPr>
          <w:rFonts w:ascii="Calibri" w:cs="Calibri" w:eastAsia="Calibri" w:hAnsi="Calibri"/>
          <w:color w:val="1A1A1A"/>
          <w:sz w:val="20"/>
          <w:szCs w:val="20"/>
        </w:rPr>
        <w:t xml:space="preserve">Exness (the "Exness-ification" spread benchmark; Ultimate vs Exness Pro).</w:t>
      </w:r>
    </w:p>
    <w:p>
      <w:pPr>
        <w:pStyle w:val="ListParagraph"/>
        <w:numPr>
          <w:ilvl w:val="0"/>
          <w:numId w:val="2"/>
        </w:numPr>
        <w:spacing w:after="70" w:line="268"/>
      </w:pPr>
      <w:r>
        <w:rPr>
          <w:rFonts w:ascii="Calibri" w:cs="Calibri" w:eastAsia="Calibri" w:hAnsi="Calibri"/>
          <w:b/>
          <w:bCs/>
          <w:color w:val="1A1A1A"/>
          <w:sz w:val="20"/>
          <w:szCs w:val="20"/>
        </w:rPr>
        <w:t xml:space="preserve">External, market peers: </w:t>
      </w:r>
      <w:r>
        <w:rPr>
          <w:rFonts w:ascii="Calibri" w:cs="Calibri" w:eastAsia="Calibri" w:hAnsi="Calibri"/>
          <w:color w:val="1A1A1A"/>
          <w:sz w:val="20"/>
          <w:szCs w:val="20"/>
        </w:rPr>
        <w:t xml:space="preserve">in the UK/regulated space, IG Group and CMC Markets (the entrenched incumbents Finance Magnates flags for UM's UK push); third-party trackers also list Webull, OANDA and Plus500 as comparables. Myfxbook pairs UM against IUX in SE Asia.</w:t>
      </w:r>
    </w:p>
    <w:p>
      <w:pPr>
        <w:pStyle w:val="Heading2"/>
        <w:spacing w:after="90" w:before="220"/>
      </w:pPr>
      <w:r>
        <w:rPr>
          <w:rFonts w:ascii="Calibri" w:cs="Calibri" w:eastAsia="Calibri" w:hAnsi="Calibri"/>
          <w:b/>
          <w:bCs/>
          <w:color w:val="1A1A1A"/>
          <w:sz w:val="24"/>
          <w:szCs w:val="24"/>
        </w:rPr>
        <w:t xml:space="preserve">2.D  Main customer groups</w:t>
      </w:r>
    </w:p>
    <w:p>
      <w:pPr>
        <w:pStyle w:val="ListParagraph"/>
        <w:numPr>
          <w:ilvl w:val="0"/>
          <w:numId w:val="2"/>
        </w:numPr>
        <w:spacing w:after="70" w:line="268"/>
      </w:pPr>
      <w:r>
        <w:rPr>
          <w:rFonts w:ascii="Calibri" w:cs="Calibri" w:eastAsia="Calibri" w:hAnsi="Calibri"/>
          <w:b/>
          <w:bCs/>
          <w:color w:val="1A1A1A"/>
          <w:sz w:val="20"/>
          <w:szCs w:val="20"/>
        </w:rPr>
        <w:t xml:space="preserve">IB / partner-driven retail flow is dominant</w:t>
      </w:r>
      <w:r>
        <w:rPr>
          <w:rFonts w:ascii="Calibri" w:cs="Calibri" w:eastAsia="Calibri" w:hAnsi="Calibri"/>
          <w:color w:val="1A1A1A"/>
          <w:sz w:val="20"/>
          <w:szCs w:val="20"/>
        </w:rPr>
        <w:t xml:space="preserve"> — consistent with the group pattern where IB contributes the majority of volume. UMJ additionally leans on middle-level IB activation for deposit growth.</w:t>
      </w:r>
    </w:p>
    <w:p>
      <w:pPr>
        <w:pStyle w:val="ListParagraph"/>
        <w:numPr>
          <w:ilvl w:val="0"/>
          <w:numId w:val="2"/>
        </w:numPr>
        <w:spacing w:after="70" w:line="268"/>
      </w:pPr>
      <w:r>
        <w:rPr>
          <w:rFonts w:ascii="Calibri" w:cs="Calibri" w:eastAsia="Calibri" w:hAnsi="Calibri"/>
          <w:b/>
          <w:bCs/>
          <w:color w:val="1A1A1A"/>
          <w:sz w:val="20"/>
          <w:szCs w:val="20"/>
        </w:rPr>
        <w:t xml:space="preserve">Geographies: </w:t>
      </w:r>
      <w:r>
        <w:rPr>
          <w:rFonts w:ascii="Calibri" w:cs="Calibri" w:eastAsia="Calibri" w:hAnsi="Calibri"/>
          <w:color w:val="1A1A1A"/>
          <w:sz w:val="20"/>
          <w:szCs w:val="20"/>
        </w:rPr>
        <w:t xml:space="preserve">Europe and South-East Asia for core UM; Japan for UMJ.</w:t>
      </w:r>
    </w:p>
    <w:p>
      <w:pPr>
        <w:spacing w:after="120" w:line="276"/>
      </w:pPr>
      <w:r>
        <w:rPr>
          <w:rFonts w:ascii="Calibri" w:cs="Calibri" w:eastAsia="Calibri" w:hAnsi="Calibri"/>
          <w:color w:val="1A1A1A"/>
          <w:sz w:val="20"/>
          <w:szCs w:val="20"/>
        </w:rPr>
        <w:t xml:space="preserve">June 2026 volume by country (Top 5, ~69% combined):</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1600"/>
        <w:gridCol w:w="1240"/>
        <w:gridCol w:w="1240"/>
        <w:gridCol w:w="1180"/>
        <w:gridCol w:w="1240"/>
        <w:gridCol w:w="1300"/>
        <w:gridCol w:w="1200"/>
      </w:tblGrid>
      <w:tr>
        <w:trPr>
          <w:tblHeader/>
        </w:trPr>
        <w:tc>
          <w:tcPr>
            <w:tcW w:type="dxa" w:w="16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Country</w:t>
            </w:r>
          </w:p>
        </w:tc>
        <w:tc>
          <w:tcPr>
            <w:tcW w:type="dxa" w:w="124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China</w:t>
            </w:r>
          </w:p>
        </w:tc>
        <w:tc>
          <w:tcPr>
            <w:tcW w:type="dxa" w:w="124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Malaysia</w:t>
            </w:r>
          </w:p>
        </w:tc>
        <w:tc>
          <w:tcPr>
            <w:tcW w:type="dxa" w:w="118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Italy</w:t>
            </w:r>
          </w:p>
        </w:tc>
        <w:tc>
          <w:tcPr>
            <w:tcW w:type="dxa" w:w="124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Indonesia</w:t>
            </w:r>
          </w:p>
        </w:tc>
        <w:tc>
          <w:tcPr>
            <w:tcW w:type="dxa" w:w="13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Hong Kong</w:t>
            </w:r>
          </w:p>
        </w:tc>
        <w:tc>
          <w:tcPr>
            <w:tcW w:type="dxa" w:w="12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Others</w:t>
            </w:r>
          </w:p>
        </w:tc>
      </w:tr>
      <w:tr>
        <w:trPr>
          <w:cantSplit/>
        </w:trPr>
        <w:tc>
          <w:tcPr>
            <w:tcW w:type="dxa" w:w="1600"/>
            <w:tcMar>
              <w:top w:type="dxa" w:w="50"/>
              <w:left w:type="dxa" w:w="90"/>
              <w:bottom w:type="dxa" w:w="50"/>
              <w:right w:type="dxa" w:w="90"/>
            </w:tcMar>
          </w:tcPr>
          <w:p>
            <w:r>
              <w:rPr>
                <w:rFonts w:ascii="Calibri" w:cs="Calibri" w:eastAsia="Calibri" w:hAnsi="Calibri"/>
                <w:b/>
                <w:bCs/>
                <w:color w:val="1A1A1A"/>
                <w:sz w:val="17"/>
                <w:szCs w:val="17"/>
              </w:rPr>
              <w:t xml:space="preserve">Vol share</w:t>
            </w:r>
          </w:p>
        </w:tc>
        <w:tc>
          <w:tcPr>
            <w:tcW w:type="dxa" w:w="1240"/>
            <w:tcMar>
              <w:top w:type="dxa" w:w="50"/>
              <w:left w:type="dxa" w:w="90"/>
              <w:bottom w:type="dxa" w:w="50"/>
              <w:right w:type="dxa" w:w="90"/>
            </w:tcMar>
          </w:tcPr>
          <w:p>
            <w:r>
              <w:rPr>
                <w:rFonts w:ascii="Calibri" w:cs="Calibri" w:eastAsia="Calibri" w:hAnsi="Calibri"/>
                <w:b w:val="false"/>
                <w:bCs w:val="false"/>
                <w:color w:val="1A1A1A"/>
                <w:sz w:val="17"/>
                <w:szCs w:val="17"/>
              </w:rPr>
              <w:t xml:space="preserve">20%</w:t>
            </w:r>
          </w:p>
        </w:tc>
        <w:tc>
          <w:tcPr>
            <w:tcW w:type="dxa" w:w="1240"/>
            <w:tcMar>
              <w:top w:type="dxa" w:w="50"/>
              <w:left w:type="dxa" w:w="90"/>
              <w:bottom w:type="dxa" w:w="50"/>
              <w:right w:type="dxa" w:w="90"/>
            </w:tcMar>
          </w:tcPr>
          <w:p>
            <w:r>
              <w:rPr>
                <w:rFonts w:ascii="Calibri" w:cs="Calibri" w:eastAsia="Calibri" w:hAnsi="Calibri"/>
                <w:b w:val="false"/>
                <w:bCs w:val="false"/>
                <w:color w:val="1A1A1A"/>
                <w:sz w:val="17"/>
                <w:szCs w:val="17"/>
              </w:rPr>
              <w:t xml:space="preserve">17%</w:t>
            </w:r>
          </w:p>
        </w:tc>
        <w:tc>
          <w:tcPr>
            <w:tcW w:type="dxa" w:w="1180"/>
            <w:tcMar>
              <w:top w:type="dxa" w:w="50"/>
              <w:left w:type="dxa" w:w="90"/>
              <w:bottom w:type="dxa" w:w="50"/>
              <w:right w:type="dxa" w:w="90"/>
            </w:tcMar>
          </w:tcPr>
          <w:p>
            <w:r>
              <w:rPr>
                <w:rFonts w:ascii="Calibri" w:cs="Calibri" w:eastAsia="Calibri" w:hAnsi="Calibri"/>
                <w:b w:val="false"/>
                <w:bCs w:val="false"/>
                <w:color w:val="1A1A1A"/>
                <w:sz w:val="17"/>
                <w:szCs w:val="17"/>
              </w:rPr>
              <w:t xml:space="preserve">16%</w:t>
            </w:r>
          </w:p>
        </w:tc>
        <w:tc>
          <w:tcPr>
            <w:tcW w:type="dxa" w:w="1240"/>
            <w:tcMar>
              <w:top w:type="dxa" w:w="50"/>
              <w:left w:type="dxa" w:w="90"/>
              <w:bottom w:type="dxa" w:w="50"/>
              <w:right w:type="dxa" w:w="90"/>
            </w:tcMar>
          </w:tcPr>
          <w:p>
            <w:r>
              <w:rPr>
                <w:rFonts w:ascii="Calibri" w:cs="Calibri" w:eastAsia="Calibri" w:hAnsi="Calibri"/>
                <w:b w:val="false"/>
                <w:bCs w:val="false"/>
                <w:color w:val="1A1A1A"/>
                <w:sz w:val="17"/>
                <w:szCs w:val="17"/>
              </w:rPr>
              <w:t xml:space="preserve">10%</w:t>
            </w:r>
          </w:p>
        </w:tc>
        <w:tc>
          <w:tcPr>
            <w:tcW w:type="dxa" w:w="1300"/>
            <w:tcMar>
              <w:top w:type="dxa" w:w="50"/>
              <w:left w:type="dxa" w:w="90"/>
              <w:bottom w:type="dxa" w:w="50"/>
              <w:right w:type="dxa" w:w="90"/>
            </w:tcMar>
          </w:tcPr>
          <w:p>
            <w:r>
              <w:rPr>
                <w:rFonts w:ascii="Calibri" w:cs="Calibri" w:eastAsia="Calibri" w:hAnsi="Calibri"/>
                <w:b w:val="false"/>
                <w:bCs w:val="false"/>
                <w:color w:val="1A1A1A"/>
                <w:sz w:val="17"/>
                <w:szCs w:val="17"/>
              </w:rPr>
              <w:t xml:space="preserve">6%</w:t>
            </w:r>
          </w:p>
        </w:tc>
        <w:tc>
          <w:tcPr>
            <w:tcW w:type="dxa" w:w="1200"/>
            <w:tcMar>
              <w:top w:type="dxa" w:w="50"/>
              <w:left w:type="dxa" w:w="90"/>
              <w:bottom w:type="dxa" w:w="50"/>
              <w:right w:type="dxa" w:w="90"/>
            </w:tcMar>
          </w:tcPr>
          <w:p>
            <w:r>
              <w:rPr>
                <w:rFonts w:ascii="Calibri" w:cs="Calibri" w:eastAsia="Calibri" w:hAnsi="Calibri"/>
                <w:b w:val="false"/>
                <w:bCs w:val="false"/>
                <w:color w:val="1A1A1A"/>
                <w:sz w:val="17"/>
                <w:szCs w:val="17"/>
              </w:rPr>
              <w:t xml:space="preserve">20%</w:t>
            </w:r>
          </w:p>
        </w:tc>
      </w:tr>
    </w:tbl>
    <w:p>
      <w:pPr>
        <w:spacing w:after="80"/>
      </w:pPr>
    </w:p>
    <w:p>
      <w:pPr>
        <w:spacing w:after="120" w:line="276"/>
      </w:pPr>
      <w:r>
        <w:rPr>
          <w:rFonts w:ascii="Calibri" w:cs="Calibri" w:eastAsia="Calibri" w:hAnsi="Calibri"/>
          <w:i/>
          <w:iCs/>
          <w:color w:val="6B7280"/>
          <w:sz w:val="18"/>
          <w:szCs w:val="18"/>
        </w:rPr>
        <w:t xml:space="preserve">Note: APAC ~10% and Japan ~1% also appear in the country chart; Japan volume is small because UMJ is run as a separate operation.</w:t>
      </w:r>
    </w:p>
    <w:p>
      <w:pPr>
        <w:shd w:fill="FFF7ED" w:color="auto" w:val="clear"/>
        <w:spacing w:after="90" w:line="268"/>
      </w:pPr>
      <w:r>
        <w:rPr>
          <w:rFonts w:ascii="Calibri" w:cs="Calibri" w:eastAsia="Calibri" w:hAnsi="Calibri"/>
          <w:b/>
          <w:bCs/>
          <w:color w:val="92400E"/>
          <w:sz w:val="18"/>
          <w:szCs w:val="18"/>
        </w:rPr>
        <w:t xml:space="preserve">  [INTERNAL — to confirm] </w:t>
      </w:r>
      <w:r>
        <w:rPr>
          <w:rFonts w:ascii="Calibri" w:cs="Calibri" w:eastAsia="Calibri" w:hAnsi="Calibri"/>
          <w:color w:val="92400E"/>
          <w:sz w:val="18"/>
          <w:szCs w:val="18"/>
        </w:rPr>
        <w:t xml:space="preserve">Volume by country is now available (above); still needed are the exact retail-vs-IB split and revenue (PNL) by country — volume share ≠ revenue share, especially given metals concentration.  ·  Owner: Data (Beatrice Law) / Sales  </w:t>
      </w:r>
    </w:p>
    <w:p>
      <w:pPr>
        <w:pStyle w:val="Heading2"/>
        <w:spacing w:after="90" w:before="220"/>
      </w:pPr>
      <w:r>
        <w:rPr>
          <w:rFonts w:ascii="Calibri" w:cs="Calibri" w:eastAsia="Calibri" w:hAnsi="Calibri"/>
          <w:b/>
          <w:bCs/>
          <w:color w:val="1A1A1A"/>
          <w:sz w:val="24"/>
          <w:szCs w:val="24"/>
        </w:rPr>
        <w:t xml:space="preserve">2.E–F  Sales composition &amp; team</w:t>
      </w:r>
    </w:p>
    <w:p>
      <w:pPr>
        <w:spacing w:after="120" w:line="276"/>
      </w:pPr>
      <w:r>
        <w:rPr>
          <w:rFonts w:ascii="Calibri" w:cs="Calibri" w:eastAsia="Calibri" w:hAnsi="Calibri"/>
          <w:color w:val="1A1A1A"/>
          <w:sz w:val="20"/>
          <w:szCs w:val="20"/>
        </w:rPr>
        <w:t xml:space="preserve">UM front-end org (from the group structure sheet):</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2600"/>
        <w:gridCol w:w="6400"/>
      </w:tblGrid>
      <w:tr>
        <w:trPr>
          <w:tblHeader/>
        </w:trPr>
        <w:tc>
          <w:tcPr>
            <w:tcW w:type="dxa" w:w="26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Function</w:t>
            </w:r>
          </w:p>
        </w:tc>
        <w:tc>
          <w:tcPr>
            <w:tcW w:type="dxa" w:w="64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People (UM column)</w:t>
            </w:r>
          </w:p>
        </w:tc>
      </w:tr>
      <w:tr>
        <w:trPr>
          <w:cantSplit/>
        </w:trPr>
        <w:tc>
          <w:tcPr>
            <w:tcW w:type="dxa" w:w="2600"/>
            <w:tcMar>
              <w:top w:type="dxa" w:w="50"/>
              <w:left w:type="dxa" w:w="90"/>
              <w:bottom w:type="dxa" w:w="50"/>
              <w:right w:type="dxa" w:w="90"/>
            </w:tcMar>
          </w:tcPr>
          <w:p>
            <w:r>
              <w:rPr>
                <w:rFonts w:ascii="Calibri" w:cs="Calibri" w:eastAsia="Calibri" w:hAnsi="Calibri"/>
                <w:b/>
                <w:bCs/>
                <w:color w:val="1A1A1A"/>
                <w:sz w:val="17"/>
                <w:szCs w:val="17"/>
              </w:rPr>
              <w:t xml:space="preserve">Boss / owner</w:t>
            </w:r>
          </w:p>
        </w:tc>
        <w:tc>
          <w:tcPr>
            <w:tcW w:type="dxa" w:w="6400"/>
            <w:tcMar>
              <w:top w:type="dxa" w:w="50"/>
              <w:left w:type="dxa" w:w="90"/>
              <w:bottom w:type="dxa" w:w="50"/>
              <w:right w:type="dxa" w:w="90"/>
            </w:tcMar>
          </w:tcPr>
          <w:p>
            <w:r>
              <w:rPr>
                <w:rFonts w:ascii="Calibri" w:cs="Calibri" w:eastAsia="Calibri" w:hAnsi="Calibri"/>
                <w:b w:val="false"/>
                <w:bCs w:val="false"/>
                <w:color w:val="1A1A1A"/>
                <w:sz w:val="17"/>
                <w:szCs w:val="17"/>
              </w:rPr>
              <w:t xml:space="preserve">Deric Chan (APAC Thomas), Jackson Li, Kevin Nozaki (VTJ Kengo)</w:t>
            </w:r>
          </w:p>
        </w:tc>
      </w:tr>
      <w:tr>
        <w:trPr>
          <w:cantSplit/>
        </w:trPr>
        <w:tc>
          <w:tcPr>
            <w:tcW w:type="dxa" w:w="26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PM</w:t>
            </w:r>
          </w:p>
        </w:tc>
        <w:tc>
          <w:tcPr>
            <w:tcW w:type="dxa" w:w="6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BO Coordinator, Elsa Ser, Mind Suthinee, Amy Lim</w:t>
            </w:r>
          </w:p>
        </w:tc>
      </w:tr>
      <w:tr>
        <w:trPr>
          <w:cantSplit/>
        </w:trPr>
        <w:tc>
          <w:tcPr>
            <w:tcW w:type="dxa" w:w="2600"/>
            <w:tcMar>
              <w:top w:type="dxa" w:w="50"/>
              <w:left w:type="dxa" w:w="90"/>
              <w:bottom w:type="dxa" w:w="50"/>
              <w:right w:type="dxa" w:w="90"/>
            </w:tcMar>
          </w:tcPr>
          <w:p>
            <w:r>
              <w:rPr>
                <w:rFonts w:ascii="Calibri" w:cs="Calibri" w:eastAsia="Calibri" w:hAnsi="Calibri"/>
                <w:b/>
                <w:bCs/>
                <w:color w:val="1A1A1A"/>
                <w:sz w:val="17"/>
                <w:szCs w:val="17"/>
              </w:rPr>
              <w:t xml:space="preserve">Sales (大銷售)</w:t>
            </w:r>
          </w:p>
        </w:tc>
        <w:tc>
          <w:tcPr>
            <w:tcW w:type="dxa" w:w="6400"/>
            <w:tcMar>
              <w:top w:type="dxa" w:w="50"/>
              <w:left w:type="dxa" w:w="90"/>
              <w:bottom w:type="dxa" w:w="50"/>
              <w:right w:type="dxa" w:w="90"/>
            </w:tcMar>
          </w:tcPr>
          <w:p>
            <w:r>
              <w:rPr>
                <w:rFonts w:ascii="Calibri" w:cs="Calibri" w:eastAsia="Calibri" w:hAnsi="Calibri"/>
                <w:b w:val="false"/>
                <w:bCs w:val="false"/>
                <w:color w:val="1A1A1A"/>
                <w:sz w:val="17"/>
                <w:szCs w:val="17"/>
              </w:rPr>
              <w:t xml:space="preserve">Hank Lin, Jack Li, Alex Pang, Freddy W</w:t>
            </w:r>
          </w:p>
        </w:tc>
      </w:tr>
      <w:tr>
        <w:trPr>
          <w:cantSplit/>
        </w:trPr>
        <w:tc>
          <w:tcPr>
            <w:tcW w:type="dxa" w:w="26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OP</w:t>
            </w:r>
          </w:p>
        </w:tc>
        <w:tc>
          <w:tcPr>
            <w:tcW w:type="dxa" w:w="6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Hams Kang</w:t>
            </w:r>
          </w:p>
        </w:tc>
      </w:tr>
      <w:tr>
        <w:trPr>
          <w:cantSplit/>
        </w:trPr>
        <w:tc>
          <w:tcPr>
            <w:tcW w:type="dxa" w:w="2600"/>
            <w:tcMar>
              <w:top w:type="dxa" w:w="50"/>
              <w:left w:type="dxa" w:w="90"/>
              <w:bottom w:type="dxa" w:w="50"/>
              <w:right w:type="dxa" w:w="90"/>
            </w:tcMar>
          </w:tcPr>
          <w:p>
            <w:r>
              <w:rPr>
                <w:rFonts w:ascii="Calibri" w:cs="Calibri" w:eastAsia="Calibri" w:hAnsi="Calibri"/>
                <w:b/>
                <w:bCs/>
                <w:color w:val="1A1A1A"/>
                <w:sz w:val="17"/>
                <w:szCs w:val="17"/>
              </w:rPr>
              <w:t xml:space="preserve">CS / TR</w:t>
            </w:r>
          </w:p>
        </w:tc>
        <w:tc>
          <w:tcPr>
            <w:tcW w:type="dxa" w:w="6400"/>
            <w:tcMar>
              <w:top w:type="dxa" w:w="50"/>
              <w:left w:type="dxa" w:w="90"/>
              <w:bottom w:type="dxa" w:w="50"/>
              <w:right w:type="dxa" w:w="90"/>
            </w:tcMar>
          </w:tcPr>
          <w:p>
            <w:r>
              <w:rPr>
                <w:rFonts w:ascii="Calibri" w:cs="Calibri" w:eastAsia="Calibri" w:hAnsi="Calibri"/>
                <w:b w:val="false"/>
                <w:bCs w:val="false"/>
                <w:color w:val="1A1A1A"/>
                <w:sz w:val="17"/>
                <w:szCs w:val="17"/>
              </w:rPr>
              <w:t xml:space="preserve">Hoong Hel (主管)</w:t>
            </w:r>
          </w:p>
        </w:tc>
      </w:tr>
      <w:tr>
        <w:trPr>
          <w:cantSplit/>
        </w:trPr>
        <w:tc>
          <w:tcPr>
            <w:tcW w:type="dxa" w:w="26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Marketing</w:t>
            </w:r>
          </w:p>
        </w:tc>
        <w:tc>
          <w:tcPr>
            <w:tcW w:type="dxa" w:w="6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Judy Lam (Promotion), Jairus Lim</w:t>
            </w:r>
          </w:p>
        </w:tc>
      </w:tr>
      <w:tr>
        <w:trPr>
          <w:cantSplit/>
        </w:trPr>
        <w:tc>
          <w:tcPr>
            <w:tcW w:type="dxa" w:w="2600"/>
            <w:tcMar>
              <w:top w:type="dxa" w:w="50"/>
              <w:left w:type="dxa" w:w="90"/>
              <w:bottom w:type="dxa" w:w="50"/>
              <w:right w:type="dxa" w:w="90"/>
            </w:tcMar>
          </w:tcPr>
          <w:p>
            <w:r>
              <w:rPr>
                <w:rFonts w:ascii="Calibri" w:cs="Calibri" w:eastAsia="Calibri" w:hAnsi="Calibri"/>
                <w:b/>
                <w:bCs/>
                <w:color w:val="1A1A1A"/>
                <w:sz w:val="17"/>
                <w:szCs w:val="17"/>
              </w:rPr>
              <w:t xml:space="preserve">Compliance</w:t>
            </w:r>
          </w:p>
        </w:tc>
        <w:tc>
          <w:tcPr>
            <w:tcW w:type="dxa" w:w="6400"/>
            <w:tcMar>
              <w:top w:type="dxa" w:w="50"/>
              <w:left w:type="dxa" w:w="90"/>
              <w:bottom w:type="dxa" w:w="50"/>
              <w:right w:type="dxa" w:w="90"/>
            </w:tcMar>
          </w:tcPr>
          <w:p>
            <w:r>
              <w:rPr>
                <w:rFonts w:ascii="Calibri" w:cs="Calibri" w:eastAsia="Calibri" w:hAnsi="Calibri"/>
                <w:b w:val="false"/>
                <w:bCs w:val="false"/>
                <w:color w:val="1A1A1A"/>
                <w:sz w:val="17"/>
                <w:szCs w:val="17"/>
              </w:rPr>
              <w:t xml:space="preserve">Ricky Hong</w:t>
            </w:r>
          </w:p>
        </w:tc>
      </w:tr>
      <w:tr>
        <w:trPr>
          <w:cantSplit/>
        </w:trPr>
        <w:tc>
          <w:tcPr>
            <w:tcW w:type="dxa" w:w="26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Finance</w:t>
            </w:r>
          </w:p>
        </w:tc>
        <w:tc>
          <w:tcPr>
            <w:tcW w:type="dxa" w:w="6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Annie Ng, Ling Suen Goh</w:t>
            </w:r>
          </w:p>
        </w:tc>
      </w:tr>
      <w:tr>
        <w:trPr>
          <w:cantSplit/>
        </w:trPr>
        <w:tc>
          <w:tcPr>
            <w:tcW w:type="dxa" w:w="2600"/>
            <w:tcMar>
              <w:top w:type="dxa" w:w="50"/>
              <w:left w:type="dxa" w:w="90"/>
              <w:bottom w:type="dxa" w:w="50"/>
              <w:right w:type="dxa" w:w="90"/>
            </w:tcMar>
          </w:tcPr>
          <w:p>
            <w:r>
              <w:rPr>
                <w:rFonts w:ascii="Calibri" w:cs="Calibri" w:eastAsia="Calibri" w:hAnsi="Calibri"/>
                <w:b/>
                <w:bCs/>
                <w:color w:val="1A1A1A"/>
                <w:sz w:val="17"/>
                <w:szCs w:val="17"/>
              </w:rPr>
              <w:t xml:space="preserve">BIT (back-end)</w:t>
            </w:r>
          </w:p>
        </w:tc>
        <w:tc>
          <w:tcPr>
            <w:tcW w:type="dxa" w:w="6400"/>
            <w:tcMar>
              <w:top w:type="dxa" w:w="50"/>
              <w:left w:type="dxa" w:w="90"/>
              <w:bottom w:type="dxa" w:w="50"/>
              <w:right w:type="dxa" w:w="90"/>
            </w:tcMar>
          </w:tcPr>
          <w:p>
            <w:r>
              <w:rPr>
                <w:rFonts w:ascii="Calibri" w:cs="Calibri" w:eastAsia="Calibri" w:hAnsi="Calibri"/>
                <w:b w:val="false"/>
                <w:bCs w:val="false"/>
                <w:color w:val="1A1A1A"/>
                <w:sz w:val="17"/>
                <w:szCs w:val="17"/>
              </w:rPr>
              <w:t xml:space="preserve">Sheng Rong Hoo, Terry Lim, Meo Ling Tee</w:t>
            </w:r>
          </w:p>
        </w:tc>
      </w:tr>
      <w:tr>
        <w:trPr>
          <w:cantSplit/>
        </w:trPr>
        <w:tc>
          <w:tcPr>
            <w:tcW w:type="dxa" w:w="26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Admin</w:t>
            </w:r>
          </w:p>
        </w:tc>
        <w:tc>
          <w:tcPr>
            <w:tcW w:type="dxa" w:w="6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Cray Teoh, Hayley Loh</w:t>
            </w:r>
          </w:p>
        </w:tc>
      </w:tr>
      <w:tr>
        <w:trPr>
          <w:cantSplit/>
        </w:trPr>
        <w:tc>
          <w:tcPr>
            <w:tcW w:type="dxa" w:w="2600"/>
            <w:tcMar>
              <w:top w:type="dxa" w:w="50"/>
              <w:left w:type="dxa" w:w="90"/>
              <w:bottom w:type="dxa" w:w="50"/>
              <w:right w:type="dxa" w:w="90"/>
            </w:tcMar>
          </w:tcPr>
          <w:p>
            <w:r>
              <w:rPr>
                <w:rFonts w:ascii="Calibri" w:cs="Calibri" w:eastAsia="Calibri" w:hAnsi="Calibri"/>
                <w:b/>
                <w:bCs/>
                <w:color w:val="1A1A1A"/>
                <w:sz w:val="17"/>
                <w:szCs w:val="17"/>
              </w:rPr>
              <w:t xml:space="preserve">Risk (RA)</w:t>
            </w:r>
          </w:p>
        </w:tc>
        <w:tc>
          <w:tcPr>
            <w:tcW w:type="dxa" w:w="6400"/>
            <w:tcMar>
              <w:top w:type="dxa" w:w="50"/>
              <w:left w:type="dxa" w:w="90"/>
              <w:bottom w:type="dxa" w:w="50"/>
              <w:right w:type="dxa" w:w="90"/>
            </w:tcMar>
          </w:tcPr>
          <w:p>
            <w:r>
              <w:rPr>
                <w:rFonts w:ascii="Calibri" w:cs="Calibri" w:eastAsia="Calibri" w:hAnsi="Calibri"/>
                <w:b w:val="false"/>
                <w:bCs w:val="false"/>
                <w:color w:val="1A1A1A"/>
                <w:sz w:val="17"/>
                <w:szCs w:val="17"/>
              </w:rPr>
              <w:t xml:space="preserve">Sharon Kuo</w:t>
            </w:r>
          </w:p>
        </w:tc>
      </w:tr>
    </w:tbl>
    <w:p>
      <w:pPr>
        <w:spacing w:after="80"/>
      </w:pPr>
    </w:p>
    <w:p>
      <w:pPr>
        <w:spacing w:after="120" w:line="276"/>
      </w:pPr>
      <w:r>
        <w:rPr>
          <w:rFonts w:ascii="Calibri" w:cs="Calibri" w:eastAsia="Calibri" w:hAnsi="Calibri"/>
          <w:b/>
          <w:bCs/>
          <w:color w:val="1A1A1A"/>
          <w:sz w:val="20"/>
          <w:szCs w:val="20"/>
        </w:rPr>
        <w:t xml:space="preserve">Strength profile: </w:t>
      </w:r>
      <w:r>
        <w:rPr>
          <w:rFonts w:ascii="Calibri" w:cs="Calibri" w:eastAsia="Calibri" w:hAnsi="Calibri"/>
          <w:color w:val="1A1A1A"/>
          <w:sz w:val="20"/>
          <w:szCs w:val="20"/>
        </w:rPr>
        <w:t xml:space="preserve">relationship/networking-led (IB-heavy distribution) rather than technical/product-led, consistent with the core-competency read above. The sales-specific go-to-market structure (region-then-channel) is analysed in Section 4.G.</w:t>
      </w:r>
    </w:p>
    <w:p>
      <w:r>
        <w:br w:type="page"/>
      </w:r>
    </w:p>
    <w:p>
      <w:pPr>
        <w:pStyle w:val="Heading1"/>
        <w:spacing w:after="140" w:before="320"/>
      </w:pPr>
      <w:r>
        <w:rPr>
          <w:rFonts w:ascii="Calibri" w:cs="Calibri" w:eastAsia="Calibri" w:hAnsi="Calibri"/>
          <w:b/>
          <w:bCs/>
          <w:color w:val="1F4A3F"/>
          <w:sz w:val="30"/>
          <w:szCs w:val="30"/>
        </w:rPr>
        <w:t xml:space="preserve">3. Product &amp; Trading Conditions</w:t>
      </w:r>
    </w:p>
    <w:p>
      <w:pPr>
        <w:pStyle w:val="Heading2"/>
        <w:spacing w:after="90" w:before="220"/>
      </w:pPr>
      <w:r>
        <w:rPr>
          <w:rFonts w:ascii="Calibri" w:cs="Calibri" w:eastAsia="Calibri" w:hAnsi="Calibri"/>
          <w:b/>
          <w:bCs/>
          <w:color w:val="1A1A1A"/>
          <w:sz w:val="24"/>
          <w:szCs w:val="24"/>
        </w:rPr>
        <w:t xml:space="preserve">3.A  Account types — full product line by regulated setup</w:t>
      </w:r>
    </w:p>
    <w:p>
      <w:pPr>
        <w:spacing w:after="120" w:line="276"/>
      </w:pPr>
      <w:r>
        <w:rPr>
          <w:rFonts w:ascii="Calibri" w:cs="Calibri" w:eastAsia="Calibri" w:hAnsi="Calibri"/>
          <w:color w:val="1A1A1A"/>
          <w:sz w:val="20"/>
          <w:szCs w:val="20"/>
        </w:rPr>
        <w:t xml:space="preserve">UM runs </w:t>
      </w:r>
      <w:r>
        <w:rPr>
          <w:rFonts w:ascii="Calibri" w:cs="Calibri" w:eastAsia="Calibri" w:hAnsi="Calibri"/>
          <w:b/>
          <w:bCs/>
          <w:color w:val="1A1A1A"/>
          <w:sz w:val="20"/>
          <w:szCs w:val="20"/>
        </w:rPr>
        <w:t xml:space="preserve">eight account/product setups</w:t>
      </w:r>
      <w:r>
        <w:rPr>
          <w:rFonts w:ascii="Calibri" w:cs="Calibri" w:eastAsia="Calibri" w:hAnsi="Calibri"/>
          <w:color w:val="1A1A1A"/>
          <w:sz w:val="20"/>
          <w:szCs w:val="20"/>
        </w:rPr>
        <w:t xml:space="preserve"> across three regulatory homes. STP is spread-only (no commission); ECN is raw-spread + commission; Cent (USC) is a micro-lot beginner tier; PAMM/MAM are managed. The eight setups the internal sheets specify:</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500"/>
        <w:gridCol w:w="1900"/>
        <w:gridCol w:w="2200"/>
        <w:gridCol w:w="2000"/>
        <w:gridCol w:w="2400"/>
      </w:tblGrid>
      <w:tr>
        <w:trPr>
          <w:tblHeader/>
        </w:trPr>
        <w:tc>
          <w:tcPr>
            <w:tcW w:type="dxa" w:w="5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w:t>
            </w:r>
          </w:p>
        </w:tc>
        <w:tc>
          <w:tcPr>
            <w:tcW w:type="dxa" w:w="19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Setup</w:t>
            </w:r>
          </w:p>
        </w:tc>
        <w:tc>
          <w:tcPr>
            <w:tcW w:type="dxa" w:w="22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Model</w:t>
            </w:r>
          </w:p>
        </w:tc>
        <w:tc>
          <w:tcPr>
            <w:tcW w:type="dxa" w:w="20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Regulatory home</w:t>
            </w:r>
          </w:p>
        </w:tc>
        <w:tc>
          <w:tcPr>
            <w:tcW w:type="dxa" w:w="24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Standard group name</w:t>
            </w:r>
          </w:p>
        </w:tc>
      </w:tr>
      <w:tr>
        <w:trPr>
          <w:cantSplit/>
        </w:trPr>
        <w:tc>
          <w:tcPr>
            <w:tcW w:type="dxa" w:w="500"/>
            <w:tcMar>
              <w:top w:type="dxa" w:w="50"/>
              <w:left w:type="dxa" w:w="90"/>
              <w:bottom w:type="dxa" w:w="50"/>
              <w:right w:type="dxa" w:w="90"/>
            </w:tcMar>
          </w:tcPr>
          <w:p>
            <w:r>
              <w:rPr>
                <w:rFonts w:ascii="Calibri" w:cs="Calibri" w:eastAsia="Calibri" w:hAnsi="Calibri"/>
                <w:b/>
                <w:bCs/>
                <w:color w:val="1A1A1A"/>
                <w:sz w:val="17"/>
                <w:szCs w:val="17"/>
              </w:rPr>
              <w:t xml:space="preserve">1</w:t>
            </w:r>
          </w:p>
        </w:tc>
        <w:tc>
          <w:tcPr>
            <w:tcW w:type="dxa" w:w="1900"/>
            <w:tcMar>
              <w:top w:type="dxa" w:w="50"/>
              <w:left w:type="dxa" w:w="90"/>
              <w:bottom w:type="dxa" w:w="50"/>
              <w:right w:type="dxa" w:w="90"/>
            </w:tcMar>
          </w:tcPr>
          <w:p>
            <w:r>
              <w:rPr>
                <w:rFonts w:ascii="Calibri" w:cs="Calibri" w:eastAsia="Calibri" w:hAnsi="Calibri"/>
                <w:b w:val="false"/>
                <w:bCs w:val="false"/>
                <w:color w:val="1A1A1A"/>
                <w:sz w:val="17"/>
                <w:szCs w:val="17"/>
              </w:rPr>
              <w:t xml:space="preserve">Standard STP</w:t>
            </w:r>
          </w:p>
        </w:tc>
        <w:tc>
          <w:tcPr>
            <w:tcW w:type="dxa" w:w="2200"/>
            <w:tcMar>
              <w:top w:type="dxa" w:w="50"/>
              <w:left w:type="dxa" w:w="90"/>
              <w:bottom w:type="dxa" w:w="50"/>
              <w:right w:type="dxa" w:w="90"/>
            </w:tcMar>
          </w:tcPr>
          <w:p>
            <w:r>
              <w:rPr>
                <w:rFonts w:ascii="Calibri" w:cs="Calibri" w:eastAsia="Calibri" w:hAnsi="Calibri"/>
                <w:b w:val="false"/>
                <w:bCs w:val="false"/>
                <w:color w:val="1A1A1A"/>
                <w:sz w:val="17"/>
                <w:szCs w:val="17"/>
              </w:rPr>
              <w:t xml:space="preserve">Spread-only</w:t>
            </w:r>
          </w:p>
        </w:tc>
        <w:tc>
          <w:tcPr>
            <w:tcW w:type="dxa" w:w="2000"/>
            <w:tcMar>
              <w:top w:type="dxa" w:w="50"/>
              <w:left w:type="dxa" w:w="90"/>
              <w:bottom w:type="dxa" w:w="50"/>
              <w:right w:type="dxa" w:w="90"/>
            </w:tcMar>
          </w:tcPr>
          <w:p>
            <w:r>
              <w:rPr>
                <w:rFonts w:ascii="Calibri" w:cs="Calibri" w:eastAsia="Calibri" w:hAnsi="Calibri"/>
                <w:b w:val="false"/>
                <w:bCs w:val="false"/>
                <w:color w:val="1A1A1A"/>
                <w:sz w:val="17"/>
                <w:szCs w:val="17"/>
              </w:rPr>
              <w:t xml:space="preserve">Global (FSC Mauritius)</w:t>
            </w:r>
          </w:p>
        </w:tc>
        <w:tc>
          <w:tcPr>
            <w:tcW w:type="dxa" w:w="2400"/>
            <w:tcMar>
              <w:top w:type="dxa" w:w="50"/>
              <w:left w:type="dxa" w:w="90"/>
              <w:bottom w:type="dxa" w:w="50"/>
              <w:right w:type="dxa" w:w="90"/>
            </w:tcMar>
          </w:tcPr>
          <w:p>
            <w:r>
              <w:rPr>
                <w:rFonts w:ascii="Calibri" w:cs="Calibri" w:eastAsia="Calibri" w:hAnsi="Calibri"/>
                <w:b w:val="false"/>
                <w:bCs w:val="false"/>
                <w:color w:val="1A1A1A"/>
                <w:sz w:val="17"/>
                <w:szCs w:val="17"/>
              </w:rPr>
              <w:t xml:space="preserve">UM_Hedge\M_UM_USD</w:t>
            </w:r>
          </w:p>
        </w:tc>
      </w:tr>
      <w:tr>
        <w:trPr>
          <w:cantSplit/>
        </w:trPr>
        <w:tc>
          <w:tcPr>
            <w:tcW w:type="dxa" w:w="5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2</w:t>
            </w:r>
          </w:p>
        </w:tc>
        <w:tc>
          <w:tcPr>
            <w:tcW w:type="dxa" w:w="19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Standard ECN</w:t>
            </w:r>
          </w:p>
        </w:tc>
        <w:tc>
          <w:tcPr>
            <w:tcW w:type="dxa" w:w="22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Raw + commission</w:t>
            </w:r>
          </w:p>
        </w:tc>
        <w:tc>
          <w:tcPr>
            <w:tcW w:type="dxa" w:w="20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Global (FSC Mauritius)</w:t>
            </w:r>
          </w:p>
        </w:tc>
        <w:tc>
          <w:tcPr>
            <w:tcW w:type="dxa" w:w="2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UM_Hedge\M_UME_USD</w:t>
            </w:r>
          </w:p>
        </w:tc>
      </w:tr>
      <w:tr>
        <w:trPr>
          <w:cantSplit/>
        </w:trPr>
        <w:tc>
          <w:tcPr>
            <w:tcW w:type="dxa" w:w="500"/>
            <w:tcMar>
              <w:top w:type="dxa" w:w="50"/>
              <w:left w:type="dxa" w:w="90"/>
              <w:bottom w:type="dxa" w:w="50"/>
              <w:right w:type="dxa" w:w="90"/>
            </w:tcMar>
          </w:tcPr>
          <w:p>
            <w:r>
              <w:rPr>
                <w:rFonts w:ascii="Calibri" w:cs="Calibri" w:eastAsia="Calibri" w:hAnsi="Calibri"/>
                <w:b/>
                <w:bCs/>
                <w:color w:val="1A1A1A"/>
                <w:sz w:val="17"/>
                <w:szCs w:val="17"/>
              </w:rPr>
              <w:t xml:space="preserve">3</w:t>
            </w:r>
          </w:p>
        </w:tc>
        <w:tc>
          <w:tcPr>
            <w:tcW w:type="dxa" w:w="1900"/>
            <w:tcMar>
              <w:top w:type="dxa" w:w="50"/>
              <w:left w:type="dxa" w:w="90"/>
              <w:bottom w:type="dxa" w:w="50"/>
              <w:right w:type="dxa" w:w="90"/>
            </w:tcMar>
          </w:tcPr>
          <w:p>
            <w:r>
              <w:rPr>
                <w:rFonts w:ascii="Calibri" w:cs="Calibri" w:eastAsia="Calibri" w:hAnsi="Calibri"/>
                <w:b w:val="false"/>
                <w:bCs w:val="false"/>
                <w:color w:val="1A1A1A"/>
                <w:sz w:val="17"/>
                <w:szCs w:val="17"/>
              </w:rPr>
              <w:t xml:space="preserve">FCA STP</w:t>
            </w:r>
          </w:p>
        </w:tc>
        <w:tc>
          <w:tcPr>
            <w:tcW w:type="dxa" w:w="2200"/>
            <w:tcMar>
              <w:top w:type="dxa" w:w="50"/>
              <w:left w:type="dxa" w:w="90"/>
              <w:bottom w:type="dxa" w:w="50"/>
              <w:right w:type="dxa" w:w="90"/>
            </w:tcMar>
          </w:tcPr>
          <w:p>
            <w:r>
              <w:rPr>
                <w:rFonts w:ascii="Calibri" w:cs="Calibri" w:eastAsia="Calibri" w:hAnsi="Calibri"/>
                <w:b w:val="false"/>
                <w:bCs w:val="false"/>
                <w:color w:val="1A1A1A"/>
                <w:sz w:val="17"/>
                <w:szCs w:val="17"/>
              </w:rPr>
              <w:t xml:space="preserve">Spread-only, onshore</w:t>
            </w:r>
          </w:p>
        </w:tc>
        <w:tc>
          <w:tcPr>
            <w:tcW w:type="dxa" w:w="2000"/>
            <w:tcMar>
              <w:top w:type="dxa" w:w="50"/>
              <w:left w:type="dxa" w:w="90"/>
              <w:bottom w:type="dxa" w:w="50"/>
              <w:right w:type="dxa" w:w="90"/>
            </w:tcMar>
          </w:tcPr>
          <w:p>
            <w:r>
              <w:rPr>
                <w:rFonts w:ascii="Calibri" w:cs="Calibri" w:eastAsia="Calibri" w:hAnsi="Calibri"/>
                <w:b w:val="false"/>
                <w:bCs w:val="false"/>
                <w:color w:val="1A1A1A"/>
                <w:sz w:val="17"/>
                <w:szCs w:val="17"/>
              </w:rPr>
              <w:t xml:space="preserve">FCA (UK)</w:t>
            </w:r>
          </w:p>
        </w:tc>
        <w:tc>
          <w:tcPr>
            <w:tcW w:type="dxa" w:w="2400"/>
            <w:tcMar>
              <w:top w:type="dxa" w:w="50"/>
              <w:left w:type="dxa" w:w="90"/>
              <w:bottom w:type="dxa" w:w="50"/>
              <w:right w:type="dxa" w:w="90"/>
            </w:tcMar>
          </w:tcPr>
          <w:p>
            <w:r>
              <w:rPr>
                <w:rFonts w:ascii="Calibri" w:cs="Calibri" w:eastAsia="Calibri" w:hAnsi="Calibri"/>
                <w:b w:val="false"/>
                <w:bCs w:val="false"/>
                <w:color w:val="1A1A1A"/>
                <w:sz w:val="17"/>
                <w:szCs w:val="17"/>
              </w:rPr>
              <w:t xml:space="preserve">FCA_Hedge\M_UM_UK_USD</w:t>
            </w:r>
          </w:p>
        </w:tc>
      </w:tr>
      <w:tr>
        <w:trPr>
          <w:cantSplit/>
        </w:trPr>
        <w:tc>
          <w:tcPr>
            <w:tcW w:type="dxa" w:w="5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4</w:t>
            </w:r>
          </w:p>
        </w:tc>
        <w:tc>
          <w:tcPr>
            <w:tcW w:type="dxa" w:w="19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FCA ECN</w:t>
            </w:r>
          </w:p>
        </w:tc>
        <w:tc>
          <w:tcPr>
            <w:tcW w:type="dxa" w:w="22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Raw + commission, onshore</w:t>
            </w:r>
          </w:p>
        </w:tc>
        <w:tc>
          <w:tcPr>
            <w:tcW w:type="dxa" w:w="20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FCA (UK)</w:t>
            </w:r>
          </w:p>
        </w:tc>
        <w:tc>
          <w:tcPr>
            <w:tcW w:type="dxa" w:w="2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FCA_Hedge\M_UME_UK_USD</w:t>
            </w:r>
          </w:p>
        </w:tc>
      </w:tr>
      <w:tr>
        <w:trPr>
          <w:cantSplit/>
        </w:trPr>
        <w:tc>
          <w:tcPr>
            <w:tcW w:type="dxa" w:w="500"/>
            <w:tcMar>
              <w:top w:type="dxa" w:w="50"/>
              <w:left w:type="dxa" w:w="90"/>
              <w:bottom w:type="dxa" w:w="50"/>
              <w:right w:type="dxa" w:w="90"/>
            </w:tcMar>
          </w:tcPr>
          <w:p>
            <w:r>
              <w:rPr>
                <w:rFonts w:ascii="Calibri" w:cs="Calibri" w:eastAsia="Calibri" w:hAnsi="Calibri"/>
                <w:b/>
                <w:bCs/>
                <w:color w:val="1A1A1A"/>
                <w:sz w:val="17"/>
                <w:szCs w:val="17"/>
              </w:rPr>
              <w:t xml:space="preserve">5</w:t>
            </w:r>
          </w:p>
        </w:tc>
        <w:tc>
          <w:tcPr>
            <w:tcW w:type="dxa" w:w="1900"/>
            <w:tcMar>
              <w:top w:type="dxa" w:w="50"/>
              <w:left w:type="dxa" w:w="90"/>
              <w:bottom w:type="dxa" w:w="50"/>
              <w:right w:type="dxa" w:w="90"/>
            </w:tcMar>
          </w:tcPr>
          <w:p>
            <w:r>
              <w:rPr>
                <w:rFonts w:ascii="Calibri" w:cs="Calibri" w:eastAsia="Calibri" w:hAnsi="Calibri"/>
                <w:b w:val="false"/>
                <w:bCs w:val="false"/>
                <w:color w:val="1A1A1A"/>
                <w:sz w:val="17"/>
                <w:szCs w:val="17"/>
              </w:rPr>
              <w:t xml:space="preserve">UMJ STP</w:t>
            </w:r>
          </w:p>
        </w:tc>
        <w:tc>
          <w:tcPr>
            <w:tcW w:type="dxa" w:w="2200"/>
            <w:tcMar>
              <w:top w:type="dxa" w:w="50"/>
              <w:left w:type="dxa" w:w="90"/>
              <w:bottom w:type="dxa" w:w="50"/>
              <w:right w:type="dxa" w:w="90"/>
            </w:tcMar>
          </w:tcPr>
          <w:p>
            <w:r>
              <w:rPr>
                <w:rFonts w:ascii="Calibri" w:cs="Calibri" w:eastAsia="Calibri" w:hAnsi="Calibri"/>
                <w:b w:val="false"/>
                <w:bCs w:val="false"/>
                <w:color w:val="1A1A1A"/>
                <w:sz w:val="17"/>
                <w:szCs w:val="17"/>
              </w:rPr>
              <w:t xml:space="preserve">Spread-only, Japan</w:t>
            </w:r>
          </w:p>
        </w:tc>
        <w:tc>
          <w:tcPr>
            <w:tcW w:type="dxa" w:w="2000"/>
            <w:tcMar>
              <w:top w:type="dxa" w:w="50"/>
              <w:left w:type="dxa" w:w="90"/>
              <w:bottom w:type="dxa" w:w="50"/>
              <w:right w:type="dxa" w:w="90"/>
            </w:tcMar>
          </w:tcPr>
          <w:p>
            <w:r>
              <w:rPr>
                <w:rFonts w:ascii="Calibri" w:cs="Calibri" w:eastAsia="Calibri" w:hAnsi="Calibri"/>
                <w:b w:val="false"/>
                <w:bCs w:val="false"/>
                <w:color w:val="1A1A1A"/>
                <w:sz w:val="17"/>
                <w:szCs w:val="17"/>
              </w:rPr>
              <w:t xml:space="preserve">UMJ</w:t>
            </w:r>
          </w:p>
        </w:tc>
        <w:tc>
          <w:tcPr>
            <w:tcW w:type="dxa" w:w="2400"/>
            <w:tcMar>
              <w:top w:type="dxa" w:w="50"/>
              <w:left w:type="dxa" w:w="90"/>
              <w:bottom w:type="dxa" w:w="50"/>
              <w:right w:type="dxa" w:w="90"/>
            </w:tcMar>
          </w:tcPr>
          <w:p>
            <w:r>
              <w:rPr>
                <w:rFonts w:ascii="Calibri" w:cs="Calibri" w:eastAsia="Calibri" w:hAnsi="Calibri"/>
                <w:b w:val="false"/>
                <w:bCs w:val="false"/>
                <w:color w:val="1A1A1A"/>
                <w:sz w:val="17"/>
                <w:szCs w:val="17"/>
              </w:rPr>
              <w:t xml:space="preserve">UM_Hedge\M_UM_NM_SO0_USD</w:t>
            </w:r>
          </w:p>
        </w:tc>
      </w:tr>
      <w:tr>
        <w:trPr>
          <w:cantSplit/>
        </w:trPr>
        <w:tc>
          <w:tcPr>
            <w:tcW w:type="dxa" w:w="5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6</w:t>
            </w:r>
          </w:p>
        </w:tc>
        <w:tc>
          <w:tcPr>
            <w:tcW w:type="dxa" w:w="19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UMJ ECN</w:t>
            </w:r>
          </w:p>
        </w:tc>
        <w:tc>
          <w:tcPr>
            <w:tcW w:type="dxa" w:w="22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Raw + commission, Japan</w:t>
            </w:r>
          </w:p>
        </w:tc>
        <w:tc>
          <w:tcPr>
            <w:tcW w:type="dxa" w:w="20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UMJ</w:t>
            </w:r>
          </w:p>
        </w:tc>
        <w:tc>
          <w:tcPr>
            <w:tcW w:type="dxa" w:w="2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UM_Hedge\M_UME_NM_SO0_USD</w:t>
            </w:r>
          </w:p>
        </w:tc>
      </w:tr>
      <w:tr>
        <w:trPr>
          <w:cantSplit/>
        </w:trPr>
        <w:tc>
          <w:tcPr>
            <w:tcW w:type="dxa" w:w="500"/>
            <w:tcMar>
              <w:top w:type="dxa" w:w="50"/>
              <w:left w:type="dxa" w:w="90"/>
              <w:bottom w:type="dxa" w:w="50"/>
              <w:right w:type="dxa" w:w="90"/>
            </w:tcMar>
          </w:tcPr>
          <w:p>
            <w:r>
              <w:rPr>
                <w:rFonts w:ascii="Calibri" w:cs="Calibri" w:eastAsia="Calibri" w:hAnsi="Calibri"/>
                <w:b/>
                <w:bCs/>
                <w:color w:val="1A1A1A"/>
                <w:sz w:val="17"/>
                <w:szCs w:val="17"/>
              </w:rPr>
              <w:t xml:space="preserve">7</w:t>
            </w:r>
          </w:p>
        </w:tc>
        <w:tc>
          <w:tcPr>
            <w:tcW w:type="dxa" w:w="1900"/>
            <w:tcMar>
              <w:top w:type="dxa" w:w="50"/>
              <w:left w:type="dxa" w:w="90"/>
              <w:bottom w:type="dxa" w:w="50"/>
              <w:right w:type="dxa" w:w="90"/>
            </w:tcMar>
          </w:tcPr>
          <w:p>
            <w:r>
              <w:rPr>
                <w:rFonts w:ascii="Calibri" w:cs="Calibri" w:eastAsia="Calibri" w:hAnsi="Calibri"/>
                <w:b w:val="false"/>
                <w:bCs w:val="false"/>
                <w:color w:val="1A1A1A"/>
                <w:sz w:val="17"/>
                <w:szCs w:val="17"/>
              </w:rPr>
              <w:t xml:space="preserve">PRO ECN</w:t>
            </w:r>
          </w:p>
        </w:tc>
        <w:tc>
          <w:tcPr>
            <w:tcW w:type="dxa" w:w="2200"/>
            <w:tcMar>
              <w:top w:type="dxa" w:w="50"/>
              <w:left w:type="dxa" w:w="90"/>
              <w:bottom w:type="dxa" w:w="50"/>
              <w:right w:type="dxa" w:w="90"/>
            </w:tcMar>
          </w:tcPr>
          <w:p>
            <w:r>
              <w:rPr>
                <w:rFonts w:ascii="Calibri" w:cs="Calibri" w:eastAsia="Calibri" w:hAnsi="Calibri"/>
                <w:b w:val="false"/>
                <w:bCs w:val="false"/>
                <w:color w:val="1A1A1A"/>
                <w:sz w:val="17"/>
                <w:szCs w:val="17"/>
              </w:rPr>
              <w:t xml:space="preserve">Low-commission, high-tier</w:t>
            </w:r>
          </w:p>
        </w:tc>
        <w:tc>
          <w:tcPr>
            <w:tcW w:type="dxa" w:w="2000"/>
            <w:tcMar>
              <w:top w:type="dxa" w:w="50"/>
              <w:left w:type="dxa" w:w="90"/>
              <w:bottom w:type="dxa" w:w="50"/>
              <w:right w:type="dxa" w:w="90"/>
            </w:tcMar>
          </w:tcPr>
          <w:p>
            <w:r>
              <w:rPr>
                <w:rFonts w:ascii="Calibri" w:cs="Calibri" w:eastAsia="Calibri" w:hAnsi="Calibri"/>
                <w:b w:val="false"/>
                <w:bCs w:val="false"/>
                <w:color w:val="1A1A1A"/>
                <w:sz w:val="17"/>
                <w:szCs w:val="17"/>
              </w:rPr>
              <w:t xml:space="preserve">Global</w:t>
            </w:r>
          </w:p>
        </w:tc>
        <w:tc>
          <w:tcPr>
            <w:tcW w:type="dxa" w:w="2400"/>
            <w:tcMar>
              <w:top w:type="dxa" w:w="50"/>
              <w:left w:type="dxa" w:w="90"/>
              <w:bottom w:type="dxa" w:w="50"/>
              <w:right w:type="dxa" w:w="90"/>
            </w:tcMar>
          </w:tcPr>
          <w:p>
            <w:r>
              <w:rPr>
                <w:rFonts w:ascii="Calibri" w:cs="Calibri" w:eastAsia="Calibri" w:hAnsi="Calibri"/>
                <w:b w:val="false"/>
                <w:bCs w:val="false"/>
                <w:color w:val="1A1A1A"/>
                <w:sz w:val="17"/>
                <w:szCs w:val="17"/>
              </w:rPr>
              <w:t xml:space="preserve">UM_Hedge\M_UME_PRO_USD</w:t>
            </w:r>
          </w:p>
        </w:tc>
      </w:tr>
      <w:tr>
        <w:trPr>
          <w:cantSplit/>
        </w:trPr>
        <w:tc>
          <w:tcPr>
            <w:tcW w:type="dxa" w:w="5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8</w:t>
            </w:r>
          </w:p>
        </w:tc>
        <w:tc>
          <w:tcPr>
            <w:tcW w:type="dxa" w:w="19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UMJ Ultimate</w:t>
            </w:r>
          </w:p>
        </w:tc>
        <w:tc>
          <w:tcPr>
            <w:tcW w:type="dxa" w:w="22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Exness-competitive optimised</w:t>
            </w:r>
          </w:p>
        </w:tc>
        <w:tc>
          <w:tcPr>
            <w:tcW w:type="dxa" w:w="20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UMJ</w:t>
            </w:r>
          </w:p>
        </w:tc>
        <w:tc>
          <w:tcPr>
            <w:tcW w:type="dxa" w:w="2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(Ultimate / .v suffix)</w:t>
            </w:r>
          </w:p>
        </w:tc>
      </w:tr>
    </w:tbl>
    <w:p>
      <w:pPr>
        <w:spacing w:after="80"/>
      </w:pPr>
    </w:p>
    <w:p>
      <w:pPr>
        <w:spacing w:after="120" w:line="276"/>
      </w:pPr>
      <w:r>
        <w:rPr>
          <w:rFonts w:ascii="Calibri" w:cs="Calibri" w:eastAsia="Calibri" w:hAnsi="Calibri"/>
          <w:i/>
          <w:iCs/>
          <w:color w:val="6B7280"/>
          <w:sz w:val="18"/>
          <w:szCs w:val="18"/>
        </w:rPr>
        <w:t xml:space="preserve">Public-facing account menu (BrokerListings/WikiFX) additionally names Standard Cent, ECN Cent, Demo and PAMM — the USC/PAMM tiers that sit alongside the eight above.</w:t>
      </w:r>
    </w:p>
    <w:p>
      <w:pPr>
        <w:pStyle w:val="Heading3"/>
        <w:spacing w:after="70" w:before="160"/>
      </w:pPr>
      <w:r>
        <w:rPr>
          <w:rFonts w:ascii="Calibri" w:cs="Calibri" w:eastAsia="Calibri" w:hAnsi="Calibri"/>
          <w:b/>
          <w:bCs/>
          <w:color w:val="1F4A3F"/>
          <w:sz w:val="21"/>
          <w:szCs w:val="21"/>
        </w:rPr>
        <w:t xml:space="preserve">Coverage &amp; suffix logic</w:t>
      </w:r>
    </w:p>
    <w:p>
      <w:pPr>
        <w:spacing w:after="120" w:line="276"/>
      </w:pPr>
      <w:r>
        <w:rPr>
          <w:rFonts w:ascii="Calibri" w:cs="Calibri" w:eastAsia="Calibri" w:hAnsi="Calibri"/>
          <w:color w:val="1A1A1A"/>
          <w:sz w:val="20"/>
          <w:szCs w:val="20"/>
        </w:rPr>
        <w:t xml:space="preserve">Suffix key: ".u"/".u+" = EU/UK (FCA) suffix; ".v" = UMJ Ultimate; "-C"/"-Cv" = commodity; "X" = not offered.</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2000"/>
        <w:gridCol w:w="1500"/>
        <w:gridCol w:w="1450"/>
        <w:gridCol w:w="1350"/>
        <w:gridCol w:w="1350"/>
        <w:gridCol w:w="1350"/>
      </w:tblGrid>
      <w:tr>
        <w:trPr>
          <w:tblHeader/>
        </w:trPr>
        <w:tc>
          <w:tcPr>
            <w:tcW w:type="dxa" w:w="20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Product</w:t>
            </w:r>
          </w:p>
        </w:tc>
        <w:tc>
          <w:tcPr>
            <w:tcW w:type="dxa" w:w="15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Standard</w:t>
            </w:r>
          </w:p>
        </w:tc>
        <w:tc>
          <w:tcPr>
            <w:tcW w:type="dxa" w:w="145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FCA</w:t>
            </w:r>
          </w:p>
        </w:tc>
        <w:tc>
          <w:tcPr>
            <w:tcW w:type="dxa" w:w="135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UMJ</w:t>
            </w:r>
          </w:p>
        </w:tc>
        <w:tc>
          <w:tcPr>
            <w:tcW w:type="dxa" w:w="135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PRO ECN</w:t>
            </w:r>
          </w:p>
        </w:tc>
        <w:tc>
          <w:tcPr>
            <w:tcW w:type="dxa" w:w="135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UMJ Ultimate</w:t>
            </w:r>
          </w:p>
        </w:tc>
      </w:tr>
      <w:tr>
        <w:trPr>
          <w:cantSplit/>
        </w:trPr>
        <w:tc>
          <w:tcPr>
            <w:tcW w:type="dxa" w:w="2000"/>
            <w:tcMar>
              <w:top w:type="dxa" w:w="50"/>
              <w:left w:type="dxa" w:w="90"/>
              <w:bottom w:type="dxa" w:w="50"/>
              <w:right w:type="dxa" w:w="90"/>
            </w:tcMar>
          </w:tcPr>
          <w:p>
            <w:r>
              <w:rPr>
                <w:rFonts w:ascii="Calibri" w:cs="Calibri" w:eastAsia="Calibri" w:hAnsi="Calibri"/>
                <w:b/>
                <w:bCs/>
                <w:color w:val="1A1A1A"/>
                <w:sz w:val="17"/>
                <w:szCs w:val="17"/>
              </w:rPr>
              <w:t xml:space="preserve">Forex</w:t>
            </w:r>
          </w:p>
        </w:tc>
        <w:tc>
          <w:tcPr>
            <w:tcW w:type="dxa" w:w="150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450"/>
            <w:tcMar>
              <w:top w:type="dxa" w:w="50"/>
              <w:left w:type="dxa" w:w="90"/>
              <w:bottom w:type="dxa" w:w="50"/>
              <w:right w:type="dxa" w:w="90"/>
            </w:tcMar>
          </w:tcPr>
          <w:p>
            <w:r>
              <w:rPr>
                <w:rFonts w:ascii="Calibri" w:cs="Calibri" w:eastAsia="Calibri" w:hAnsi="Calibri"/>
                <w:b w:val="false"/>
                <w:bCs w:val="false"/>
                <w:color w:val="1A1A1A"/>
                <w:sz w:val="17"/>
                <w:szCs w:val="17"/>
              </w:rPr>
              <w:t xml:space="preserve">.u / .u+</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.v</w:t>
            </w:r>
          </w:p>
        </w:tc>
      </w:tr>
      <w:tr>
        <w:trPr>
          <w:cantSplit/>
        </w:trPr>
        <w:tc>
          <w:tcPr>
            <w:tcW w:type="dxa" w:w="20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XAU (Gold)</w:t>
            </w:r>
          </w:p>
        </w:tc>
        <w:tc>
          <w:tcPr>
            <w:tcW w:type="dxa" w:w="1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4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.u / .u+</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.v</w:t>
            </w:r>
          </w:p>
        </w:tc>
      </w:tr>
      <w:tr>
        <w:trPr>
          <w:cantSplit/>
        </w:trPr>
        <w:tc>
          <w:tcPr>
            <w:tcW w:type="dxa" w:w="2000"/>
            <w:tcMar>
              <w:top w:type="dxa" w:w="50"/>
              <w:left w:type="dxa" w:w="90"/>
              <w:bottom w:type="dxa" w:w="50"/>
              <w:right w:type="dxa" w:w="90"/>
            </w:tcMar>
          </w:tcPr>
          <w:p>
            <w:r>
              <w:rPr>
                <w:rFonts w:ascii="Calibri" w:cs="Calibri" w:eastAsia="Calibri" w:hAnsi="Calibri"/>
                <w:b/>
                <w:bCs/>
                <w:color w:val="1A1A1A"/>
                <w:sz w:val="17"/>
                <w:szCs w:val="17"/>
              </w:rPr>
              <w:t xml:space="preserve">XAG (Silver)</w:t>
            </w:r>
          </w:p>
        </w:tc>
        <w:tc>
          <w:tcPr>
            <w:tcW w:type="dxa" w:w="150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450"/>
            <w:tcMar>
              <w:top w:type="dxa" w:w="50"/>
              <w:left w:type="dxa" w:w="90"/>
              <w:bottom w:type="dxa" w:w="50"/>
              <w:right w:type="dxa" w:w="90"/>
            </w:tcMar>
          </w:tcPr>
          <w:p>
            <w:r>
              <w:rPr>
                <w:rFonts w:ascii="Calibri" w:cs="Calibri" w:eastAsia="Calibri" w:hAnsi="Calibri"/>
                <w:b w:val="false"/>
                <w:bCs w:val="false"/>
                <w:color w:val="1A1A1A"/>
                <w:sz w:val="17"/>
                <w:szCs w:val="17"/>
              </w:rPr>
              <w:t xml:space="preserve">.u / .u+</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.v</w:t>
            </w:r>
          </w:p>
        </w:tc>
      </w:tr>
      <w:tr>
        <w:trPr>
          <w:cantSplit/>
        </w:trPr>
        <w:tc>
          <w:tcPr>
            <w:tcW w:type="dxa" w:w="20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Oil</w:t>
            </w:r>
          </w:p>
        </w:tc>
        <w:tc>
          <w:tcPr>
            <w:tcW w:type="dxa" w:w="1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4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.u / .u+</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.v</w:t>
            </w:r>
          </w:p>
        </w:tc>
      </w:tr>
      <w:tr>
        <w:trPr>
          <w:cantSplit/>
        </w:trPr>
        <w:tc>
          <w:tcPr>
            <w:tcW w:type="dxa" w:w="2000"/>
            <w:tcMar>
              <w:top w:type="dxa" w:w="50"/>
              <w:left w:type="dxa" w:w="90"/>
              <w:bottom w:type="dxa" w:w="50"/>
              <w:right w:type="dxa" w:w="90"/>
            </w:tcMar>
          </w:tcPr>
          <w:p>
            <w:r>
              <w:rPr>
                <w:rFonts w:ascii="Calibri" w:cs="Calibri" w:eastAsia="Calibri" w:hAnsi="Calibri"/>
                <w:b/>
                <w:bCs/>
                <w:color w:val="1A1A1A"/>
                <w:sz w:val="17"/>
                <w:szCs w:val="17"/>
              </w:rPr>
              <w:t xml:space="preserve">Index / index future</w:t>
            </w:r>
          </w:p>
        </w:tc>
        <w:tc>
          <w:tcPr>
            <w:tcW w:type="dxa" w:w="150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450"/>
            <w:tcMar>
              <w:top w:type="dxa" w:w="50"/>
              <w:left w:type="dxa" w:w="90"/>
              <w:bottom w:type="dxa" w:w="50"/>
              <w:right w:type="dxa" w:w="90"/>
            </w:tcMar>
          </w:tcPr>
          <w:p>
            <w:r>
              <w:rPr>
                <w:rFonts w:ascii="Calibri" w:cs="Calibri" w:eastAsia="Calibri" w:hAnsi="Calibri"/>
                <w:b w:val="false"/>
                <w:bCs w:val="false"/>
                <w:color w:val="1A1A1A"/>
                <w:sz w:val="17"/>
                <w:szCs w:val="17"/>
              </w:rPr>
              <w:t xml:space="preserve">.u / .u+</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.v</w:t>
            </w:r>
          </w:p>
        </w:tc>
      </w:tr>
      <w:tr>
        <w:trPr>
          <w:cantSplit/>
        </w:trPr>
        <w:tc>
          <w:tcPr>
            <w:tcW w:type="dxa" w:w="20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Commodity</w:t>
            </w:r>
          </w:p>
        </w:tc>
        <w:tc>
          <w:tcPr>
            <w:tcW w:type="dxa" w:w="1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4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Phase 2</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B91C1C"/>
                <w:sz w:val="17"/>
                <w:szCs w:val="17"/>
              </w:rPr>
              <w:t xml:space="preserve">-Cv</w:t>
            </w:r>
          </w:p>
        </w:tc>
      </w:tr>
      <w:tr>
        <w:trPr>
          <w:cantSplit/>
        </w:trPr>
        <w:tc>
          <w:tcPr>
            <w:tcW w:type="dxa" w:w="2000"/>
            <w:tcMar>
              <w:top w:type="dxa" w:w="50"/>
              <w:left w:type="dxa" w:w="90"/>
              <w:bottom w:type="dxa" w:w="50"/>
              <w:right w:type="dxa" w:w="90"/>
            </w:tcMar>
          </w:tcPr>
          <w:p>
            <w:r>
              <w:rPr>
                <w:rFonts w:ascii="Calibri" w:cs="Calibri" w:eastAsia="Calibri" w:hAnsi="Calibri"/>
                <w:b/>
                <w:bCs/>
                <w:color w:val="1A1A1A"/>
                <w:sz w:val="17"/>
                <w:szCs w:val="17"/>
              </w:rPr>
              <w:t xml:space="preserve">Crypto</w:t>
            </w:r>
          </w:p>
        </w:tc>
        <w:tc>
          <w:tcPr>
            <w:tcW w:type="dxa" w:w="150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450"/>
            <w:tcMar>
              <w:top w:type="dxa" w:w="50"/>
              <w:left w:type="dxa" w:w="90"/>
              <w:bottom w:type="dxa" w:w="50"/>
              <w:right w:type="dxa" w:w="90"/>
            </w:tcMar>
          </w:tcPr>
          <w:p>
            <w:r>
              <w:rPr>
                <w:rFonts w:ascii="Calibri" w:cs="Calibri" w:eastAsia="Calibri" w:hAnsi="Calibri"/>
                <w:b w:val="false"/>
                <w:bCs w:val="false"/>
                <w:color w:val="B91C1C"/>
                <w:sz w:val="17"/>
                <w:szCs w:val="17"/>
              </w:rPr>
              <w:t xml:space="preserve">X</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.v</w:t>
            </w:r>
          </w:p>
        </w:tc>
      </w:tr>
      <w:tr>
        <w:trPr>
          <w:cantSplit/>
        </w:trPr>
        <w:tc>
          <w:tcPr>
            <w:tcW w:type="dxa" w:w="20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Stock (DMA)</w:t>
            </w:r>
          </w:p>
        </w:tc>
        <w:tc>
          <w:tcPr>
            <w:tcW w:type="dxa" w:w="1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4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Phase 2</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.v</w:t>
            </w:r>
          </w:p>
        </w:tc>
      </w:tr>
      <w:tr>
        <w:trPr>
          <w:cantSplit/>
        </w:trPr>
        <w:tc>
          <w:tcPr>
            <w:tcW w:type="dxa" w:w="2000"/>
            <w:tcMar>
              <w:top w:type="dxa" w:w="50"/>
              <w:left w:type="dxa" w:w="90"/>
              <w:bottom w:type="dxa" w:w="50"/>
              <w:right w:type="dxa" w:w="90"/>
            </w:tcMar>
          </w:tcPr>
          <w:p>
            <w:r>
              <w:rPr>
                <w:rFonts w:ascii="Calibri" w:cs="Calibri" w:eastAsia="Calibri" w:hAnsi="Calibri"/>
                <w:b/>
                <w:bCs/>
                <w:color w:val="1A1A1A"/>
                <w:sz w:val="17"/>
                <w:szCs w:val="17"/>
              </w:rPr>
              <w:t xml:space="preserve">Bond</w:t>
            </w:r>
          </w:p>
        </w:tc>
        <w:tc>
          <w:tcPr>
            <w:tcW w:type="dxa" w:w="150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450"/>
            <w:tcMar>
              <w:top w:type="dxa" w:w="50"/>
              <w:left w:type="dxa" w:w="90"/>
              <w:bottom w:type="dxa" w:w="50"/>
              <w:right w:type="dxa" w:w="90"/>
            </w:tcMar>
          </w:tcPr>
          <w:p>
            <w:r>
              <w:rPr>
                <w:rFonts w:ascii="Calibri" w:cs="Calibri" w:eastAsia="Calibri" w:hAnsi="Calibri"/>
                <w:b w:val="false"/>
                <w:bCs w:val="false"/>
                <w:color w:val="1A1A1A"/>
                <w:sz w:val="17"/>
                <w:szCs w:val="17"/>
              </w:rPr>
              <w:t xml:space="preserve">Phase 2</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350"/>
            <w:tcMar>
              <w:top w:type="dxa" w:w="50"/>
              <w:left w:type="dxa" w:w="90"/>
              <w:bottom w:type="dxa" w:w="50"/>
              <w:right w:type="dxa" w:w="90"/>
            </w:tcMar>
          </w:tcPr>
          <w:p>
            <w:r>
              <w:rPr>
                <w:rFonts w:ascii="Calibri" w:cs="Calibri" w:eastAsia="Calibri" w:hAnsi="Calibri"/>
                <w:b w:val="false"/>
                <w:bCs w:val="false"/>
                <w:color w:val="1A1A1A"/>
                <w:sz w:val="17"/>
                <w:szCs w:val="17"/>
              </w:rPr>
              <w:t xml:space="preserve">.v</w:t>
            </w:r>
          </w:p>
        </w:tc>
      </w:tr>
      <w:tr>
        <w:trPr>
          <w:cantSplit/>
        </w:trPr>
        <w:tc>
          <w:tcPr>
            <w:tcW w:type="dxa" w:w="20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ETF</w:t>
            </w:r>
          </w:p>
        </w:tc>
        <w:tc>
          <w:tcPr>
            <w:tcW w:type="dxa" w:w="1500"/>
            <w:shd w:fill="F3F4F6" w:color="auto" w:val="clear"/>
            <w:tcMar>
              <w:top w:type="dxa" w:w="50"/>
              <w:left w:type="dxa" w:w="90"/>
              <w:bottom w:type="dxa" w:w="50"/>
              <w:right w:type="dxa" w:w="90"/>
            </w:tcMar>
          </w:tcPr>
          <w:p>
            <w:r>
              <w:rPr>
                <w:rFonts w:ascii="Calibri" w:cs="Calibri" w:eastAsia="Calibri" w:hAnsi="Calibri"/>
                <w:b w:val="false"/>
                <w:bCs w:val="false"/>
                <w:color w:val="B91C1C"/>
                <w:sz w:val="17"/>
                <w:szCs w:val="17"/>
              </w:rPr>
              <w:t xml:space="preserve">X</w:t>
            </w:r>
          </w:p>
        </w:tc>
        <w:tc>
          <w:tcPr>
            <w:tcW w:type="dxa" w:w="1450"/>
            <w:shd w:fill="F3F4F6" w:color="auto" w:val="clear"/>
            <w:tcMar>
              <w:top w:type="dxa" w:w="50"/>
              <w:left w:type="dxa" w:w="90"/>
              <w:bottom w:type="dxa" w:w="50"/>
              <w:right w:type="dxa" w:w="90"/>
            </w:tcMar>
          </w:tcPr>
          <w:p>
            <w:r>
              <w:rPr>
                <w:rFonts w:ascii="Calibri" w:cs="Calibri" w:eastAsia="Calibri" w:hAnsi="Calibri"/>
                <w:b w:val="false"/>
                <w:bCs w:val="false"/>
                <w:color w:val="B91C1C"/>
                <w:sz w:val="17"/>
                <w:szCs w:val="17"/>
              </w:rPr>
              <w:t xml:space="preserve">X</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B91C1C"/>
                <w:sz w:val="17"/>
                <w:szCs w:val="17"/>
              </w:rPr>
              <w:t xml:space="preserve">X</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B91C1C"/>
                <w:sz w:val="17"/>
                <w:szCs w:val="17"/>
              </w:rPr>
              <w:t xml:space="preserve">X</w:t>
            </w:r>
          </w:p>
        </w:tc>
        <w:tc>
          <w:tcPr>
            <w:tcW w:type="dxa" w:w="1350"/>
            <w:shd w:fill="F3F4F6" w:color="auto" w:val="clear"/>
            <w:tcMar>
              <w:top w:type="dxa" w:w="50"/>
              <w:left w:type="dxa" w:w="90"/>
              <w:bottom w:type="dxa" w:w="50"/>
              <w:right w:type="dxa" w:w="90"/>
            </w:tcMar>
          </w:tcPr>
          <w:p>
            <w:r>
              <w:rPr>
                <w:rFonts w:ascii="Calibri" w:cs="Calibri" w:eastAsia="Calibri" w:hAnsi="Calibri"/>
                <w:b w:val="false"/>
                <w:bCs w:val="false"/>
                <w:color w:val="B91C1C"/>
                <w:sz w:val="17"/>
                <w:szCs w:val="17"/>
              </w:rPr>
              <w:t xml:space="preserve">X</w:t>
            </w:r>
          </w:p>
        </w:tc>
      </w:tr>
    </w:tbl>
    <w:p>
      <w:pPr>
        <w:spacing w:after="80"/>
      </w:pPr>
    </w:p>
    <w:p>
      <w:pPr>
        <w:spacing w:after="120" w:line="276"/>
      </w:pPr>
      <w:r>
        <w:rPr>
          <w:rFonts w:ascii="Calibri" w:cs="Calibri" w:eastAsia="Calibri" w:hAnsi="Calibri"/>
          <w:i/>
          <w:iCs/>
          <w:color w:val="6B7280"/>
          <w:sz w:val="18"/>
          <w:szCs w:val="18"/>
        </w:rPr>
        <w:t xml:space="preserve">Note: FCA Phase 1 deliberately excludes crypto, US stocks, futures and bulk products; commodity/stock/bond are Phase 2. ETF is not offered on any UM setup (marked X).</w:t>
      </w:r>
    </w:p>
    <w:p>
      <w:pPr>
        <w:pStyle w:val="Heading3"/>
        <w:spacing w:after="70" w:before="160"/>
      </w:pPr>
      <w:r>
        <w:rPr>
          <w:rFonts w:ascii="Calibri" w:cs="Calibri" w:eastAsia="Calibri" w:hAnsi="Calibri"/>
          <w:b/>
          <w:bCs/>
          <w:color w:val="1F4A3F"/>
          <w:sz w:val="21"/>
          <w:szCs w:val="21"/>
        </w:rPr>
        <w:t xml:space="preserve">Commission (手續費) — per side, $</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1400"/>
        <w:gridCol w:w="1700"/>
        <w:gridCol w:w="1300"/>
        <w:gridCol w:w="1700"/>
        <w:gridCol w:w="1200"/>
        <w:gridCol w:w="1700"/>
      </w:tblGrid>
      <w:tr>
        <w:trPr>
          <w:tblHeader/>
        </w:trPr>
        <w:tc>
          <w:tcPr>
            <w:tcW w:type="dxa" w:w="14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Product</w:t>
            </w:r>
          </w:p>
        </w:tc>
        <w:tc>
          <w:tcPr>
            <w:tcW w:type="dxa" w:w="17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Std ECN</w:t>
            </w:r>
          </w:p>
        </w:tc>
        <w:tc>
          <w:tcPr>
            <w:tcW w:type="dxa" w:w="13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FCA ECN</w:t>
            </w:r>
          </w:p>
        </w:tc>
        <w:tc>
          <w:tcPr>
            <w:tcW w:type="dxa" w:w="17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UMJ ECN</w:t>
            </w:r>
          </w:p>
        </w:tc>
        <w:tc>
          <w:tcPr>
            <w:tcW w:type="dxa" w:w="12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PRO ECN</w:t>
            </w:r>
          </w:p>
        </w:tc>
        <w:tc>
          <w:tcPr>
            <w:tcW w:type="dxa" w:w="17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STP (all)</w:t>
            </w:r>
          </w:p>
        </w:tc>
      </w:tr>
      <w:tr>
        <w:trPr>
          <w:cantSplit/>
        </w:trPr>
        <w:tc>
          <w:tcPr>
            <w:tcW w:type="dxa" w:w="1400"/>
            <w:tcMar>
              <w:top w:type="dxa" w:w="50"/>
              <w:left w:type="dxa" w:w="90"/>
              <w:bottom w:type="dxa" w:w="50"/>
              <w:right w:type="dxa" w:w="90"/>
            </w:tcMar>
          </w:tcPr>
          <w:p>
            <w:r>
              <w:rPr>
                <w:rFonts w:ascii="Calibri" w:cs="Calibri" w:eastAsia="Calibri" w:hAnsi="Calibri"/>
                <w:b/>
                <w:bCs/>
                <w:color w:val="1A1A1A"/>
                <w:sz w:val="17"/>
                <w:szCs w:val="17"/>
              </w:rPr>
              <w:t xml:space="preserve">Forex</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$5 (440 JPY)</w:t>
            </w:r>
          </w:p>
        </w:tc>
        <w:tc>
          <w:tcPr>
            <w:tcW w:type="dxa" w:w="1300"/>
            <w:tcMar>
              <w:top w:type="dxa" w:w="50"/>
              <w:left w:type="dxa" w:w="90"/>
              <w:bottom w:type="dxa" w:w="50"/>
              <w:right w:type="dxa" w:w="90"/>
            </w:tcMar>
          </w:tcPr>
          <w:p>
            <w:r>
              <w:rPr>
                <w:rFonts w:ascii="Calibri" w:cs="Calibri" w:eastAsia="Calibri" w:hAnsi="Calibri"/>
                <w:b w:val="false"/>
                <w:bCs w:val="false"/>
                <w:color w:val="1A1A1A"/>
                <w:sz w:val="17"/>
                <w:szCs w:val="17"/>
              </w:rPr>
              <w:t xml:space="preserve">$5</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$5 (750 JPY)</w:t>
            </w:r>
          </w:p>
        </w:tc>
        <w:tc>
          <w:tcPr>
            <w:tcW w:type="dxa" w:w="1200"/>
            <w:tcMar>
              <w:top w:type="dxa" w:w="50"/>
              <w:left w:type="dxa" w:w="90"/>
              <w:bottom w:type="dxa" w:w="50"/>
              <w:right w:type="dxa" w:w="90"/>
            </w:tcMar>
          </w:tcPr>
          <w:p>
            <w:r>
              <w:rPr>
                <w:rFonts w:ascii="Calibri" w:cs="Calibri" w:eastAsia="Calibri" w:hAnsi="Calibri"/>
                <w:b w:val="false"/>
                <w:bCs w:val="false"/>
                <w:color w:val="1A1A1A"/>
                <w:sz w:val="17"/>
                <w:szCs w:val="17"/>
              </w:rPr>
              <w:t xml:space="preserve">$3</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$0 — spread</w:t>
            </w:r>
          </w:p>
        </w:tc>
      </w:tr>
      <w:tr>
        <w:trPr>
          <w:cantSplit/>
        </w:trPr>
        <w:tc>
          <w:tcPr>
            <w:tcW w:type="dxa" w:w="14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XAU</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$5 (440 JPY)</w:t>
            </w:r>
          </w:p>
        </w:tc>
        <w:tc>
          <w:tcPr>
            <w:tcW w:type="dxa" w:w="13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$5</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$5 (750 JPY)</w:t>
            </w:r>
          </w:p>
        </w:tc>
        <w:tc>
          <w:tcPr>
            <w:tcW w:type="dxa" w:w="12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$3</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$0 — spread</w:t>
            </w:r>
          </w:p>
        </w:tc>
      </w:tr>
      <w:tr>
        <w:trPr>
          <w:cantSplit/>
        </w:trPr>
        <w:tc>
          <w:tcPr>
            <w:tcW w:type="dxa" w:w="1400"/>
            <w:tcMar>
              <w:top w:type="dxa" w:w="50"/>
              <w:left w:type="dxa" w:w="90"/>
              <w:bottom w:type="dxa" w:w="50"/>
              <w:right w:type="dxa" w:w="90"/>
            </w:tcMar>
          </w:tcPr>
          <w:p>
            <w:r>
              <w:rPr>
                <w:rFonts w:ascii="Calibri" w:cs="Calibri" w:eastAsia="Calibri" w:hAnsi="Calibri"/>
                <w:b/>
                <w:bCs/>
                <w:color w:val="1A1A1A"/>
                <w:sz w:val="17"/>
                <w:szCs w:val="17"/>
              </w:rPr>
              <w:t xml:space="preserve">XAG</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$5 (440 JPY)</w:t>
            </w:r>
          </w:p>
        </w:tc>
        <w:tc>
          <w:tcPr>
            <w:tcW w:type="dxa" w:w="1300"/>
            <w:tcMar>
              <w:top w:type="dxa" w:w="50"/>
              <w:left w:type="dxa" w:w="90"/>
              <w:bottom w:type="dxa" w:w="50"/>
              <w:right w:type="dxa" w:w="90"/>
            </w:tcMar>
          </w:tcPr>
          <w:p>
            <w:r>
              <w:rPr>
                <w:rFonts w:ascii="Calibri" w:cs="Calibri" w:eastAsia="Calibri" w:hAnsi="Calibri"/>
                <w:b w:val="false"/>
                <w:bCs w:val="false"/>
                <w:color w:val="1A1A1A"/>
                <w:sz w:val="17"/>
                <w:szCs w:val="17"/>
              </w:rPr>
              <w:t xml:space="preserve">$5</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$5 (750 JPY)</w:t>
            </w:r>
          </w:p>
        </w:tc>
        <w:tc>
          <w:tcPr>
            <w:tcW w:type="dxa" w:w="1200"/>
            <w:tcMar>
              <w:top w:type="dxa" w:w="50"/>
              <w:left w:type="dxa" w:w="90"/>
              <w:bottom w:type="dxa" w:w="50"/>
              <w:right w:type="dxa" w:w="90"/>
            </w:tcMar>
          </w:tcPr>
          <w:p>
            <w:r>
              <w:rPr>
                <w:rFonts w:ascii="Calibri" w:cs="Calibri" w:eastAsia="Calibri" w:hAnsi="Calibri"/>
                <w:b w:val="false"/>
                <w:bCs w:val="false"/>
                <w:color w:val="1A1A1A"/>
                <w:sz w:val="17"/>
                <w:szCs w:val="17"/>
              </w:rPr>
              <w:t xml:space="preserve">$3</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$0 — spread</w:t>
            </w:r>
          </w:p>
        </w:tc>
      </w:tr>
      <w:tr>
        <w:trPr>
          <w:cantSplit/>
        </w:trPr>
        <w:tc>
          <w:tcPr>
            <w:tcW w:type="dxa" w:w="14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Oil</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$5 (440 JPY)</w:t>
            </w:r>
          </w:p>
        </w:tc>
        <w:tc>
          <w:tcPr>
            <w:tcW w:type="dxa" w:w="13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$5</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$5 (750 JPY)</w:t>
            </w:r>
          </w:p>
        </w:tc>
        <w:tc>
          <w:tcPr>
            <w:tcW w:type="dxa" w:w="12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$3</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$0 — spread</w:t>
            </w:r>
          </w:p>
        </w:tc>
      </w:tr>
    </w:tbl>
    <w:p>
      <w:pPr>
        <w:spacing w:after="80"/>
      </w:pPr>
    </w:p>
    <w:p>
      <w:pPr>
        <w:pStyle w:val="Heading3"/>
        <w:spacing w:after="70" w:before="160"/>
      </w:pPr>
      <w:r>
        <w:rPr>
          <w:rFonts w:ascii="Calibri" w:cs="Calibri" w:eastAsia="Calibri" w:hAnsi="Calibri"/>
          <w:b/>
          <w:bCs/>
          <w:color w:val="1F4A3F"/>
          <w:sz w:val="21"/>
          <w:szCs w:val="21"/>
        </w:rPr>
        <w:t xml:space="preserve">Spread &amp; net cost (from data-supplement table)</w:t>
      </w:r>
    </w:p>
    <w:p>
      <w:pPr>
        <w:spacing w:after="120" w:line="276"/>
      </w:pPr>
      <w:r>
        <w:rPr>
          <w:rFonts w:ascii="Calibri" w:cs="Calibri" w:eastAsia="Calibri" w:hAnsi="Calibri"/>
          <w:color w:val="1A1A1A"/>
          <w:sz w:val="20"/>
          <w:szCs w:val="20"/>
        </w:rPr>
        <w:t xml:space="preserve">UM standard spreads ($) — EUR/USD, XAUUSD, XAGUSD, BTCUSD:</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1700"/>
        <w:gridCol w:w="1400"/>
        <w:gridCol w:w="1400"/>
        <w:gridCol w:w="1400"/>
        <w:gridCol w:w="1400"/>
        <w:gridCol w:w="1700"/>
      </w:tblGrid>
      <w:tr>
        <w:trPr>
          <w:tblHeader/>
        </w:trPr>
        <w:tc>
          <w:tcPr>
            <w:tcW w:type="dxa" w:w="17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Account</w:t>
            </w:r>
          </w:p>
        </w:tc>
        <w:tc>
          <w:tcPr>
            <w:tcW w:type="dxa" w:w="14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EURUSD</w:t>
            </w:r>
          </w:p>
        </w:tc>
        <w:tc>
          <w:tcPr>
            <w:tcW w:type="dxa" w:w="14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XAUUSD</w:t>
            </w:r>
          </w:p>
        </w:tc>
        <w:tc>
          <w:tcPr>
            <w:tcW w:type="dxa" w:w="14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XAGUSD</w:t>
            </w:r>
          </w:p>
        </w:tc>
        <w:tc>
          <w:tcPr>
            <w:tcW w:type="dxa" w:w="14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BTCUSD</w:t>
            </w:r>
          </w:p>
        </w:tc>
        <w:tc>
          <w:tcPr>
            <w:tcW w:type="dxa" w:w="17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Commission</w:t>
            </w:r>
          </w:p>
        </w:tc>
      </w:tr>
      <w:tr>
        <w:trPr>
          <w:cantSplit/>
        </w:trPr>
        <w:tc>
          <w:tcPr>
            <w:tcW w:type="dxa" w:w="1700"/>
            <w:tcMar>
              <w:top w:type="dxa" w:w="50"/>
              <w:left w:type="dxa" w:w="90"/>
              <w:bottom w:type="dxa" w:w="50"/>
              <w:right w:type="dxa" w:w="90"/>
            </w:tcMar>
          </w:tcPr>
          <w:p>
            <w:r>
              <w:rPr>
                <w:rFonts w:ascii="Calibri" w:cs="Calibri" w:eastAsia="Calibri" w:hAnsi="Calibri"/>
                <w:b/>
                <w:bCs/>
                <w:color w:val="1A1A1A"/>
                <w:sz w:val="17"/>
                <w:szCs w:val="17"/>
              </w:rPr>
              <w:t xml:space="preserve">STP</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$14</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$19</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$230</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$17</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$8/$8/$40 spread</w:t>
            </w:r>
          </w:p>
        </w:tc>
      </w:tr>
      <w:tr>
        <w:trPr>
          <w:cantSplit/>
        </w:trPr>
        <w:tc>
          <w:tcPr>
            <w:tcW w:type="dxa" w:w="17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ECN</w:t>
            </w:r>
          </w:p>
        </w:tc>
        <w:tc>
          <w:tcPr>
            <w:tcW w:type="dxa" w:w="1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$2</w:t>
            </w:r>
          </w:p>
        </w:tc>
        <w:tc>
          <w:tcPr>
            <w:tcW w:type="dxa" w:w="1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$9</w:t>
            </w:r>
          </w:p>
        </w:tc>
        <w:tc>
          <w:tcPr>
            <w:tcW w:type="dxa" w:w="1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$180</w:t>
            </w:r>
          </w:p>
        </w:tc>
        <w:tc>
          <w:tcPr>
            <w:tcW w:type="dxa" w:w="1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$17</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$2 FX/metals</w:t>
            </w:r>
          </w:p>
        </w:tc>
      </w:tr>
      <w:tr>
        <w:trPr>
          <w:cantSplit/>
        </w:trPr>
        <w:tc>
          <w:tcPr>
            <w:tcW w:type="dxa" w:w="1700"/>
            <w:tcMar>
              <w:top w:type="dxa" w:w="50"/>
              <w:left w:type="dxa" w:w="90"/>
              <w:bottom w:type="dxa" w:w="50"/>
              <w:right w:type="dxa" w:w="90"/>
            </w:tcMar>
          </w:tcPr>
          <w:p>
            <w:r>
              <w:rPr>
                <w:rFonts w:ascii="Calibri" w:cs="Calibri" w:eastAsia="Calibri" w:hAnsi="Calibri"/>
                <w:b/>
                <w:bCs/>
                <w:color w:val="1A1A1A"/>
                <w:sz w:val="17"/>
                <w:szCs w:val="17"/>
              </w:rPr>
              <w:t xml:space="preserve">ECN alt</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$1</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$9</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$243</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$25</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$2; 80/mil rebate</w:t>
            </w:r>
          </w:p>
        </w:tc>
      </w:tr>
    </w:tbl>
    <w:p>
      <w:pPr>
        <w:spacing w:after="80"/>
      </w:pPr>
    </w:p>
    <w:p>
      <w:pPr>
        <w:pStyle w:val="Heading3"/>
        <w:spacing w:after="70" w:before="160"/>
      </w:pPr>
      <w:r>
        <w:rPr>
          <w:rFonts w:ascii="Calibri" w:cs="Calibri" w:eastAsia="Calibri" w:hAnsi="Calibri"/>
          <w:b/>
          <w:bCs/>
          <w:color w:val="1F4A3F"/>
          <w:sz w:val="21"/>
          <w:szCs w:val="21"/>
        </w:rPr>
        <w:t xml:space="preserve">Rebate models</w:t>
      </w:r>
    </w:p>
    <w:p>
      <w:pPr>
        <w:pStyle w:val="ListParagraph"/>
        <w:numPr>
          <w:ilvl w:val="0"/>
          <w:numId w:val="2"/>
        </w:numPr>
        <w:spacing w:after="70" w:line="268"/>
      </w:pPr>
      <w:r>
        <w:rPr>
          <w:rFonts w:ascii="Calibri" w:cs="Calibri" w:eastAsia="Calibri" w:hAnsi="Calibri"/>
          <w:b/>
          <w:bCs/>
          <w:color w:val="1A1A1A"/>
          <w:sz w:val="20"/>
          <w:szCs w:val="20"/>
        </w:rPr>
        <w:t xml:space="preserve">Standard: </w:t>
      </w:r>
      <w:r>
        <w:rPr>
          <w:rFonts w:ascii="Calibri" w:cs="Calibri" w:eastAsia="Calibri" w:hAnsi="Calibri"/>
          <w:color w:val="1A1A1A"/>
          <w:sz w:val="20"/>
          <w:szCs w:val="20"/>
        </w:rPr>
        <w:t xml:space="preserve">FX/XAU/XAG/Oil = 8 point; Index-future / Commodity / Crypto / Stock(DMA) / Bond / ETF = 10–40% by Total Spread.</w:t>
      </w:r>
    </w:p>
    <w:p>
      <w:pPr>
        <w:pStyle w:val="ListParagraph"/>
        <w:numPr>
          <w:ilvl w:val="0"/>
          <w:numId w:val="2"/>
        </w:numPr>
        <w:spacing w:after="70" w:line="268"/>
      </w:pPr>
      <w:r>
        <w:rPr>
          <w:rFonts w:ascii="Calibri" w:cs="Calibri" w:eastAsia="Calibri" w:hAnsi="Calibri"/>
          <w:b/>
          <w:bCs/>
          <w:color w:val="1A1A1A"/>
          <w:sz w:val="20"/>
          <w:szCs w:val="20"/>
        </w:rPr>
        <w:t xml:space="preserve">FCA: </w:t>
      </w:r>
      <w:r>
        <w:rPr>
          <w:rFonts w:ascii="Calibri" w:cs="Calibri" w:eastAsia="Calibri" w:hAnsi="Calibri"/>
          <w:color w:val="1A1A1A"/>
          <w:sz w:val="20"/>
          <w:szCs w:val="20"/>
        </w:rPr>
        <w:t xml:space="preserve">NO REBATE (Phase 1).</w:t>
      </w:r>
    </w:p>
    <w:p>
      <w:pPr>
        <w:pStyle w:val="ListParagraph"/>
        <w:numPr>
          <w:ilvl w:val="0"/>
          <w:numId w:val="2"/>
        </w:numPr>
        <w:spacing w:after="70" w:line="268"/>
      </w:pPr>
      <w:r>
        <w:rPr>
          <w:rFonts w:ascii="Calibri" w:cs="Calibri" w:eastAsia="Calibri" w:hAnsi="Calibri"/>
          <w:b/>
          <w:bCs/>
          <w:color w:val="1A1A1A"/>
          <w:sz w:val="20"/>
          <w:szCs w:val="20"/>
        </w:rPr>
        <w:t xml:space="preserve">UMJ: </w:t>
      </w:r>
      <w:r>
        <w:rPr>
          <w:rFonts w:ascii="Calibri" w:cs="Calibri" w:eastAsia="Calibri" w:hAnsi="Calibri"/>
          <w:color w:val="1A1A1A"/>
          <w:sz w:val="20"/>
          <w:szCs w:val="20"/>
        </w:rPr>
        <w:t xml:space="preserve">FX/XAU/XAG/Oil = 42.8% by $2 (JPY denominated); Index-future/Commodity/Crypto/Stock/Bond = 37% by Total Spread; ETF = X.</w:t>
      </w:r>
    </w:p>
    <w:p>
      <w:pPr>
        <w:pStyle w:val="ListParagraph"/>
        <w:numPr>
          <w:ilvl w:val="0"/>
          <w:numId w:val="2"/>
        </w:numPr>
        <w:spacing w:after="70" w:line="268"/>
      </w:pPr>
      <w:r>
        <w:rPr>
          <w:rFonts w:ascii="Calibri" w:cs="Calibri" w:eastAsia="Calibri" w:hAnsi="Calibri"/>
          <w:b/>
          <w:bCs/>
          <w:color w:val="1A1A1A"/>
          <w:sz w:val="20"/>
          <w:szCs w:val="20"/>
        </w:rPr>
        <w:t xml:space="preserve">PRO ECN: </w:t>
      </w:r>
      <w:r>
        <w:rPr>
          <w:rFonts w:ascii="Calibri" w:cs="Calibri" w:eastAsia="Calibri" w:hAnsi="Calibri"/>
          <w:color w:val="1A1A1A"/>
          <w:sz w:val="20"/>
          <w:szCs w:val="20"/>
        </w:rPr>
        <w:t xml:space="preserve">NO REBATE.</w:t>
      </w:r>
    </w:p>
    <w:p>
      <w:pPr>
        <w:pStyle w:val="ListParagraph"/>
        <w:numPr>
          <w:ilvl w:val="0"/>
          <w:numId w:val="2"/>
        </w:numPr>
        <w:spacing w:after="70" w:line="268"/>
      </w:pPr>
      <w:r>
        <w:rPr>
          <w:rFonts w:ascii="Calibri" w:cs="Calibri" w:eastAsia="Calibri" w:hAnsi="Calibri"/>
          <w:b/>
          <w:bCs/>
          <w:color w:val="1A1A1A"/>
          <w:sz w:val="20"/>
          <w:szCs w:val="20"/>
        </w:rPr>
        <w:t xml:space="preserve">UMJ Ultimate: </w:t>
      </w:r>
      <w:r>
        <w:rPr>
          <w:rFonts w:ascii="Calibri" w:cs="Calibri" w:eastAsia="Calibri" w:hAnsi="Calibri"/>
          <w:color w:val="1A1A1A"/>
          <w:sz w:val="20"/>
          <w:szCs w:val="20"/>
        </w:rPr>
        <w:t xml:space="preserve">all products optimised 20% (up to 27% on the A-book Top-22 volume products), moving to spread-by-% commission. Ultimate spread sits between STP and ECN (ECN &gt; Ultimate &gt; STP). Top-22 tier suspended pending range/rebate sign-off.</w:t>
      </w:r>
    </w:p>
    <w:p>
      <w:pPr>
        <w:pStyle w:val="ListParagraph"/>
        <w:numPr>
          <w:ilvl w:val="0"/>
          <w:numId w:val="2"/>
        </w:numPr>
        <w:spacing w:after="70" w:line="268"/>
      </w:pPr>
      <w:r>
        <w:rPr>
          <w:rFonts w:ascii="Calibri" w:cs="Calibri" w:eastAsia="Calibri" w:hAnsi="Calibri"/>
          <w:b/>
          <w:bCs/>
          <w:color w:val="1A1A1A"/>
          <w:sz w:val="20"/>
          <w:szCs w:val="20"/>
        </w:rPr>
        <w:t xml:space="preserve">Synthetic 1.0 (planned): </w:t>
      </w:r>
      <w:r>
        <w:rPr>
          <w:rFonts w:ascii="Calibri" w:cs="Calibri" w:eastAsia="Calibri" w:hAnsi="Calibri"/>
          <w:color w:val="1A1A1A"/>
          <w:sz w:val="20"/>
          <w:szCs w:val="20"/>
        </w:rPr>
        <w:t xml:space="preserve">rebate up to UM's maximum of 40%.</w:t>
      </w:r>
    </w:p>
    <w:p>
      <w:pPr>
        <w:pStyle w:val="Heading3"/>
        <w:spacing w:after="70" w:before="160"/>
      </w:pPr>
      <w:r>
        <w:rPr>
          <w:rFonts w:ascii="Calibri" w:cs="Calibri" w:eastAsia="Calibri" w:hAnsi="Calibri"/>
          <w:b/>
          <w:bCs/>
          <w:color w:val="1F4A3F"/>
          <w:sz w:val="21"/>
          <w:szCs w:val="21"/>
        </w:rPr>
        <w:t xml:space="preserve">Leverage</w:t>
      </w:r>
    </w:p>
    <w:p>
      <w:pPr>
        <w:pStyle w:val="ListParagraph"/>
        <w:numPr>
          <w:ilvl w:val="0"/>
          <w:numId w:val="2"/>
        </w:numPr>
        <w:spacing w:after="70" w:line="268"/>
      </w:pPr>
      <w:r>
        <w:rPr>
          <w:rFonts w:ascii="Calibri" w:cs="Calibri" w:eastAsia="Calibri" w:hAnsi="Calibri"/>
          <w:b/>
          <w:bCs/>
          <w:color w:val="1A1A1A"/>
          <w:sz w:val="20"/>
          <w:szCs w:val="20"/>
        </w:rPr>
        <w:t xml:space="preserve">Core UM / global: </w:t>
      </w:r>
      <w:r>
        <w:rPr>
          <w:rFonts w:ascii="Calibri" w:cs="Calibri" w:eastAsia="Calibri" w:hAnsi="Calibri"/>
          <w:color w:val="1A1A1A"/>
          <w:sz w:val="20"/>
          <w:szCs w:val="20"/>
        </w:rPr>
        <w:t xml:space="preserve">up to 2000:1 (offshore).</w:t>
      </w:r>
    </w:p>
    <w:p>
      <w:pPr>
        <w:pStyle w:val="ListParagraph"/>
        <w:numPr>
          <w:ilvl w:val="0"/>
          <w:numId w:val="2"/>
        </w:numPr>
        <w:spacing w:after="70" w:line="268"/>
      </w:pPr>
      <w:r>
        <w:rPr>
          <w:rFonts w:ascii="Calibri" w:cs="Calibri" w:eastAsia="Calibri" w:hAnsi="Calibri"/>
          <w:b/>
          <w:bCs/>
          <w:color w:val="1A1A1A"/>
          <w:sz w:val="20"/>
          <w:szCs w:val="20"/>
        </w:rPr>
        <w:t xml:space="preserve">FCA onshore: </w:t>
      </w:r>
      <w:r>
        <w:rPr>
          <w:rFonts w:ascii="Calibri" w:cs="Calibri" w:eastAsia="Calibri" w:hAnsi="Calibri"/>
          <w:color w:val="1A1A1A"/>
          <w:sz w:val="20"/>
          <w:szCs w:val="20"/>
        </w:rPr>
        <w:t xml:space="preserve">capped at 30:1 (retail regulatory limit).</w:t>
      </w:r>
    </w:p>
    <w:p>
      <w:pPr>
        <w:spacing w:after="120" w:line="276"/>
      </w:pPr>
      <w:r>
        <w:rPr>
          <w:rFonts w:ascii="Calibri" w:cs="Calibri" w:eastAsia="Calibri" w:hAnsi="Calibri"/>
          <w:i/>
          <w:iCs/>
          <w:color w:val="6B7280"/>
          <w:sz w:val="18"/>
          <w:szCs w:val="18"/>
        </w:rPr>
        <w:t xml:space="preserve">Regulatory ceilings (ASIC / FCA reference, retail): FX major 30, gold 20, commodity 10, major indices 20, minor indices 10, single stocks 5, crypto 2 (FCA retail crypto = X, not offered).</w:t>
      </w:r>
    </w:p>
    <w:p>
      <w:pPr>
        <w:pStyle w:val="Heading3"/>
        <w:spacing w:after="70" w:before="160"/>
      </w:pPr>
      <w:r>
        <w:rPr>
          <w:rFonts w:ascii="Calibri" w:cs="Calibri" w:eastAsia="Calibri" w:hAnsi="Calibri"/>
          <w:b/>
          <w:bCs/>
          <w:color w:val="1F4A3F"/>
          <w:sz w:val="21"/>
          <w:szCs w:val="21"/>
        </w:rPr>
        <w:t xml:space="preserve">Other core specifications (swap, trading time, stop-out, min deposit)</w:t>
      </w:r>
    </w:p>
    <w:tbl>
      <w:tblPr>
        <w:tblW w:type="dxa" w:w="10000"/>
        <w:tblBorders>
          <w:top w:val="single" w:color="D1D5DB" w:sz="2"/>
          <w:left w:val="single" w:color="D1D5DB" w:sz="2"/>
          <w:bottom w:val="single" w:color="D1D5DB" w:sz="2"/>
          <w:right w:val="single" w:color="D1D5DB" w:sz="2"/>
          <w:insideH w:val="single" w:color="E5E7EB" w:sz="1"/>
          <w:insideV w:val="single" w:color="E5E7EB" w:sz="1"/>
        </w:tblBorders>
      </w:tblPr>
      <w:tblGrid>
        <w:gridCol w:w="1500"/>
        <w:gridCol w:w="2000"/>
        <w:gridCol w:w="1900"/>
        <w:gridCol w:w="1500"/>
        <w:gridCol w:w="1400"/>
        <w:gridCol w:w="1700"/>
      </w:tblGrid>
      <w:tr>
        <w:trPr>
          <w:tblHeader/>
        </w:trPr>
        <w:tc>
          <w:tcPr>
            <w:tcW w:type="dxa" w:w="15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Spec</w:t>
            </w:r>
          </w:p>
        </w:tc>
        <w:tc>
          <w:tcPr>
            <w:tcW w:type="dxa" w:w="20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Standard STP</w:t>
            </w:r>
          </w:p>
        </w:tc>
        <w:tc>
          <w:tcPr>
            <w:tcW w:type="dxa" w:w="19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ECN</w:t>
            </w:r>
          </w:p>
        </w:tc>
        <w:tc>
          <w:tcPr>
            <w:tcW w:type="dxa" w:w="15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PRO ECN</w:t>
            </w:r>
          </w:p>
        </w:tc>
        <w:tc>
          <w:tcPr>
            <w:tcW w:type="dxa" w:w="14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Cent (USC)</w:t>
            </w:r>
          </w:p>
        </w:tc>
        <w:tc>
          <w:tcPr>
            <w:tcW w:type="dxa" w:w="17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FCA</w:t>
            </w:r>
          </w:p>
        </w:tc>
      </w:tr>
      <w:tr>
        <w:trPr>
          <w:cantSplit/>
        </w:trPr>
        <w:tc>
          <w:tcPr>
            <w:tcW w:type="dxa" w:w="1500"/>
            <w:tcMar>
              <w:top w:type="dxa" w:w="50"/>
              <w:left w:type="dxa" w:w="90"/>
              <w:bottom w:type="dxa" w:w="50"/>
              <w:right w:type="dxa" w:w="90"/>
            </w:tcMar>
          </w:tcPr>
          <w:p>
            <w:r>
              <w:rPr>
                <w:rFonts w:ascii="Calibri" w:cs="Calibri" w:eastAsia="Calibri" w:hAnsi="Calibri"/>
                <w:b/>
                <w:bCs/>
                <w:color w:val="1A1A1A"/>
                <w:sz w:val="17"/>
                <w:szCs w:val="17"/>
              </w:rPr>
              <w:t xml:space="preserve">Min deposit</w:t>
            </w:r>
          </w:p>
        </w:tc>
        <w:tc>
          <w:tcPr>
            <w:tcW w:type="dxa" w:w="2000"/>
            <w:tcMar>
              <w:top w:type="dxa" w:w="50"/>
              <w:left w:type="dxa" w:w="90"/>
              <w:bottom w:type="dxa" w:w="50"/>
              <w:right w:type="dxa" w:w="90"/>
            </w:tcMar>
          </w:tcPr>
          <w:p>
            <w:r>
              <w:rPr>
                <w:rFonts w:ascii="Calibri" w:cs="Calibri" w:eastAsia="Calibri" w:hAnsi="Calibri"/>
                <w:b w:val="false"/>
                <w:bCs w:val="false"/>
                <w:color w:val="1A1A1A"/>
                <w:sz w:val="17"/>
                <w:szCs w:val="17"/>
              </w:rPr>
              <w:t xml:space="preserve">$50</w:t>
            </w:r>
          </w:p>
        </w:tc>
        <w:tc>
          <w:tcPr>
            <w:tcW w:type="dxa" w:w="1900"/>
            <w:tcMar>
              <w:top w:type="dxa" w:w="50"/>
              <w:left w:type="dxa" w:w="90"/>
              <w:bottom w:type="dxa" w:w="50"/>
              <w:right w:type="dxa" w:w="90"/>
            </w:tcMar>
          </w:tcPr>
          <w:p>
            <w:r>
              <w:rPr>
                <w:rFonts w:ascii="Calibri" w:cs="Calibri" w:eastAsia="Calibri" w:hAnsi="Calibri"/>
                <w:b w:val="false"/>
                <w:bCs w:val="false"/>
                <w:color w:val="1A1A1A"/>
                <w:sz w:val="17"/>
                <w:szCs w:val="17"/>
              </w:rPr>
              <w:t xml:space="preserve">$50</w:t>
            </w:r>
          </w:p>
        </w:tc>
        <w:tc>
          <w:tcPr>
            <w:tcW w:type="dxa" w:w="1500"/>
            <w:tcMar>
              <w:top w:type="dxa" w:w="50"/>
              <w:left w:type="dxa" w:w="90"/>
              <w:bottom w:type="dxa" w:w="50"/>
              <w:right w:type="dxa" w:w="90"/>
            </w:tcMar>
          </w:tcPr>
          <w:p>
            <w:r>
              <w:rPr>
                <w:rFonts w:ascii="Calibri" w:cs="Calibri" w:eastAsia="Calibri" w:hAnsi="Calibri"/>
                <w:b w:val="false"/>
                <w:bCs w:val="false"/>
                <w:color w:val="1A1A1A"/>
                <w:sz w:val="17"/>
                <w:szCs w:val="17"/>
              </w:rPr>
              <w:t xml:space="preserve">~$20,000</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$50</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per FCA rules</w:t>
            </w:r>
          </w:p>
        </w:tc>
      </w:tr>
      <w:tr>
        <w:trPr>
          <w:cantSplit/>
        </w:trPr>
        <w:tc>
          <w:tcPr>
            <w:tcW w:type="dxa" w:w="15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Commission</w:t>
            </w:r>
          </w:p>
        </w:tc>
        <w:tc>
          <w:tcPr>
            <w:tcW w:type="dxa" w:w="20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None (spread)</w:t>
            </w:r>
          </w:p>
        </w:tc>
        <w:tc>
          <w:tcPr>
            <w:tcW w:type="dxa" w:w="19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~$5/side ($3 PRO)</w:t>
            </w:r>
          </w:p>
        </w:tc>
        <w:tc>
          <w:tcPr>
            <w:tcW w:type="dxa" w:w="1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$3/side</w:t>
            </w:r>
          </w:p>
        </w:tc>
        <w:tc>
          <w:tcPr>
            <w:tcW w:type="dxa" w:w="1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None (spread)</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STP none / ECN ~$5</w:t>
            </w:r>
          </w:p>
        </w:tc>
      </w:tr>
      <w:tr>
        <w:trPr>
          <w:cantSplit/>
        </w:trPr>
        <w:tc>
          <w:tcPr>
            <w:tcW w:type="dxa" w:w="1500"/>
            <w:tcMar>
              <w:top w:type="dxa" w:w="50"/>
              <w:left w:type="dxa" w:w="90"/>
              <w:bottom w:type="dxa" w:w="50"/>
              <w:right w:type="dxa" w:w="90"/>
            </w:tcMar>
          </w:tcPr>
          <w:p>
            <w:r>
              <w:rPr>
                <w:rFonts w:ascii="Calibri" w:cs="Calibri" w:eastAsia="Calibri" w:hAnsi="Calibri"/>
                <w:b/>
                <w:bCs/>
                <w:color w:val="1A1A1A"/>
                <w:sz w:val="17"/>
                <w:szCs w:val="17"/>
              </w:rPr>
              <w:t xml:space="preserve">Swap</w:t>
            </w:r>
          </w:p>
        </w:tc>
        <w:tc>
          <w:tcPr>
            <w:tcW w:type="dxa" w:w="2000"/>
            <w:tcMar>
              <w:top w:type="dxa" w:w="50"/>
              <w:left w:type="dxa" w:w="90"/>
              <w:bottom w:type="dxa" w:w="50"/>
              <w:right w:type="dxa" w:w="90"/>
            </w:tcMar>
          </w:tcPr>
          <w:p>
            <w:r>
              <w:rPr>
                <w:rFonts w:ascii="Calibri" w:cs="Calibri" w:eastAsia="Calibri" w:hAnsi="Calibri"/>
                <w:b w:val="false"/>
                <w:bCs w:val="false"/>
                <w:color w:val="1A1A1A"/>
                <w:sz w:val="17"/>
                <w:szCs w:val="17"/>
              </w:rPr>
              <w:t xml:space="preserve">Yes (swap-free avail.)</w:t>
            </w:r>
          </w:p>
        </w:tc>
        <w:tc>
          <w:tcPr>
            <w:tcW w:type="dxa" w:w="1900"/>
            <w:tcMar>
              <w:top w:type="dxa" w:w="50"/>
              <w:left w:type="dxa" w:w="90"/>
              <w:bottom w:type="dxa" w:w="50"/>
              <w:right w:type="dxa" w:w="90"/>
            </w:tcMar>
          </w:tcPr>
          <w:p>
            <w:r>
              <w:rPr>
                <w:rFonts w:ascii="Calibri" w:cs="Calibri" w:eastAsia="Calibri" w:hAnsi="Calibri"/>
                <w:b w:val="false"/>
                <w:bCs w:val="false"/>
                <w:color w:val="1A1A1A"/>
                <w:sz w:val="17"/>
                <w:szCs w:val="17"/>
              </w:rPr>
              <w:t xml:space="preserve">Yes (swap-free avail.)</w:t>
            </w:r>
          </w:p>
        </w:tc>
        <w:tc>
          <w:tcPr>
            <w:tcW w:type="dxa" w:w="1500"/>
            <w:tcMar>
              <w:top w:type="dxa" w:w="50"/>
              <w:left w:type="dxa" w:w="90"/>
              <w:bottom w:type="dxa" w:w="50"/>
              <w:right w:type="dxa" w:w="90"/>
            </w:tcMar>
          </w:tcPr>
          <w:p>
            <w:r>
              <w:rPr>
                <w:rFonts w:ascii="Calibri" w:cs="Calibri" w:eastAsia="Calibri" w:hAnsi="Calibri"/>
                <w:b w:val="false"/>
                <w:bCs w:val="false"/>
                <w:color w:val="1A1A1A"/>
                <w:sz w:val="17"/>
                <w:szCs w:val="17"/>
              </w:rPr>
              <w:t xml:space="preserve">Yes</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Yes / swap-free</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Yes</w:t>
            </w:r>
          </w:p>
        </w:tc>
      </w:tr>
      <w:tr>
        <w:trPr>
          <w:cantSplit/>
        </w:trPr>
        <w:tc>
          <w:tcPr>
            <w:tcW w:type="dxa" w:w="15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Stop-out</w:t>
            </w:r>
          </w:p>
        </w:tc>
        <w:tc>
          <w:tcPr>
            <w:tcW w:type="dxa" w:w="20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Ultimate/NM groups 0%</w:t>
            </w:r>
          </w:p>
        </w:tc>
        <w:tc>
          <w:tcPr>
            <w:tcW w:type="dxa" w:w="19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0% on config'd groups</w:t>
            </w:r>
          </w:p>
        </w:tc>
        <w:tc>
          <w:tcPr>
            <w:tcW w:type="dxa" w:w="1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std</w:t>
            </w:r>
          </w:p>
        </w:tc>
        <w:tc>
          <w:tcPr>
            <w:tcW w:type="dxa" w:w="1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std</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std</w:t>
            </w:r>
          </w:p>
        </w:tc>
      </w:tr>
      <w:tr>
        <w:trPr>
          <w:cantSplit/>
        </w:trPr>
        <w:tc>
          <w:tcPr>
            <w:tcW w:type="dxa" w:w="1500"/>
            <w:tcMar>
              <w:top w:type="dxa" w:w="50"/>
              <w:left w:type="dxa" w:w="90"/>
              <w:bottom w:type="dxa" w:w="50"/>
              <w:right w:type="dxa" w:w="90"/>
            </w:tcMar>
          </w:tcPr>
          <w:p>
            <w:r>
              <w:rPr>
                <w:rFonts w:ascii="Calibri" w:cs="Calibri" w:eastAsia="Calibri" w:hAnsi="Calibri"/>
                <w:b/>
                <w:bCs/>
                <w:color w:val="1A1A1A"/>
                <w:sz w:val="17"/>
                <w:szCs w:val="17"/>
              </w:rPr>
              <w:t xml:space="preserve">Credit</w:t>
            </w:r>
          </w:p>
        </w:tc>
        <w:tc>
          <w:tcPr>
            <w:tcW w:type="dxa" w:w="2000"/>
            <w:tcMar>
              <w:top w:type="dxa" w:w="50"/>
              <w:left w:type="dxa" w:w="90"/>
              <w:bottom w:type="dxa" w:w="50"/>
              <w:right w:type="dxa" w:w="90"/>
            </w:tcMar>
          </w:tcPr>
          <w:p>
            <w:r>
              <w:rPr>
                <w:rFonts w:ascii="Calibri" w:cs="Calibri" w:eastAsia="Calibri" w:hAnsi="Calibri"/>
                <w:b w:val="false"/>
                <w:bCs w:val="false"/>
                <w:color w:val="1A1A1A"/>
                <w:sz w:val="17"/>
                <w:szCs w:val="17"/>
              </w:rPr>
              <w:t xml:space="preserve">No Credit (NM groups)</w:t>
            </w:r>
          </w:p>
        </w:tc>
        <w:tc>
          <w:tcPr>
            <w:tcW w:type="dxa" w:w="1900"/>
            <w:tcMar>
              <w:top w:type="dxa" w:w="50"/>
              <w:left w:type="dxa" w:w="90"/>
              <w:bottom w:type="dxa" w:w="50"/>
              <w:right w:type="dxa" w:w="90"/>
            </w:tcMar>
          </w:tcPr>
          <w:p>
            <w:r>
              <w:rPr>
                <w:rFonts w:ascii="Calibri" w:cs="Calibri" w:eastAsia="Calibri" w:hAnsi="Calibri"/>
                <w:b w:val="false"/>
                <w:bCs w:val="false"/>
                <w:color w:val="1A1A1A"/>
                <w:sz w:val="17"/>
                <w:szCs w:val="17"/>
              </w:rPr>
              <w:t xml:space="preserve">No Credit</w:t>
            </w:r>
          </w:p>
        </w:tc>
        <w:tc>
          <w:tcPr>
            <w:tcW w:type="dxa" w:w="150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w:t>
            </w:r>
          </w:p>
        </w:tc>
      </w:tr>
      <w:tr>
        <w:trPr>
          <w:cantSplit/>
        </w:trPr>
        <w:tc>
          <w:tcPr>
            <w:tcW w:type="dxa" w:w="15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Trading time</w:t>
            </w:r>
          </w:p>
        </w:tc>
        <w:tc>
          <w:tcPr>
            <w:tcW w:type="dxa" w:w="20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FX 24/5; metals/oil session; stocks per exchange; 5/24 &amp; 7/24 US stocks new</w:t>
            </w:r>
          </w:p>
        </w:tc>
        <w:tc>
          <w:tcPr>
            <w:tcW w:type="dxa" w:w="19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same</w:t>
            </w:r>
          </w:p>
        </w:tc>
        <w:tc>
          <w:tcPr>
            <w:tcW w:type="dxa" w:w="1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same</w:t>
            </w:r>
          </w:p>
        </w:tc>
        <w:tc>
          <w:tcPr>
            <w:tcW w:type="dxa" w:w="1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same</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FX 24/5, no crypto</w:t>
            </w:r>
          </w:p>
        </w:tc>
      </w:tr>
      <w:tr>
        <w:trPr>
          <w:cantSplit/>
        </w:trPr>
        <w:tc>
          <w:tcPr>
            <w:tcW w:type="dxa" w:w="1500"/>
            <w:tcMar>
              <w:top w:type="dxa" w:w="50"/>
              <w:left w:type="dxa" w:w="90"/>
              <w:bottom w:type="dxa" w:w="50"/>
              <w:right w:type="dxa" w:w="90"/>
            </w:tcMar>
          </w:tcPr>
          <w:p>
            <w:r>
              <w:rPr>
                <w:rFonts w:ascii="Calibri" w:cs="Calibri" w:eastAsia="Calibri" w:hAnsi="Calibri"/>
                <w:b/>
                <w:bCs/>
                <w:color w:val="1A1A1A"/>
                <w:sz w:val="17"/>
                <w:szCs w:val="17"/>
              </w:rPr>
              <w:t xml:space="preserve">Leverage</w:t>
            </w:r>
          </w:p>
        </w:tc>
        <w:tc>
          <w:tcPr>
            <w:tcW w:type="dxa" w:w="2000"/>
            <w:tcMar>
              <w:top w:type="dxa" w:w="50"/>
              <w:left w:type="dxa" w:w="90"/>
              <w:bottom w:type="dxa" w:w="50"/>
              <w:right w:type="dxa" w:w="90"/>
            </w:tcMar>
          </w:tcPr>
          <w:p>
            <w:r>
              <w:rPr>
                <w:rFonts w:ascii="Calibri" w:cs="Calibri" w:eastAsia="Calibri" w:hAnsi="Calibri"/>
                <w:b w:val="false"/>
                <w:bCs w:val="false"/>
                <w:color w:val="1A1A1A"/>
                <w:sz w:val="17"/>
                <w:szCs w:val="17"/>
              </w:rPr>
              <w:t xml:space="preserve">≤2000:1</w:t>
            </w:r>
          </w:p>
        </w:tc>
        <w:tc>
          <w:tcPr>
            <w:tcW w:type="dxa" w:w="1900"/>
            <w:tcMar>
              <w:top w:type="dxa" w:w="50"/>
              <w:left w:type="dxa" w:w="90"/>
              <w:bottom w:type="dxa" w:w="50"/>
              <w:right w:type="dxa" w:w="90"/>
            </w:tcMar>
          </w:tcPr>
          <w:p>
            <w:r>
              <w:rPr>
                <w:rFonts w:ascii="Calibri" w:cs="Calibri" w:eastAsia="Calibri" w:hAnsi="Calibri"/>
                <w:b w:val="false"/>
                <w:bCs w:val="false"/>
                <w:color w:val="1A1A1A"/>
                <w:sz w:val="17"/>
                <w:szCs w:val="17"/>
              </w:rPr>
              <w:t xml:space="preserve">≤2000:1</w:t>
            </w:r>
          </w:p>
        </w:tc>
        <w:tc>
          <w:tcPr>
            <w:tcW w:type="dxa" w:w="1500"/>
            <w:tcMar>
              <w:top w:type="dxa" w:w="50"/>
              <w:left w:type="dxa" w:w="90"/>
              <w:bottom w:type="dxa" w:w="50"/>
              <w:right w:type="dxa" w:w="90"/>
            </w:tcMar>
          </w:tcPr>
          <w:p>
            <w:r>
              <w:rPr>
                <w:rFonts w:ascii="Calibri" w:cs="Calibri" w:eastAsia="Calibri" w:hAnsi="Calibri"/>
                <w:b w:val="false"/>
                <w:bCs w:val="false"/>
                <w:color w:val="1A1A1A"/>
                <w:sz w:val="17"/>
                <w:szCs w:val="17"/>
              </w:rPr>
              <w:t xml:space="preserve">≤2000:1</w:t>
            </w:r>
          </w:p>
        </w:tc>
        <w:tc>
          <w:tcPr>
            <w:tcW w:type="dxa" w:w="1400"/>
            <w:tcMar>
              <w:top w:type="dxa" w:w="50"/>
              <w:left w:type="dxa" w:w="90"/>
              <w:bottom w:type="dxa" w:w="50"/>
              <w:right w:type="dxa" w:w="90"/>
            </w:tcMar>
          </w:tcPr>
          <w:p>
            <w:r>
              <w:rPr>
                <w:rFonts w:ascii="Calibri" w:cs="Calibri" w:eastAsia="Calibri" w:hAnsi="Calibri"/>
                <w:b w:val="false"/>
                <w:bCs w:val="false"/>
                <w:color w:val="1A1A1A"/>
                <w:sz w:val="17"/>
                <w:szCs w:val="17"/>
              </w:rPr>
              <w:t xml:space="preserve">≤2000:1</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30:1</w:t>
            </w:r>
          </w:p>
        </w:tc>
      </w:tr>
    </w:tbl>
    <w:p>
      <w:pPr>
        <w:spacing w:after="80"/>
      </w:pPr>
    </w:p>
    <w:p>
      <w:pPr>
        <w:shd w:fill="FFF7ED" w:color="auto" w:val="clear"/>
        <w:spacing w:after="90" w:line="268"/>
      </w:pPr>
      <w:r>
        <w:rPr>
          <w:rFonts w:ascii="Calibri" w:cs="Calibri" w:eastAsia="Calibri" w:hAnsi="Calibri"/>
          <w:b/>
          <w:bCs/>
          <w:color w:val="92400E"/>
          <w:sz w:val="18"/>
          <w:szCs w:val="18"/>
        </w:rPr>
        <w:t xml:space="preserve">  [INTERNAL — to confirm] </w:t>
      </w:r>
      <w:r>
        <w:rPr>
          <w:rFonts w:ascii="Calibri" w:cs="Calibri" w:eastAsia="Calibri" w:hAnsi="Calibri"/>
          <w:color w:val="92400E"/>
          <w:sz w:val="18"/>
          <w:szCs w:val="18"/>
        </w:rPr>
        <w:t xml:space="preserve">Exact per-instrument swap rates, stop-out % by group, and full trading-hours calendar live in the Admin Product Specification Sheet — pull the current version for the definitive numbers; the table above is the structural summary.  ·  Owner: Product / Admin  </w:t>
      </w:r>
    </w:p>
    <w:p>
      <w:pPr>
        <w:pStyle w:val="Heading2"/>
        <w:spacing w:after="90" w:before="220"/>
      </w:pPr>
      <w:r>
        <w:rPr>
          <w:rFonts w:ascii="Calibri" w:cs="Calibri" w:eastAsia="Calibri" w:hAnsi="Calibri"/>
          <w:b/>
          <w:bCs/>
          <w:color w:val="1A1A1A"/>
          <w:sz w:val="24"/>
          <w:szCs w:val="24"/>
        </w:rPr>
        <w:t xml:space="preserve">3.B  Net cost — what it is, the problem, and the fix</w:t>
      </w:r>
    </w:p>
    <w:p>
      <w:pPr>
        <w:spacing w:after="120" w:line="276"/>
      </w:pPr>
      <w:r>
        <w:rPr>
          <w:rFonts w:ascii="Calibri" w:cs="Calibri" w:eastAsia="Calibri" w:hAnsi="Calibri"/>
          <w:b/>
          <w:bCs/>
          <w:color w:val="1A1A1A"/>
          <w:sz w:val="20"/>
          <w:szCs w:val="20"/>
        </w:rPr>
        <w:t xml:space="preserve">What net cost is. </w:t>
      </w:r>
      <w:r>
        <w:rPr>
          <w:rFonts w:ascii="Calibri" w:cs="Calibri" w:eastAsia="Calibri" w:hAnsi="Calibri"/>
          <w:color w:val="1A1A1A"/>
          <w:sz w:val="20"/>
          <w:szCs w:val="20"/>
        </w:rPr>
        <w:t xml:space="preserve">Net cost (the client's "true cost of a trade") is the all-in cost of getting in and out of a position. In CFD terms it is the sum of four things: the </w:t>
      </w:r>
      <w:r>
        <w:rPr>
          <w:rFonts w:ascii="Calibri" w:cs="Calibri" w:eastAsia="Calibri" w:hAnsi="Calibri"/>
          <w:b/>
          <w:bCs/>
          <w:color w:val="1A1A1A"/>
          <w:sz w:val="20"/>
          <w:szCs w:val="20"/>
        </w:rPr>
        <w:t xml:space="preserve">spread</w:t>
      </w:r>
      <w:r>
        <w:rPr>
          <w:rFonts w:ascii="Calibri" w:cs="Calibri" w:eastAsia="Calibri" w:hAnsi="Calibri"/>
          <w:color w:val="1A1A1A"/>
          <w:sz w:val="20"/>
          <w:szCs w:val="20"/>
        </w:rPr>
        <w:t xml:space="preserve"> (bid/ask gap, paid on entry), </w:t>
      </w:r>
      <w:r>
        <w:rPr>
          <w:rFonts w:ascii="Calibri" w:cs="Calibri" w:eastAsia="Calibri" w:hAnsi="Calibri"/>
          <w:b/>
          <w:bCs/>
          <w:color w:val="1A1A1A"/>
          <w:sz w:val="20"/>
          <w:szCs w:val="20"/>
        </w:rPr>
        <w:t xml:space="preserve">commission</w:t>
      </w:r>
      <w:r>
        <w:rPr>
          <w:rFonts w:ascii="Calibri" w:cs="Calibri" w:eastAsia="Calibri" w:hAnsi="Calibri"/>
          <w:color w:val="1A1A1A"/>
          <w:sz w:val="20"/>
          <w:szCs w:val="20"/>
        </w:rPr>
        <w:t xml:space="preserve"> (a per-lot fee on ECN/raw accounts, charged both sides = round-turn), </w:t>
      </w:r>
      <w:r>
        <w:rPr>
          <w:rFonts w:ascii="Calibri" w:cs="Calibri" w:eastAsia="Calibri" w:hAnsi="Calibri"/>
          <w:b/>
          <w:bCs/>
          <w:color w:val="1A1A1A"/>
          <w:sz w:val="20"/>
          <w:szCs w:val="20"/>
        </w:rPr>
        <w:t xml:space="preserve">swap</w:t>
      </w:r>
      <w:r>
        <w:rPr>
          <w:rFonts w:ascii="Calibri" w:cs="Calibri" w:eastAsia="Calibri" w:hAnsi="Calibri"/>
          <w:color w:val="1A1A1A"/>
          <w:sz w:val="20"/>
          <w:szCs w:val="20"/>
        </w:rPr>
        <w:t xml:space="preserve"> (overnight financing to hold a leveraged position), and </w:t>
      </w:r>
      <w:r>
        <w:rPr>
          <w:rFonts w:ascii="Calibri" w:cs="Calibri" w:eastAsia="Calibri" w:hAnsi="Calibri"/>
          <w:b/>
          <w:bCs/>
          <w:color w:val="1A1A1A"/>
          <w:sz w:val="20"/>
          <w:szCs w:val="20"/>
        </w:rPr>
        <w:t xml:space="preserve">slippage</w:t>
      </w:r>
      <w:r>
        <w:rPr>
          <w:rFonts w:ascii="Calibri" w:cs="Calibri" w:eastAsia="Calibri" w:hAnsi="Calibri"/>
          <w:color w:val="1A1A1A"/>
          <w:sz w:val="20"/>
          <w:szCs w:val="20"/>
        </w:rPr>
        <w:t xml:space="preserve">. Spread-only (STP) accounts bury the cost in a wider spread; ECN/raw accounts show a tight spread plus a visible commission. Either way the client pays — the only question is where the cost sits.</w:t>
      </w:r>
    </w:p>
    <w:p>
      <w:pPr>
        <w:spacing w:after="120" w:line="276"/>
      </w:pPr>
      <w:r>
        <w:rPr>
          <w:rFonts w:ascii="Calibri" w:cs="Calibri" w:eastAsia="Calibri" w:hAnsi="Calibri"/>
          <w:color w:val="1A1A1A"/>
          <w:sz w:val="20"/>
          <w:szCs w:val="20"/>
        </w:rPr>
        <w:t xml:space="preserve">From the broker's side, that same net cost is </w:t>
      </w:r>
      <w:r>
        <w:rPr>
          <w:rFonts w:ascii="Calibri" w:cs="Calibri" w:eastAsia="Calibri" w:hAnsi="Calibri"/>
          <w:b/>
          <w:bCs/>
          <w:color w:val="1A1A1A"/>
          <w:sz w:val="20"/>
          <w:szCs w:val="20"/>
        </w:rPr>
        <w:t xml:space="preserve">revenue</w:t>
      </w:r>
      <w:r>
        <w:rPr>
          <w:rFonts w:ascii="Calibri" w:cs="Calibri" w:eastAsia="Calibri" w:hAnsi="Calibri"/>
          <w:color w:val="1A1A1A"/>
          <w:sz w:val="20"/>
          <w:szCs w:val="20"/>
        </w:rPr>
        <w:t xml:space="preserve">. But part of it is handed back: the </w:t>
      </w:r>
      <w:r>
        <w:rPr>
          <w:rFonts w:ascii="Calibri" w:cs="Calibri" w:eastAsia="Calibri" w:hAnsi="Calibri"/>
          <w:b/>
          <w:bCs/>
          <w:color w:val="1A1A1A"/>
          <w:sz w:val="20"/>
          <w:szCs w:val="20"/>
        </w:rPr>
        <w:t xml:space="preserve">rebate</w:t>
      </w:r>
      <w:r>
        <w:rPr>
          <w:rFonts w:ascii="Calibri" w:cs="Calibri" w:eastAsia="Calibri" w:hAnsi="Calibri"/>
          <w:color w:val="1A1A1A"/>
          <w:sz w:val="20"/>
          <w:szCs w:val="20"/>
        </w:rPr>
        <w:t xml:space="preserve"> paid to IBs (and CPA to affiliates) is deducted from the gross spread/commission the client pays. So the broker's retained economics are, roughly:</w:t>
      </w:r>
    </w:p>
    <w:p>
      <w:pPr>
        <w:shd w:fill="E6EEEA" w:color="auto" w:val="clear"/>
        <w:spacing w:after="120" w:before="60" w:line="268"/>
        <w:jc w:val="center"/>
      </w:pPr>
      <w:r>
        <w:rPr>
          <w:rFonts w:ascii="Consolas" w:cs="Consolas" w:eastAsia="Consolas" w:hAnsi="Consolas"/>
          <w:b/>
          <w:bCs/>
          <w:color w:val="1F4A3F"/>
          <w:sz w:val="20"/>
          <w:szCs w:val="20"/>
        </w:rPr>
        <w:t xml:space="preserve">Broker net = (Spread + Commission + Swap) − IB Rebate − CPA  ±  Risk Revenue (A/B-book P&amp;L)</w:t>
      </w:r>
    </w:p>
    <w:p>
      <w:pPr>
        <w:spacing w:after="120" w:line="276"/>
      </w:pPr>
      <w:r>
        <w:rPr>
          <w:rFonts w:ascii="Calibri" w:cs="Calibri" w:eastAsia="Calibri" w:hAnsi="Calibri"/>
          <w:b/>
          <w:bCs/>
          <w:color w:val="1A1A1A"/>
          <w:sz w:val="20"/>
          <w:szCs w:val="20"/>
        </w:rPr>
        <w:t xml:space="preserve">The problem it creates for UM. </w:t>
      </w:r>
      <w:r>
        <w:rPr>
          <w:rFonts w:ascii="Calibri" w:cs="Calibri" w:eastAsia="Calibri" w:hAnsi="Calibri"/>
          <w:color w:val="1A1A1A"/>
          <w:sz w:val="20"/>
          <w:szCs w:val="20"/>
        </w:rPr>
        <w:t xml:space="preserve">UM competes on the lowest possible client-facing net cost (low spread). That is great for acquisition but it thins the gross margin on every lot — and because UM is heavily IB-driven, a large slice of that thin margin is then returned as rebate. The June data shows the squeeze: on EURUSD, IB Rebate ran 49% of RFR and CPA 83% of RFR — together over-returning ~32% of the risk-free revenue on that pair. In other words, on some flow UM pays out more in rebate + CPA than the risk-free spread/commission it earns, so the position only makes money if the risk book (Risk Revenue) wins. When the majors trend one way and clients win (June forex), that prop is removed and the segment posts a loss (-971% PNL MoM).</w:t>
      </w:r>
    </w:p>
    <w:p>
      <w:pPr>
        <w:spacing w:after="120" w:line="276"/>
      </w:pPr>
      <w:r>
        <w:rPr>
          <w:rFonts w:ascii="Calibri" w:cs="Calibri" w:eastAsia="Calibri" w:hAnsi="Calibri"/>
          <w:b/>
          <w:bCs/>
          <w:color w:val="1A1A1A"/>
          <w:sz w:val="20"/>
          <w:szCs w:val="20"/>
        </w:rPr>
        <w:t xml:space="preserve">How to optimise it. </w:t>
      </w:r>
      <w:r>
        <w:rPr>
          <w:rFonts w:ascii="Calibri" w:cs="Calibri" w:eastAsia="Calibri" w:hAnsi="Calibri"/>
          <w:color w:val="1A1A1A"/>
          <w:sz w:val="20"/>
          <w:szCs w:val="20"/>
        </w:rPr>
        <w:t xml:space="preserve">The levers, in order of least to most disruptive:</w:t>
      </w:r>
    </w:p>
    <w:p>
      <w:pPr>
        <w:pStyle w:val="ListParagraph"/>
        <w:numPr>
          <w:ilvl w:val="0"/>
          <w:numId w:val="2"/>
        </w:numPr>
        <w:spacing w:after="70" w:line="268"/>
      </w:pPr>
      <w:r>
        <w:rPr>
          <w:rFonts w:ascii="Calibri" w:cs="Calibri" w:eastAsia="Calibri" w:hAnsi="Calibri"/>
          <w:b/>
          <w:bCs/>
          <w:color w:val="1A1A1A"/>
          <w:sz w:val="20"/>
          <w:szCs w:val="20"/>
        </w:rPr>
        <w:t xml:space="preserve">Cap the rebate+CPA ratio per instrument</w:t>
      </w:r>
      <w:r>
        <w:rPr>
          <w:rFonts w:ascii="Calibri" w:cs="Calibri" w:eastAsia="Calibri" w:hAnsi="Calibri"/>
          <w:color w:val="1A1A1A"/>
          <w:sz w:val="20"/>
          <w:szCs w:val="20"/>
        </w:rPr>
        <w:t xml:space="preserve"> so total return can never exceed a set % of RFR (the EURUSD case shows the current cap is effectively &gt;100% on some pairs). This directly stops the over-return.</w:t>
      </w:r>
    </w:p>
    <w:p>
      <w:pPr>
        <w:pStyle w:val="ListParagraph"/>
        <w:numPr>
          <w:ilvl w:val="0"/>
          <w:numId w:val="2"/>
        </w:numPr>
        <w:spacing w:after="70" w:line="268"/>
      </w:pPr>
      <w:r>
        <w:rPr>
          <w:rFonts w:ascii="Calibri" w:cs="Calibri" w:eastAsia="Calibri" w:hAnsi="Calibri"/>
          <w:b/>
          <w:bCs/>
          <w:color w:val="1A1A1A"/>
          <w:sz w:val="20"/>
          <w:szCs w:val="20"/>
        </w:rPr>
        <w:t xml:space="preserve">Re-price the thin-margin majors</w:t>
      </w:r>
      <w:r>
        <w:rPr>
          <w:rFonts w:ascii="Calibri" w:cs="Calibri" w:eastAsia="Calibri" w:hAnsi="Calibri"/>
          <w:color w:val="1A1A1A"/>
          <w:sz w:val="20"/>
          <w:szCs w:val="20"/>
        </w:rPr>
        <w:t xml:space="preserve"> — add a small points markup on EURUSD/GBPUSD/AUDCAD (as FCA Phase 1 already does with +$8/million to cover A-book hedging) rather than running them at raw cost.</w:t>
      </w:r>
    </w:p>
    <w:p>
      <w:pPr>
        <w:pStyle w:val="ListParagraph"/>
        <w:numPr>
          <w:ilvl w:val="0"/>
          <w:numId w:val="2"/>
        </w:numPr>
        <w:spacing w:after="70" w:line="268"/>
      </w:pPr>
      <w:r>
        <w:rPr>
          <w:rFonts w:ascii="Calibri" w:cs="Calibri" w:eastAsia="Calibri" w:hAnsi="Calibri"/>
          <w:b/>
          <w:bCs/>
          <w:color w:val="1A1A1A"/>
          <w:sz w:val="20"/>
          <w:szCs w:val="20"/>
        </w:rPr>
        <w:t xml:space="preserve">Route more toward B-book where the client edge is negative</w:t>
      </w:r>
      <w:r>
        <w:rPr>
          <w:rFonts w:ascii="Calibri" w:cs="Calibri" w:eastAsia="Calibri" w:hAnsi="Calibri"/>
          <w:color w:val="1A1A1A"/>
          <w:sz w:val="20"/>
          <w:szCs w:val="20"/>
        </w:rPr>
        <w:t xml:space="preserve">, and A-book (hedge) the flow that consistently wins, so Risk Revenue variance is dampened.</w:t>
      </w:r>
    </w:p>
    <w:p>
      <w:pPr>
        <w:pStyle w:val="ListParagraph"/>
        <w:numPr>
          <w:ilvl w:val="0"/>
          <w:numId w:val="2"/>
        </w:numPr>
        <w:spacing w:after="70" w:line="268"/>
      </w:pPr>
      <w:r>
        <w:rPr>
          <w:rFonts w:ascii="Calibri" w:cs="Calibri" w:eastAsia="Calibri" w:hAnsi="Calibri"/>
          <w:b/>
          <w:bCs/>
          <w:color w:val="1A1A1A"/>
          <w:sz w:val="20"/>
          <w:szCs w:val="20"/>
        </w:rPr>
        <w:t xml:space="preserve">Segment rebate by product margin</w:t>
      </w:r>
      <w:r>
        <w:rPr>
          <w:rFonts w:ascii="Calibri" w:cs="Calibri" w:eastAsia="Calibri" w:hAnsi="Calibri"/>
          <w:color w:val="1A1A1A"/>
          <w:sz w:val="20"/>
          <w:szCs w:val="20"/>
        </w:rPr>
        <w:t xml:space="preserve"> — pay generous rebate on high-margin gold/crypto (which it can afford) and tighter rebate on loss-leader majors.</w:t>
      </w:r>
    </w:p>
    <w:p>
      <w:pPr>
        <w:pStyle w:val="ListParagraph"/>
        <w:numPr>
          <w:ilvl w:val="0"/>
          <w:numId w:val="2"/>
        </w:numPr>
        <w:spacing w:after="70" w:line="268"/>
      </w:pPr>
      <w:r>
        <w:rPr>
          <w:rFonts w:ascii="Calibri" w:cs="Calibri" w:eastAsia="Calibri" w:hAnsi="Calibri"/>
          <w:b/>
          <w:bCs/>
          <w:color w:val="1A1A1A"/>
          <w:sz w:val="20"/>
          <w:szCs w:val="20"/>
        </w:rPr>
        <w:t xml:space="preserve">Shift IBs toward the Ultimate/PRO tiers</w:t>
      </w:r>
      <w:r>
        <w:rPr>
          <w:rFonts w:ascii="Calibri" w:cs="Calibri" w:eastAsia="Calibri" w:hAnsi="Calibri"/>
          <w:color w:val="1A1A1A"/>
          <w:sz w:val="20"/>
          <w:szCs w:val="20"/>
        </w:rPr>
        <w:t xml:space="preserve"> where commission is explicit and cost is controllable, instead of spread-only flow where the margin is invisible and hard to protect.</w:t>
      </w:r>
    </w:p>
    <w:p>
      <w:pPr>
        <w:spacing w:after="120" w:line="276"/>
      </w:pPr>
      <w:r>
        <w:rPr>
          <w:rFonts w:ascii="Calibri" w:cs="Calibri" w:eastAsia="Calibri" w:hAnsi="Calibri"/>
          <w:b/>
          <w:bCs/>
          <w:color w:val="1A1A1A"/>
          <w:sz w:val="20"/>
          <w:szCs w:val="20"/>
        </w:rPr>
        <w:t xml:space="preserve">Trade-off to flag to Karlos: </w:t>
      </w:r>
      <w:r>
        <w:rPr>
          <w:rFonts w:ascii="Calibri" w:cs="Calibri" w:eastAsia="Calibri" w:hAnsi="Calibri"/>
          <w:color w:val="1A1A1A"/>
          <w:sz w:val="20"/>
          <w:szCs w:val="20"/>
        </w:rPr>
        <w:t xml:space="preserve">every one of these lifts retained margin but raises client-facing net cost or reduces IB payout — i.e. it trades some acquisition/volume for profitability. The right answer is per-segment, not global: protect margin on the majors, keep the aggressive price where the margin (gold, crypto) can absorb it.</w:t>
      </w:r>
    </w:p>
    <w:p>
      <w:pPr>
        <w:pStyle w:val="Heading2"/>
        <w:spacing w:after="90" w:before="220"/>
      </w:pPr>
      <w:r>
        <w:rPr>
          <w:rFonts w:ascii="Calibri" w:cs="Calibri" w:eastAsia="Calibri" w:hAnsi="Calibri"/>
          <w:b/>
          <w:bCs/>
          <w:color w:val="1A1A1A"/>
          <w:sz w:val="24"/>
          <w:szCs w:val="24"/>
        </w:rPr>
        <w:t xml:space="preserve">3.C  Special business models</w:t>
      </w:r>
    </w:p>
    <w:p>
      <w:pPr>
        <w:pStyle w:val="Heading3"/>
        <w:spacing w:after="70" w:before="160"/>
      </w:pPr>
      <w:r>
        <w:rPr>
          <w:rFonts w:ascii="Calibri" w:cs="Calibri" w:eastAsia="Calibri" w:hAnsi="Calibri"/>
          <w:b/>
          <w:bCs/>
          <w:color w:val="1F4A3F"/>
          <w:sz w:val="21"/>
          <w:szCs w:val="21"/>
        </w:rPr>
        <w:t xml:space="preserve">What UM runs today</w:t>
      </w:r>
    </w:p>
    <w:p>
      <w:pPr>
        <w:pStyle w:val="ListParagraph"/>
        <w:numPr>
          <w:ilvl w:val="0"/>
          <w:numId w:val="2"/>
        </w:numPr>
        <w:spacing w:after="70" w:line="268"/>
      </w:pPr>
      <w:r>
        <w:rPr>
          <w:rFonts w:ascii="Calibri" w:cs="Calibri" w:eastAsia="Calibri" w:hAnsi="Calibri"/>
          <w:b/>
          <w:bCs/>
          <w:color w:val="1A1A1A"/>
          <w:sz w:val="20"/>
          <w:szCs w:val="20"/>
        </w:rPr>
        <w:t xml:space="preserve">Swap-free / Islamic groups</w:t>
      </w:r>
      <w:r>
        <w:rPr>
          <w:rFonts w:ascii="Calibri" w:cs="Calibri" w:eastAsia="Calibri" w:hAnsi="Calibri"/>
          <w:color w:val="1A1A1A"/>
          <w:sz w:val="20"/>
          <w:szCs w:val="20"/>
        </w:rPr>
        <w:t xml:space="preserve"> (NM groups, Stop Out 0%, no Credit) — configured as part of the Ultimate/IB-rebate build; standard offering for eligible clients and instruments.</w:t>
      </w:r>
    </w:p>
    <w:p>
      <w:pPr>
        <w:pStyle w:val="ListParagraph"/>
        <w:numPr>
          <w:ilvl w:val="0"/>
          <w:numId w:val="2"/>
        </w:numPr>
        <w:spacing w:after="70" w:line="268"/>
      </w:pPr>
      <w:r>
        <w:rPr>
          <w:rFonts w:ascii="Calibri" w:cs="Calibri" w:eastAsia="Calibri" w:hAnsi="Calibri"/>
          <w:b/>
          <w:bCs/>
          <w:color w:val="1A1A1A"/>
          <w:sz w:val="20"/>
          <w:szCs w:val="20"/>
        </w:rPr>
        <w:t xml:space="preserve">High leverage up to 2000:1</w:t>
      </w:r>
      <w:r>
        <w:rPr>
          <w:rFonts w:ascii="Calibri" w:cs="Calibri" w:eastAsia="Calibri" w:hAnsi="Calibri"/>
          <w:color w:val="1A1A1A"/>
          <w:sz w:val="20"/>
          <w:szCs w:val="20"/>
        </w:rPr>
        <w:t xml:space="preserve"> on offshore entities — a core acquisition hook (vs 30:1 onshore).</w:t>
      </w:r>
    </w:p>
    <w:p>
      <w:pPr>
        <w:pStyle w:val="ListParagraph"/>
        <w:numPr>
          <w:ilvl w:val="0"/>
          <w:numId w:val="2"/>
        </w:numPr>
        <w:spacing w:after="70" w:line="268"/>
      </w:pPr>
      <w:r>
        <w:rPr>
          <w:rFonts w:ascii="Calibri" w:cs="Calibri" w:eastAsia="Calibri" w:hAnsi="Calibri"/>
          <w:b/>
          <w:bCs/>
          <w:color w:val="1A1A1A"/>
          <w:sz w:val="20"/>
          <w:szCs w:val="20"/>
        </w:rPr>
        <w:t xml:space="preserve">Cent (USC) accounts</w:t>
      </w:r>
      <w:r>
        <w:rPr>
          <w:rFonts w:ascii="Calibri" w:cs="Calibri" w:eastAsia="Calibri" w:hAnsi="Calibri"/>
          <w:color w:val="1A1A1A"/>
          <w:sz w:val="20"/>
          <w:szCs w:val="20"/>
        </w:rPr>
        <w:t xml:space="preserve"> — micro-exposure beginner tier.</w:t>
      </w:r>
    </w:p>
    <w:p>
      <w:pPr>
        <w:pStyle w:val="ListParagraph"/>
        <w:numPr>
          <w:ilvl w:val="0"/>
          <w:numId w:val="2"/>
        </w:numPr>
        <w:spacing w:after="70" w:line="268"/>
      </w:pPr>
      <w:r>
        <w:rPr>
          <w:rFonts w:ascii="Calibri" w:cs="Calibri" w:eastAsia="Calibri" w:hAnsi="Calibri"/>
          <w:b/>
          <w:bCs/>
          <w:color w:val="1A1A1A"/>
          <w:sz w:val="20"/>
          <w:szCs w:val="20"/>
        </w:rPr>
        <w:t xml:space="preserve">PAMM / MAM</w:t>
      </w:r>
      <w:r>
        <w:rPr>
          <w:rFonts w:ascii="Calibri" w:cs="Calibri" w:eastAsia="Calibri" w:hAnsi="Calibri"/>
          <w:color w:val="1A1A1A"/>
          <w:sz w:val="20"/>
          <w:szCs w:val="20"/>
        </w:rPr>
        <w:t xml:space="preserve"> — managed/copy-style allocation.</w:t>
      </w:r>
    </w:p>
    <w:p>
      <w:pPr>
        <w:pStyle w:val="ListParagraph"/>
        <w:numPr>
          <w:ilvl w:val="0"/>
          <w:numId w:val="2"/>
        </w:numPr>
        <w:spacing w:after="70" w:line="268"/>
      </w:pPr>
      <w:r>
        <w:rPr>
          <w:rFonts w:ascii="Calibri" w:cs="Calibri" w:eastAsia="Calibri" w:hAnsi="Calibri"/>
          <w:b/>
          <w:bCs/>
          <w:color w:val="1A1A1A"/>
          <w:sz w:val="20"/>
          <w:szCs w:val="20"/>
        </w:rPr>
        <w:t xml:space="preserve">Synthetic indices</w:t>
      </w:r>
      <w:r>
        <w:rPr>
          <w:rFonts w:ascii="Calibri" w:cs="Calibri" w:eastAsia="Calibri" w:hAnsi="Calibri"/>
          <w:color w:val="1A1A1A"/>
          <w:sz w:val="20"/>
          <w:szCs w:val="20"/>
        </w:rPr>
        <w:t xml:space="preserve"> (Volatility / Spike / Step) — copying Vantage's model onto UM (MT5UM2 Asia server, up to 50% rebate, Asia-only); see Section 6.</w:t>
      </w:r>
    </w:p>
    <w:p>
      <w:pPr>
        <w:pStyle w:val="Heading3"/>
        <w:spacing w:after="70" w:before="160"/>
      </w:pPr>
      <w:r>
        <w:rPr>
          <w:rFonts w:ascii="Calibri" w:cs="Calibri" w:eastAsia="Calibri" w:hAnsi="Calibri"/>
          <w:b/>
          <w:bCs/>
          <w:color w:val="1F4A3F"/>
          <w:sz w:val="21"/>
          <w:szCs w:val="21"/>
        </w:rPr>
        <w:t xml:space="preserve">What realistic competitors offer — and what UM could copy next</w:t>
      </w:r>
    </w:p>
    <w:p>
      <w:pPr>
        <w:spacing w:after="120" w:line="276"/>
      </w:pPr>
      <w:r>
        <w:rPr>
          <w:rFonts w:ascii="Calibri" w:cs="Calibri" w:eastAsia="Calibri" w:hAnsi="Calibri"/>
          <w:color w:val="1A1A1A"/>
          <w:sz w:val="20"/>
          <w:szCs w:val="20"/>
        </w:rPr>
        <w:t xml:space="preserve">Scoped to what UM could plausibly add given its MT4/MT5 + IB model:</w:t>
      </w:r>
    </w:p>
    <w:p>
      <w:pPr>
        <w:pStyle w:val="ListParagraph"/>
        <w:numPr>
          <w:ilvl w:val="0"/>
          <w:numId w:val="2"/>
        </w:numPr>
        <w:spacing w:after="70" w:line="268"/>
      </w:pPr>
      <w:r>
        <w:rPr>
          <w:rFonts w:ascii="Calibri" w:cs="Calibri" w:eastAsia="Calibri" w:hAnsi="Calibri"/>
          <w:b/>
          <w:bCs/>
          <w:color w:val="1A1A1A"/>
          <w:sz w:val="20"/>
          <w:szCs w:val="20"/>
        </w:rPr>
        <w:t xml:space="preserve">Synthetic / derived indices (Deriv model).</w:t>
      </w:r>
      <w:r>
        <w:rPr>
          <w:rFonts w:ascii="Calibri" w:cs="Calibri" w:eastAsia="Calibri" w:hAnsi="Calibri"/>
          <w:color w:val="1A1A1A"/>
          <w:sz w:val="20"/>
          <w:szCs w:val="20"/>
        </w:rPr>
        <w:t xml:space="preserve"> Deriv is the undisputed leader — Volatility, Crash/Boom, Jump, Step and DEX indices that run 24/7, are swap-free, and carry no real-world liquidity risk (the broker generates the price). This is exactly the space UM's Synthetic 1.0 targets. Upside: always-on, high-margin, weekend volume, no LP cost. This is UM's most realistic and already-in-flight "copy next."</w:t>
      </w:r>
    </w:p>
    <w:p>
      <w:pPr>
        <w:pStyle w:val="ListParagraph"/>
        <w:numPr>
          <w:ilvl w:val="0"/>
          <w:numId w:val="2"/>
        </w:numPr>
        <w:spacing w:after="70" w:line="268"/>
      </w:pPr>
      <w:r>
        <w:rPr>
          <w:rFonts w:ascii="Calibri" w:cs="Calibri" w:eastAsia="Calibri" w:hAnsi="Calibri"/>
          <w:b/>
          <w:bCs/>
          <w:color w:val="1A1A1A"/>
          <w:sz w:val="20"/>
          <w:szCs w:val="20"/>
        </w:rPr>
        <w:t xml:space="preserve">Prop / funded-trader accounts.</w:t>
      </w:r>
      <w:r>
        <w:rPr>
          <w:rFonts w:ascii="Calibri" w:cs="Calibri" w:eastAsia="Calibri" w:hAnsi="Calibri"/>
          <w:color w:val="1A1A1A"/>
          <w:sz w:val="20"/>
          <w:szCs w:val="20"/>
        </w:rPr>
        <w:t xml:space="preserve"> The fastest-growing retail model in 2026 — sell an evaluation (challenge fee), fund the ones who pass, take a profit split. Synthetic-index prop firms are emerging on Deriv MT5 rails. For UM this is an adjacent revenue line (challenge fees) that also feeds volume; low product-build cost on existing MT infrastructure.</w:t>
      </w:r>
    </w:p>
    <w:p>
      <w:pPr>
        <w:pStyle w:val="ListParagraph"/>
        <w:numPr>
          <w:ilvl w:val="0"/>
          <w:numId w:val="2"/>
        </w:numPr>
        <w:spacing w:after="70" w:line="268"/>
      </w:pPr>
      <w:r>
        <w:rPr>
          <w:rFonts w:ascii="Calibri" w:cs="Calibri" w:eastAsia="Calibri" w:hAnsi="Calibri"/>
          <w:b/>
          <w:bCs/>
          <w:color w:val="1A1A1A"/>
          <w:sz w:val="20"/>
          <w:szCs w:val="20"/>
        </w:rPr>
        <w:t xml:space="preserve">Turbo warrants / knock-out products (IG's Turbo24, Spectrum MTF).</w:t>
      </w:r>
      <w:r>
        <w:rPr>
          <w:rFonts w:ascii="Calibri" w:cs="Calibri" w:eastAsia="Calibri" w:hAnsi="Calibri"/>
          <w:color w:val="1A1A1A"/>
          <w:sz w:val="20"/>
          <w:szCs w:val="20"/>
        </w:rPr>
        <w:t xml:space="preserve"> A barrier product with a built-in knock-out, high gearing and low volatility sensitivity, popular in Germany/Netherlands/HK; in Germany ~50% of speculative derivative trades are turbos. Because they are exchange-traded (ToTV under MiFID II) and not margined, they let a broker offer high-leverage exposure without CFD leverage caps or contingent client liability. Caveat: broker revenue per turbo is capped (max = client's paid premium), so it is a regulatory-access play (EU/UK/HK, and jurisdictions that ban CFDs), not a margin-expansion play. Realistic only if UM wants a compliant high-leverage angle under FCA/CySEC.</w:t>
      </w:r>
    </w:p>
    <w:p>
      <w:pPr>
        <w:pStyle w:val="ListParagraph"/>
        <w:numPr>
          <w:ilvl w:val="0"/>
          <w:numId w:val="2"/>
        </w:numPr>
        <w:spacing w:after="70" w:line="268"/>
      </w:pPr>
      <w:r>
        <w:rPr>
          <w:rFonts w:ascii="Calibri" w:cs="Calibri" w:eastAsia="Calibri" w:hAnsi="Calibri"/>
          <w:b/>
          <w:bCs/>
          <w:color w:val="1A1A1A"/>
          <w:sz w:val="20"/>
          <w:szCs w:val="20"/>
        </w:rPr>
        <w:t xml:space="preserve">Zero-spread / raw + fixed-commission tiers (IC Markets, Pepperstone).</w:t>
      </w:r>
      <w:r>
        <w:rPr>
          <w:rFonts w:ascii="Calibri" w:cs="Calibri" w:eastAsia="Calibri" w:hAnsi="Calibri"/>
          <w:color w:val="1A1A1A"/>
          <w:sz w:val="20"/>
          <w:szCs w:val="20"/>
        </w:rPr>
        <w:t xml:space="preserve"> Already partly covered by PRO ECN; the competitive frontier is AI/smart order routing that cuts all-in cost 20–30%. A pricing/tech optimisation rather than a new product.</w:t>
      </w:r>
    </w:p>
    <w:p>
      <w:pPr>
        <w:spacing w:after="120" w:line="276"/>
      </w:pPr>
      <w:r>
        <w:rPr>
          <w:rFonts w:ascii="Calibri" w:cs="Calibri" w:eastAsia="Calibri" w:hAnsi="Calibri"/>
          <w:b/>
          <w:bCs/>
          <w:color w:val="1A1A1A"/>
          <w:sz w:val="20"/>
          <w:szCs w:val="20"/>
        </w:rPr>
        <w:t xml:space="preserve">Recommendation: </w:t>
      </w:r>
      <w:r>
        <w:rPr>
          <w:rFonts w:ascii="Calibri" w:cs="Calibri" w:eastAsia="Calibri" w:hAnsi="Calibri"/>
          <w:color w:val="1A1A1A"/>
          <w:sz w:val="20"/>
          <w:szCs w:val="20"/>
        </w:rPr>
        <w:t xml:space="preserve">prioritise finishing Synthetic 1.0 (in-flight, on-model, high margin) and pilot a funded-account line on existing MT rails; treat turbo warrants as a longer-term FCA/CySEC-only option, not a near-term build.</w:t>
      </w:r>
    </w:p>
    <w:p>
      <w:pPr>
        <w:pStyle w:val="ListParagraph"/>
        <w:numPr>
          <w:ilvl w:val="0"/>
          <w:numId w:val="2"/>
        </w:numPr>
        <w:spacing w:after="70" w:line="268"/>
      </w:pPr>
      <w:r>
        <w:rPr>
          <w:rFonts w:ascii="Calibri" w:cs="Calibri" w:eastAsia="Calibri" w:hAnsi="Calibri"/>
          <w:b/>
          <w:bCs/>
          <w:color w:val="1A1A1A"/>
          <w:sz w:val="20"/>
          <w:szCs w:val="20"/>
        </w:rPr>
        <w:t xml:space="preserve">Currency note: </w:t>
      </w:r>
      <w:r>
        <w:rPr>
          <w:rFonts w:ascii="Calibri" w:cs="Calibri" w:eastAsia="Calibri" w:hAnsi="Calibri"/>
          <w:color w:val="1A1A1A"/>
          <w:sz w:val="20"/>
          <w:szCs w:val="20"/>
        </w:rPr>
        <w:t xml:space="preserve">JPY denomination available on UMJ tiers; most non-STP/ECN accounts restrict currency (per group config).</w:t>
      </w:r>
    </w:p>
    <w:p>
      <w:r>
        <w:br w:type="page"/>
      </w:r>
    </w:p>
    <w:p>
      <w:pPr>
        <w:pStyle w:val="Heading1"/>
        <w:spacing w:after="140" w:before="320"/>
      </w:pPr>
      <w:r>
        <w:rPr>
          <w:rFonts w:ascii="Calibri" w:cs="Calibri" w:eastAsia="Calibri" w:hAnsi="Calibri"/>
          <w:b/>
          <w:bCs/>
          <w:color w:val="1F4A3F"/>
          <w:sz w:val="30"/>
          <w:szCs w:val="30"/>
        </w:rPr>
        <w:t xml:space="preserve">4. Business Model &amp; Customer-Base Structure</w:t>
      </w:r>
    </w:p>
    <w:p>
      <w:pPr>
        <w:pStyle w:val="Heading2"/>
        <w:spacing w:after="90" w:before="220"/>
      </w:pPr>
      <w:r>
        <w:rPr>
          <w:rFonts w:ascii="Calibri" w:cs="Calibri" w:eastAsia="Calibri" w:hAnsi="Calibri"/>
          <w:b/>
          <w:bCs/>
          <w:color w:val="1A1A1A"/>
          <w:sz w:val="24"/>
          <w:szCs w:val="24"/>
        </w:rPr>
        <w:t xml:space="preserve">4.A  How the UM business model works — main revenue sources</w:t>
      </w:r>
    </w:p>
    <w:p>
      <w:pPr>
        <w:spacing w:after="120" w:line="276"/>
      </w:pPr>
      <w:r>
        <w:rPr>
          <w:rFonts w:ascii="Calibri" w:cs="Calibri" w:eastAsia="Calibri" w:hAnsi="Calibri"/>
          <w:color w:val="1A1A1A"/>
          <w:sz w:val="20"/>
          <w:szCs w:val="20"/>
        </w:rPr>
        <w:t xml:space="preserve">UM is a </w:t>
      </w:r>
      <w:r>
        <w:rPr>
          <w:rFonts w:ascii="Calibri" w:cs="Calibri" w:eastAsia="Calibri" w:hAnsi="Calibri"/>
          <w:b/>
          <w:bCs/>
          <w:color w:val="1A1A1A"/>
          <w:sz w:val="20"/>
          <w:szCs w:val="20"/>
        </w:rPr>
        <w:t xml:space="preserve">low-spread, IB-distributed, metals-led CFD desk</w:t>
      </w:r>
      <w:r>
        <w:rPr>
          <w:rFonts w:ascii="Calibri" w:cs="Calibri" w:eastAsia="Calibri" w:hAnsi="Calibri"/>
          <w:color w:val="1A1A1A"/>
          <w:sz w:val="20"/>
          <w:szCs w:val="20"/>
        </w:rPr>
        <w:t xml:space="preserve">. Money is made in three layers, and the group runs a hybrid A/B book underneath:</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2100"/>
        <w:gridCol w:w="3400"/>
        <w:gridCol w:w="3500"/>
      </w:tblGrid>
      <w:tr>
        <w:trPr>
          <w:tblHeader/>
        </w:trPr>
        <w:tc>
          <w:tcPr>
            <w:tcW w:type="dxa" w:w="21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Revenue layer</w:t>
            </w:r>
          </w:p>
        </w:tc>
        <w:tc>
          <w:tcPr>
            <w:tcW w:type="dxa" w:w="34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What it is</w:t>
            </w:r>
          </w:p>
        </w:tc>
        <w:tc>
          <w:tcPr>
            <w:tcW w:type="dxa" w:w="35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UM's reality (June 2026)</w:t>
            </w:r>
          </w:p>
        </w:tc>
      </w:tr>
      <w:tr>
        <w:trPr>
          <w:cantSplit/>
        </w:trPr>
        <w:tc>
          <w:tcPr>
            <w:tcW w:type="dxa" w:w="2100"/>
            <w:tcMar>
              <w:top w:type="dxa" w:w="50"/>
              <w:left w:type="dxa" w:w="90"/>
              <w:bottom w:type="dxa" w:w="50"/>
              <w:right w:type="dxa" w:w="90"/>
            </w:tcMar>
          </w:tcPr>
          <w:p>
            <w:r>
              <w:rPr>
                <w:rFonts w:ascii="Calibri" w:cs="Calibri" w:eastAsia="Calibri" w:hAnsi="Calibri"/>
                <w:b/>
                <w:bCs/>
                <w:color w:val="1A1A1A"/>
                <w:sz w:val="17"/>
                <w:szCs w:val="17"/>
              </w:rPr>
              <w:t xml:space="preserve">Risk-Free Revenue (RFR)</w:t>
            </w:r>
          </w:p>
        </w:tc>
        <w:tc>
          <w:tcPr>
            <w:tcW w:type="dxa" w:w="3400"/>
            <w:tcMar>
              <w:top w:type="dxa" w:w="50"/>
              <w:left w:type="dxa" w:w="90"/>
              <w:bottom w:type="dxa" w:w="50"/>
              <w:right w:type="dxa" w:w="90"/>
            </w:tcMar>
          </w:tcPr>
          <w:p>
            <w:r>
              <w:rPr>
                <w:rFonts w:ascii="Calibri" w:cs="Calibri" w:eastAsia="Calibri" w:hAnsi="Calibri"/>
                <w:b w:val="false"/>
                <w:bCs w:val="false"/>
                <w:color w:val="1A1A1A"/>
                <w:sz w:val="17"/>
                <w:szCs w:val="17"/>
              </w:rPr>
              <w:t xml:space="preserve">Spread + commission + swap the client pays, minus IB rebate + CPA. Earned regardless of who wins.</w:t>
            </w:r>
          </w:p>
        </w:tc>
        <w:tc>
          <w:tcPr>
            <w:tcW w:type="dxa" w:w="3500"/>
            <w:tcMar>
              <w:top w:type="dxa" w:w="50"/>
              <w:left w:type="dxa" w:w="90"/>
              <w:bottom w:type="dxa" w:w="50"/>
              <w:right w:type="dxa" w:w="90"/>
            </w:tcMar>
          </w:tcPr>
          <w:p>
            <w:r>
              <w:rPr>
                <w:rFonts w:ascii="Calibri" w:cs="Calibri" w:eastAsia="Calibri" w:hAnsi="Calibri"/>
                <w:b w:val="false"/>
                <w:bCs w:val="false"/>
                <w:color w:val="1A1A1A"/>
                <w:sz w:val="17"/>
                <w:szCs w:val="17"/>
              </w:rPr>
              <w:t xml:space="preserve">Net RFR DPM 24 (below V Brand's 31) — thin by design due to low-spread positioning</w:t>
            </w:r>
          </w:p>
        </w:tc>
      </w:tr>
      <w:tr>
        <w:trPr>
          <w:cantSplit/>
        </w:trPr>
        <w:tc>
          <w:tcPr>
            <w:tcW w:type="dxa" w:w="21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Risk Revenue (RR)</w:t>
            </w:r>
          </w:p>
        </w:tc>
        <w:tc>
          <w:tcPr>
            <w:tcW w:type="dxa" w:w="3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The desk's P&amp;L on flow it does NOT hedge (B-book): broker gains when client loses.</w:t>
            </w:r>
          </w:p>
        </w:tc>
        <w:tc>
          <w:tcPr>
            <w:tcW w:type="dxa" w:w="3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The swing factor. Positive in June gold (helped metals); negative in June forex (caused the loss)</w:t>
            </w:r>
          </w:p>
        </w:tc>
      </w:tr>
      <w:tr>
        <w:trPr>
          <w:cantSplit/>
        </w:trPr>
        <w:tc>
          <w:tcPr>
            <w:tcW w:type="dxa" w:w="2100"/>
            <w:tcMar>
              <w:top w:type="dxa" w:w="50"/>
              <w:left w:type="dxa" w:w="90"/>
              <w:bottom w:type="dxa" w:w="50"/>
              <w:right w:type="dxa" w:w="90"/>
            </w:tcMar>
          </w:tcPr>
          <w:p>
            <w:r>
              <w:rPr>
                <w:rFonts w:ascii="Calibri" w:cs="Calibri" w:eastAsia="Calibri" w:hAnsi="Calibri"/>
                <w:b/>
                <w:bCs/>
                <w:color w:val="1A1A1A"/>
                <w:sz w:val="17"/>
                <w:szCs w:val="17"/>
              </w:rPr>
              <w:t xml:space="preserve">Net Company PNL</w:t>
            </w:r>
          </w:p>
        </w:tc>
        <w:tc>
          <w:tcPr>
            <w:tcW w:type="dxa" w:w="3400"/>
            <w:tcMar>
              <w:top w:type="dxa" w:w="50"/>
              <w:left w:type="dxa" w:w="90"/>
              <w:bottom w:type="dxa" w:w="50"/>
              <w:right w:type="dxa" w:w="90"/>
            </w:tcMar>
          </w:tcPr>
          <w:p>
            <w:r>
              <w:rPr>
                <w:rFonts w:ascii="Calibri" w:cs="Calibri" w:eastAsia="Calibri" w:hAnsi="Calibri"/>
                <w:b w:val="false"/>
                <w:bCs w:val="false"/>
                <w:color w:val="1A1A1A"/>
                <w:sz w:val="17"/>
                <w:szCs w:val="17"/>
              </w:rPr>
              <w:t xml:space="preserve">RFR ± RR across all products.</w:t>
            </w:r>
          </w:p>
        </w:tc>
        <w:tc>
          <w:tcPr>
            <w:tcW w:type="dxa" w:w="3500"/>
            <w:tcMar>
              <w:top w:type="dxa" w:w="50"/>
              <w:left w:type="dxa" w:w="90"/>
              <w:bottom w:type="dxa" w:w="50"/>
              <w:right w:type="dxa" w:w="90"/>
            </w:tcMar>
          </w:tcPr>
          <w:p>
            <w:r>
              <w:rPr>
                <w:rFonts w:ascii="Calibri" w:cs="Calibri" w:eastAsia="Calibri" w:hAnsi="Calibri"/>
                <w:b w:val="false"/>
                <w:bCs w:val="false"/>
                <w:color w:val="1A1A1A"/>
                <w:sz w:val="17"/>
                <w:szCs w:val="17"/>
              </w:rPr>
              <w:t xml:space="preserve">+8% MoM; ~93% from metals, ~23% from crypto, forex a drag</w:t>
            </w:r>
          </w:p>
        </w:tc>
      </w:tr>
    </w:tbl>
    <w:p>
      <w:pPr>
        <w:spacing w:after="80"/>
      </w:pPr>
    </w:p>
    <w:p>
      <w:pPr>
        <w:spacing w:after="120" w:line="276"/>
      </w:pPr>
      <w:r>
        <w:rPr>
          <w:rFonts w:ascii="Calibri" w:cs="Calibri" w:eastAsia="Calibri" w:hAnsi="Calibri"/>
          <w:color w:val="1A1A1A"/>
          <w:sz w:val="20"/>
          <w:szCs w:val="20"/>
        </w:rPr>
        <w:t xml:space="preserve">Main revenue sources, decomposed:</w:t>
      </w:r>
    </w:p>
    <w:p>
      <w:pPr>
        <w:pStyle w:val="ListParagraph"/>
        <w:numPr>
          <w:ilvl w:val="0"/>
          <w:numId w:val="2"/>
        </w:numPr>
        <w:spacing w:after="70" w:line="268"/>
      </w:pPr>
      <w:r>
        <w:rPr>
          <w:rFonts w:ascii="Calibri" w:cs="Calibri" w:eastAsia="Calibri" w:hAnsi="Calibri"/>
          <w:b/>
          <w:bCs/>
          <w:color w:val="1A1A1A"/>
          <w:sz w:val="20"/>
          <w:szCs w:val="20"/>
        </w:rPr>
        <w:t xml:space="preserve">By product: </w:t>
      </w:r>
      <w:r>
        <w:rPr>
          <w:rFonts w:ascii="Calibri" w:cs="Calibri" w:eastAsia="Calibri" w:hAnsi="Calibri"/>
          <w:color w:val="1A1A1A"/>
          <w:sz w:val="20"/>
          <w:szCs w:val="20"/>
        </w:rPr>
        <w:t xml:space="preserve">gold (XAUUSD) is the engine — ~92% of volume and ~93% of PNL. Crypto (BTCUSD) is the margin star — ~3% of volume but ~23% of PNL. Forex is high-volume but margin-thin and risk-exposed. Index/oil/commodities are minor.</w:t>
      </w:r>
    </w:p>
    <w:p>
      <w:pPr>
        <w:pStyle w:val="ListParagraph"/>
        <w:numPr>
          <w:ilvl w:val="0"/>
          <w:numId w:val="2"/>
        </w:numPr>
        <w:spacing w:after="70" w:line="268"/>
      </w:pPr>
      <w:r>
        <w:rPr>
          <w:rFonts w:ascii="Calibri" w:cs="Calibri" w:eastAsia="Calibri" w:hAnsi="Calibri"/>
          <w:b/>
          <w:bCs/>
          <w:color w:val="1A1A1A"/>
          <w:sz w:val="20"/>
          <w:szCs w:val="20"/>
        </w:rPr>
        <w:t xml:space="preserve">By customer source: </w:t>
      </w:r>
      <w:r>
        <w:rPr>
          <w:rFonts w:ascii="Calibri" w:cs="Calibri" w:eastAsia="Calibri" w:hAnsi="Calibri"/>
          <w:color w:val="1A1A1A"/>
          <w:sz w:val="20"/>
          <w:szCs w:val="20"/>
        </w:rPr>
        <w:t xml:space="preserve">IB / partner networks dominate (group pattern; UMJ explicitly leans on middle-level IB activation). Direct retail and CPA-affiliate flow are secondary.</w:t>
      </w:r>
    </w:p>
    <w:p>
      <w:pPr>
        <w:pStyle w:val="ListParagraph"/>
        <w:numPr>
          <w:ilvl w:val="0"/>
          <w:numId w:val="2"/>
        </w:numPr>
        <w:spacing w:after="70" w:line="268"/>
      </w:pPr>
      <w:r>
        <w:rPr>
          <w:rFonts w:ascii="Calibri" w:cs="Calibri" w:eastAsia="Calibri" w:hAnsi="Calibri"/>
          <w:b/>
          <w:bCs/>
          <w:color w:val="1A1A1A"/>
          <w:sz w:val="20"/>
          <w:szCs w:val="20"/>
        </w:rPr>
        <w:t xml:space="preserve">Sales-contributed revenue: </w:t>
      </w:r>
      <w:r>
        <w:rPr>
          <w:rFonts w:ascii="Calibri" w:cs="Calibri" w:eastAsia="Calibri" w:hAnsi="Calibri"/>
          <w:color w:val="1A1A1A"/>
          <w:sz w:val="20"/>
          <w:szCs w:val="20"/>
        </w:rPr>
        <w:t xml:space="preserve">driven through the IB/partner channel rather than a large direct-sales desk — see sales structure in 4.F.</w:t>
      </w:r>
    </w:p>
    <w:p>
      <w:pPr>
        <w:pStyle w:val="ListParagraph"/>
        <w:numPr>
          <w:ilvl w:val="0"/>
          <w:numId w:val="2"/>
        </w:numPr>
        <w:spacing w:after="70" w:line="268"/>
      </w:pPr>
      <w:r>
        <w:rPr>
          <w:rFonts w:ascii="Calibri" w:cs="Calibri" w:eastAsia="Calibri" w:hAnsi="Calibri"/>
          <w:b/>
          <w:bCs/>
          <w:color w:val="1A1A1A"/>
          <w:sz w:val="20"/>
          <w:szCs w:val="20"/>
        </w:rPr>
        <w:t xml:space="preserve">Retail vs IB share: </w:t>
      </w:r>
      <w:r>
        <w:rPr>
          <w:rFonts w:ascii="Calibri" w:cs="Calibri" w:eastAsia="Calibri" w:hAnsi="Calibri"/>
          <w:color w:val="1A1A1A"/>
          <w:sz w:val="20"/>
          <w:szCs w:val="20"/>
        </w:rPr>
        <w:t xml:space="preserve">IB-weighted. Exact split needs the CRM/PowerBI cut (flagged below).</w:t>
      </w:r>
    </w:p>
    <w:p>
      <w:pPr>
        <w:pStyle w:val="ListParagraph"/>
        <w:numPr>
          <w:ilvl w:val="0"/>
          <w:numId w:val="2"/>
        </w:numPr>
        <w:spacing w:after="70" w:line="268"/>
      </w:pPr>
      <w:r>
        <w:rPr>
          <w:rFonts w:ascii="Calibri" w:cs="Calibri" w:eastAsia="Calibri" w:hAnsi="Calibri"/>
          <w:b/>
          <w:bCs/>
          <w:color w:val="1A1A1A"/>
          <w:sz w:val="20"/>
          <w:szCs w:val="20"/>
        </w:rPr>
        <w:t xml:space="preserve">Core countries (by volume, June): </w:t>
      </w:r>
      <w:r>
        <w:rPr>
          <w:rFonts w:ascii="Calibri" w:cs="Calibri" w:eastAsia="Calibri" w:hAnsi="Calibri"/>
          <w:color w:val="1A1A1A"/>
          <w:sz w:val="20"/>
          <w:szCs w:val="20"/>
        </w:rPr>
        <w:t xml:space="preserve">China 20%, Malaysia 17%, Italy 16%, Indonesia 10%, Hong Kong 6% (Top-5 ≈ 69%).</w:t>
      </w:r>
    </w:p>
    <w:p>
      <w:pPr>
        <w:spacing w:after="80"/>
      </w:pPr>
    </w:p>
    <w:p>
      <w:pPr>
        <w:pStyle w:val="Heading2"/>
        <w:spacing w:after="90" w:before="220"/>
      </w:pPr>
      <w:r>
        <w:rPr>
          <w:rFonts w:ascii="Calibri" w:cs="Calibri" w:eastAsia="Calibri" w:hAnsi="Calibri"/>
          <w:b/>
          <w:bCs/>
          <w:color w:val="1A1A1A"/>
          <w:sz w:val="24"/>
          <w:szCs w:val="24"/>
        </w:rPr>
        <w:t xml:space="preserve">4.B  Revenue sources — June 2026 product mix</w:t>
      </w:r>
    </w:p>
    <w:p>
      <w:pPr>
        <w:spacing w:after="120" w:line="276"/>
      </w:pPr>
      <w:r>
        <w:rPr>
          <w:rFonts w:ascii="Calibri" w:cs="Calibri" w:eastAsia="Calibri" w:hAnsi="Calibri"/>
          <w:color w:val="1A1A1A"/>
          <w:sz w:val="20"/>
          <w:szCs w:val="20"/>
        </w:rPr>
        <w:t xml:space="preserve">UM's book is extremely metals-concentrated. June 2026:</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1700"/>
        <w:gridCol w:w="1250"/>
        <w:gridCol w:w="1300"/>
        <w:gridCol w:w="1150"/>
        <w:gridCol w:w="1150"/>
        <w:gridCol w:w="2450"/>
      </w:tblGrid>
      <w:tr>
        <w:trPr>
          <w:tblHeader/>
        </w:trPr>
        <w:tc>
          <w:tcPr>
            <w:tcW w:type="dxa" w:w="17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Segment</w:t>
            </w:r>
          </w:p>
        </w:tc>
        <w:tc>
          <w:tcPr>
            <w:tcW w:type="dxa" w:w="125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Vol share</w:t>
            </w:r>
          </w:p>
        </w:tc>
        <w:tc>
          <w:tcPr>
            <w:tcW w:type="dxa" w:w="13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PNL share</w:t>
            </w:r>
          </w:p>
        </w:tc>
        <w:tc>
          <w:tcPr>
            <w:tcW w:type="dxa" w:w="115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Vol MoM</w:t>
            </w:r>
          </w:p>
        </w:tc>
        <w:tc>
          <w:tcPr>
            <w:tcW w:type="dxa" w:w="115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PNL MoM</w:t>
            </w:r>
          </w:p>
        </w:tc>
        <w:tc>
          <w:tcPr>
            <w:tcW w:type="dxa" w:w="245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Note</w:t>
            </w:r>
          </w:p>
        </w:tc>
      </w:tr>
      <w:tr>
        <w:trPr>
          <w:cantSplit/>
        </w:trPr>
        <w:tc>
          <w:tcPr>
            <w:tcW w:type="dxa" w:w="1700"/>
            <w:tcMar>
              <w:top w:type="dxa" w:w="50"/>
              <w:left w:type="dxa" w:w="90"/>
              <w:bottom w:type="dxa" w:w="50"/>
              <w:right w:type="dxa" w:w="90"/>
            </w:tcMar>
          </w:tcPr>
          <w:p>
            <w:r>
              <w:rPr>
                <w:rFonts w:ascii="Calibri" w:cs="Calibri" w:eastAsia="Calibri" w:hAnsi="Calibri"/>
                <w:b/>
                <w:bCs/>
                <w:color w:val="1A1A1A"/>
                <w:sz w:val="17"/>
                <w:szCs w:val="17"/>
              </w:rPr>
              <w:t xml:space="preserve">Metals</w:t>
            </w:r>
          </w:p>
        </w:tc>
        <w:tc>
          <w:tcPr>
            <w:tcW w:type="dxa" w:w="1250"/>
            <w:tcMar>
              <w:top w:type="dxa" w:w="50"/>
              <w:left w:type="dxa" w:w="90"/>
              <w:bottom w:type="dxa" w:w="50"/>
              <w:right w:type="dxa" w:w="90"/>
            </w:tcMar>
          </w:tcPr>
          <w:p>
            <w:r>
              <w:rPr>
                <w:rFonts w:ascii="Calibri" w:cs="Calibri" w:eastAsia="Calibri" w:hAnsi="Calibri"/>
                <w:b w:val="false"/>
                <w:bCs w:val="false"/>
                <w:color w:val="1A1A1A"/>
                <w:sz w:val="17"/>
                <w:szCs w:val="17"/>
              </w:rPr>
              <w:t xml:space="preserve">~92%</w:t>
            </w:r>
          </w:p>
        </w:tc>
        <w:tc>
          <w:tcPr>
            <w:tcW w:type="dxa" w:w="1300"/>
            <w:tcMar>
              <w:top w:type="dxa" w:w="50"/>
              <w:left w:type="dxa" w:w="90"/>
              <w:bottom w:type="dxa" w:w="50"/>
              <w:right w:type="dxa" w:w="90"/>
            </w:tcMar>
          </w:tcPr>
          <w:p>
            <w:r>
              <w:rPr>
                <w:rFonts w:ascii="Calibri" w:cs="Calibri" w:eastAsia="Calibri" w:hAnsi="Calibri"/>
                <w:b w:val="false"/>
                <w:bCs w:val="false"/>
                <w:color w:val="1A1A1A"/>
                <w:sz w:val="17"/>
                <w:szCs w:val="17"/>
              </w:rPr>
              <w:t xml:space="preserve">~93%</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+2%</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+18%</w:t>
            </w:r>
          </w:p>
        </w:tc>
        <w:tc>
          <w:tcPr>
            <w:tcW w:type="dxa" w:w="2450"/>
            <w:tcMar>
              <w:top w:type="dxa" w:w="50"/>
              <w:left w:type="dxa" w:w="90"/>
              <w:bottom w:type="dxa" w:w="50"/>
              <w:right w:type="dxa" w:w="90"/>
            </w:tcMar>
          </w:tcPr>
          <w:p>
            <w:r>
              <w:rPr>
                <w:rFonts w:ascii="Calibri" w:cs="Calibri" w:eastAsia="Calibri" w:hAnsi="Calibri"/>
                <w:b w:val="false"/>
                <w:bCs w:val="false"/>
                <w:color w:val="1A1A1A"/>
                <w:sz w:val="17"/>
                <w:szCs w:val="17"/>
              </w:rPr>
              <w:t xml:space="preserve">Profit in XAUUSD</w:t>
            </w:r>
          </w:p>
        </w:tc>
      </w:tr>
      <w:tr>
        <w:trPr>
          <w:cantSplit/>
        </w:trPr>
        <w:tc>
          <w:tcPr>
            <w:tcW w:type="dxa" w:w="17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Crypto</w:t>
            </w:r>
          </w:p>
        </w:tc>
        <w:tc>
          <w:tcPr>
            <w:tcW w:type="dxa" w:w="12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~3%</w:t>
            </w:r>
          </w:p>
        </w:tc>
        <w:tc>
          <w:tcPr>
            <w:tcW w:type="dxa" w:w="13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~23%</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+9%</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+174%</w:t>
            </w:r>
          </w:p>
        </w:tc>
        <w:tc>
          <w:tcPr>
            <w:tcW w:type="dxa" w:w="24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BTCUSD; most efficient segment</w:t>
            </w:r>
          </w:p>
        </w:tc>
      </w:tr>
      <w:tr>
        <w:trPr>
          <w:cantSplit/>
        </w:trPr>
        <w:tc>
          <w:tcPr>
            <w:tcW w:type="dxa" w:w="1700"/>
            <w:tcMar>
              <w:top w:type="dxa" w:w="50"/>
              <w:left w:type="dxa" w:w="90"/>
              <w:bottom w:type="dxa" w:w="50"/>
              <w:right w:type="dxa" w:w="90"/>
            </w:tcMar>
          </w:tcPr>
          <w:p>
            <w:r>
              <w:rPr>
                <w:rFonts w:ascii="Calibri" w:cs="Calibri" w:eastAsia="Calibri" w:hAnsi="Calibri"/>
                <w:b/>
                <w:bCs/>
                <w:color w:val="1A1A1A"/>
                <w:sz w:val="17"/>
                <w:szCs w:val="17"/>
              </w:rPr>
              <w:t xml:space="preserve">Forex</w:t>
            </w:r>
          </w:p>
        </w:tc>
        <w:tc>
          <w:tcPr>
            <w:tcW w:type="dxa" w:w="1250"/>
            <w:tcMar>
              <w:top w:type="dxa" w:w="50"/>
              <w:left w:type="dxa" w:w="90"/>
              <w:bottom w:type="dxa" w:w="50"/>
              <w:right w:type="dxa" w:w="90"/>
            </w:tcMar>
          </w:tcPr>
          <w:p>
            <w:r>
              <w:rPr>
                <w:rFonts w:ascii="Calibri" w:cs="Calibri" w:eastAsia="Calibri" w:hAnsi="Calibri"/>
                <w:b w:val="false"/>
                <w:bCs w:val="false"/>
                <w:color w:val="1A1A1A"/>
                <w:sz w:val="17"/>
                <w:szCs w:val="17"/>
              </w:rPr>
              <w:t xml:space="preserve">~3%</w:t>
            </w:r>
          </w:p>
        </w:tc>
        <w:tc>
          <w:tcPr>
            <w:tcW w:type="dxa" w:w="1300"/>
            <w:tcMar>
              <w:top w:type="dxa" w:w="50"/>
              <w:left w:type="dxa" w:w="90"/>
              <w:bottom w:type="dxa" w:w="50"/>
              <w:right w:type="dxa" w:w="90"/>
            </w:tcMar>
          </w:tcPr>
          <w:p>
            <w:r>
              <w:rPr>
                <w:rFonts w:ascii="Calibri" w:cs="Calibri" w:eastAsia="Calibri" w:hAnsi="Calibri"/>
                <w:b w:val="false"/>
                <w:bCs w:val="false"/>
                <w:color w:val="1A1A1A"/>
                <w:sz w:val="17"/>
                <w:szCs w:val="17"/>
              </w:rPr>
              <w:t xml:space="preserve">-18%</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+2%</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-971%</w:t>
            </w:r>
          </w:p>
        </w:tc>
        <w:tc>
          <w:tcPr>
            <w:tcW w:type="dxa" w:w="2450"/>
            <w:tcMar>
              <w:top w:type="dxa" w:w="50"/>
              <w:left w:type="dxa" w:w="90"/>
              <w:bottom w:type="dxa" w:w="50"/>
              <w:right w:type="dxa" w:w="90"/>
            </w:tcMar>
          </w:tcPr>
          <w:p>
            <w:r>
              <w:rPr>
                <w:rFonts w:ascii="Calibri" w:cs="Calibri" w:eastAsia="Calibri" w:hAnsi="Calibri"/>
                <w:b w:val="false"/>
                <w:bCs w:val="false"/>
                <w:color w:val="1A1A1A"/>
                <w:sz w:val="17"/>
                <w:szCs w:val="17"/>
              </w:rPr>
              <w:t xml:space="preserve">Only net loss (RR-driven)</w:t>
            </w:r>
          </w:p>
        </w:tc>
      </w:tr>
      <w:tr>
        <w:trPr>
          <w:cantSplit/>
        </w:trPr>
        <w:tc>
          <w:tcPr>
            <w:tcW w:type="dxa" w:w="17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Index</w:t>
            </w:r>
          </w:p>
        </w:tc>
        <w:tc>
          <w:tcPr>
            <w:tcW w:type="dxa" w:w="12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w:t>
            </w:r>
          </w:p>
        </w:tc>
        <w:tc>
          <w:tcPr>
            <w:tcW w:type="dxa" w:w="13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+19%</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-89%</w:t>
            </w:r>
          </w:p>
        </w:tc>
        <w:tc>
          <w:tcPr>
            <w:tcW w:type="dxa" w:w="24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Actual figure under pressure</w:t>
            </w:r>
          </w:p>
        </w:tc>
      </w:tr>
      <w:tr>
        <w:trPr>
          <w:cantSplit/>
        </w:trPr>
        <w:tc>
          <w:tcPr>
            <w:tcW w:type="dxa" w:w="1700"/>
            <w:tcMar>
              <w:top w:type="dxa" w:w="50"/>
              <w:left w:type="dxa" w:w="90"/>
              <w:bottom w:type="dxa" w:w="50"/>
              <w:right w:type="dxa" w:w="90"/>
            </w:tcMar>
          </w:tcPr>
          <w:p>
            <w:r>
              <w:rPr>
                <w:rFonts w:ascii="Calibri" w:cs="Calibri" w:eastAsia="Calibri" w:hAnsi="Calibri"/>
                <w:b/>
                <w:bCs/>
                <w:color w:val="1A1A1A"/>
                <w:sz w:val="17"/>
                <w:szCs w:val="17"/>
              </w:rPr>
              <w:t xml:space="preserve">Oil</w:t>
            </w:r>
          </w:p>
        </w:tc>
        <w:tc>
          <w:tcPr>
            <w:tcW w:type="dxa" w:w="1250"/>
            <w:tcMar>
              <w:top w:type="dxa" w:w="50"/>
              <w:left w:type="dxa" w:w="90"/>
              <w:bottom w:type="dxa" w:w="50"/>
              <w:right w:type="dxa" w:w="90"/>
            </w:tcMar>
          </w:tcPr>
          <w:p>
            <w:r>
              <w:rPr>
                <w:rFonts w:ascii="Calibri" w:cs="Calibri" w:eastAsia="Calibri" w:hAnsi="Calibri"/>
                <w:b w:val="false"/>
                <w:bCs w:val="false"/>
                <w:color w:val="1A1A1A"/>
                <w:sz w:val="17"/>
                <w:szCs w:val="17"/>
              </w:rPr>
              <w:t xml:space="preserve">low</w:t>
            </w:r>
          </w:p>
        </w:tc>
        <w:tc>
          <w:tcPr>
            <w:tcW w:type="dxa" w:w="1300"/>
            <w:tcMar>
              <w:top w:type="dxa" w:w="50"/>
              <w:left w:type="dxa" w:w="90"/>
              <w:bottom w:type="dxa" w:w="50"/>
              <w:right w:type="dxa" w:w="90"/>
            </w:tcMar>
          </w:tcPr>
          <w:p>
            <w:r>
              <w:rPr>
                <w:rFonts w:ascii="Calibri" w:cs="Calibri" w:eastAsia="Calibri" w:hAnsi="Calibri"/>
                <w:b w:val="false"/>
                <w:bCs w:val="false"/>
                <w:color w:val="1A1A1A"/>
                <w:sz w:val="17"/>
                <w:szCs w:val="17"/>
              </w:rPr>
              <w:t xml:space="preserve">small +</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-8%</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+11%</w:t>
            </w:r>
          </w:p>
        </w:tc>
        <w:tc>
          <w:tcPr>
            <w:tcW w:type="dxa" w:w="2450"/>
            <w:tcMar>
              <w:top w:type="dxa" w:w="50"/>
              <w:left w:type="dxa" w:w="90"/>
              <w:bottom w:type="dxa" w:w="50"/>
              <w:right w:type="dxa" w:w="90"/>
            </w:tcMar>
          </w:tcPr>
          <w:p>
            <w:r>
              <w:rPr>
                <w:rFonts w:ascii="Calibri" w:cs="Calibri" w:eastAsia="Calibri" w:hAnsi="Calibri"/>
                <w:b w:val="false"/>
                <w:bCs w:val="false"/>
                <w:color w:val="1A1A1A"/>
                <w:sz w:val="17"/>
                <w:szCs w:val="17"/>
              </w:rPr>
              <w:t xml:space="preserve">Lower crude interest</w:t>
            </w:r>
          </w:p>
        </w:tc>
      </w:tr>
      <w:tr>
        <w:trPr>
          <w:cantSplit/>
        </w:trPr>
        <w:tc>
          <w:tcPr>
            <w:tcW w:type="dxa" w:w="17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TOTAL</w:t>
            </w:r>
          </w:p>
        </w:tc>
        <w:tc>
          <w:tcPr>
            <w:tcW w:type="dxa" w:w="12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100%</w:t>
            </w:r>
          </w:p>
        </w:tc>
        <w:tc>
          <w:tcPr>
            <w:tcW w:type="dxa" w:w="13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100%</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+3%</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+8%</w:t>
            </w:r>
          </w:p>
        </w:tc>
        <w:tc>
          <w:tcPr>
            <w:tcW w:type="dxa" w:w="24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Steady overall</w:t>
            </w:r>
          </w:p>
        </w:tc>
      </w:tr>
    </w:tbl>
    <w:p>
      <w:pPr>
        <w:spacing w:after="80"/>
      </w:pPr>
    </w:p>
    <w:p>
      <w:pPr>
        <w:shd w:fill="FFF7ED" w:color="auto" w:val="clear"/>
        <w:spacing w:after="90" w:line="268"/>
      </w:pPr>
      <w:r>
        <w:rPr>
          <w:rFonts w:ascii="Calibri" w:cs="Calibri" w:eastAsia="Calibri" w:hAnsi="Calibri"/>
          <w:b/>
          <w:bCs/>
          <w:color w:val="92400E"/>
          <w:sz w:val="18"/>
          <w:szCs w:val="18"/>
        </w:rPr>
        <w:t xml:space="preserve">  Source reconciliation:  </w:t>
      </w:r>
      <w:r>
        <w:rPr>
          <w:rFonts w:ascii="Calibri" w:cs="Calibri" w:eastAsia="Calibri" w:hAnsi="Calibri"/>
          <w:color w:val="92400E"/>
          <w:sz w:val="18"/>
          <w:szCs w:val="18"/>
        </w:rPr>
        <w:t xml:space="preserve">Two June 2026 reports exist. The later "UM June Report" (used here) states metals PNL share 93% and total PNL MoM +8%; an earlier draft stated 94% and +7%, and V-Brands Forex PNL MoM as -160% vs the later -133%. Figures above follow the later report. Confirm which is final with the report owner.</w:t>
      </w:r>
    </w:p>
    <w:p>
      <w:pPr>
        <w:spacing w:after="120" w:line="276"/>
      </w:pPr>
      <w:r>
        <w:rPr>
          <w:rFonts w:ascii="Calibri" w:cs="Calibri" w:eastAsia="Calibri" w:hAnsi="Calibri"/>
          <w:b/>
          <w:bCs/>
          <w:color w:val="1A1A1A"/>
          <w:sz w:val="20"/>
          <w:szCs w:val="20"/>
        </w:rPr>
        <w:t xml:space="preserve">Read-through: </w:t>
      </w:r>
      <w:r>
        <w:rPr>
          <w:rFonts w:ascii="Calibri" w:cs="Calibri" w:eastAsia="Calibri" w:hAnsi="Calibri"/>
          <w:color w:val="1A1A1A"/>
          <w:sz w:val="20"/>
          <w:szCs w:val="20"/>
        </w:rPr>
        <w:t xml:space="preserve">UM makes money principally from gold spread monetisation, with crypto as the highest-margin small segment. Forex is a structural drag when the majors trend one-way. This is a classic low-spread, high-volume, metals-led desk model.</w:t>
      </w:r>
    </w:p>
    <w:p>
      <w:pPr>
        <w:spacing w:after="120" w:line="276"/>
      </w:pPr>
      <w:r>
        <w:rPr>
          <w:rFonts w:ascii="Calibri" w:cs="Calibri" w:eastAsia="Calibri" w:hAnsi="Calibri"/>
          <w:b/>
          <w:bCs/>
          <w:color w:val="1A1A1A"/>
          <w:sz w:val="20"/>
          <w:szCs w:val="20"/>
        </w:rPr>
        <w:t xml:space="preserve">Segment colour (June): </w:t>
      </w:r>
      <w:r>
        <w:rPr>
          <w:rFonts w:ascii="Calibri" w:cs="Calibri" w:eastAsia="Calibri" w:hAnsi="Calibri"/>
          <w:color w:val="1A1A1A"/>
          <w:sz w:val="20"/>
          <w:szCs w:val="20"/>
        </w:rPr>
        <w:t xml:space="preserve">Gold ran high-volatility — XAUUSD opened the month at ~$4,524 and closed ~$4,007; in that downtrend Risk Revenue flipped from negative to positive, lifting metals profit. Crypto profit concentrated on 1, 2, 4 and 23 June (BTCUSD volatility). Index loss ran through NAS100, GER40 and DJ30 (client login 851066 profited on NAS100/DJ30 but net-lost on gold, so no action needed). Oil spreads were cut to lift competitiveness as crude interest cooled.</w:t>
      </w:r>
    </w:p>
    <w:p>
      <w:pPr>
        <w:pStyle w:val="Heading2"/>
        <w:spacing w:after="90" w:before="220"/>
      </w:pPr>
      <w:r>
        <w:rPr>
          <w:rFonts w:ascii="Calibri" w:cs="Calibri" w:eastAsia="Calibri" w:hAnsi="Calibri"/>
          <w:b/>
          <w:bCs/>
          <w:color w:val="1A1A1A"/>
          <w:sz w:val="24"/>
          <w:szCs w:val="24"/>
        </w:rPr>
        <w:t xml:space="preserve">4.C  UM vs V Brand — growth comparison (Jun vs May 2026)</w:t>
      </w:r>
    </w:p>
    <w:p>
      <w:pPr>
        <w:spacing w:after="120" w:line="276"/>
      </w:pPr>
      <w:r>
        <w:rPr>
          <w:rFonts w:ascii="Calibri" w:cs="Calibri" w:eastAsia="Calibri" w:hAnsi="Calibri"/>
          <w:color w:val="1A1A1A"/>
          <w:sz w:val="20"/>
          <w:szCs w:val="20"/>
        </w:rPr>
        <w:t xml:space="preserve">Net Company PNL, month-on-month (from the June report's UM vs V Brands table):</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2200"/>
        <w:gridCol w:w="1700"/>
        <w:gridCol w:w="1700"/>
        <w:gridCol w:w="1700"/>
        <w:gridCol w:w="1700"/>
      </w:tblGrid>
      <w:tr>
        <w:trPr>
          <w:tblHeader/>
        </w:trPr>
        <w:tc>
          <w:tcPr>
            <w:tcW w:type="dxa" w:w="22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Product</w:t>
            </w:r>
          </w:p>
        </w:tc>
        <w:tc>
          <w:tcPr>
            <w:tcW w:type="dxa" w:w="17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Vol UM</w:t>
            </w:r>
          </w:p>
        </w:tc>
        <w:tc>
          <w:tcPr>
            <w:tcW w:type="dxa" w:w="17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PNL UM</w:t>
            </w:r>
          </w:p>
        </w:tc>
        <w:tc>
          <w:tcPr>
            <w:tcW w:type="dxa" w:w="17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Vol V</w:t>
            </w:r>
          </w:p>
        </w:tc>
        <w:tc>
          <w:tcPr>
            <w:tcW w:type="dxa" w:w="17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PNL V</w:t>
            </w:r>
          </w:p>
        </w:tc>
      </w:tr>
      <w:tr>
        <w:trPr>
          <w:cantSplit/>
        </w:trPr>
        <w:tc>
          <w:tcPr>
            <w:tcW w:type="dxa" w:w="2200"/>
            <w:tcMar>
              <w:top w:type="dxa" w:w="50"/>
              <w:left w:type="dxa" w:w="90"/>
              <w:bottom w:type="dxa" w:w="50"/>
              <w:right w:type="dxa" w:w="90"/>
            </w:tcMar>
          </w:tcPr>
          <w:p>
            <w:r>
              <w:rPr>
                <w:rFonts w:ascii="Calibri" w:cs="Calibri" w:eastAsia="Calibri" w:hAnsi="Calibri"/>
                <w:b/>
                <w:bCs/>
                <w:color w:val="1A1A1A"/>
                <w:sz w:val="17"/>
                <w:szCs w:val="17"/>
              </w:rPr>
              <w:t xml:space="preserve">Metals</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+2%</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+18%</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-1%</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+49%</w:t>
            </w:r>
          </w:p>
        </w:tc>
      </w:tr>
      <w:tr>
        <w:trPr>
          <w:cantSplit/>
        </w:trPr>
        <w:tc>
          <w:tcPr>
            <w:tcW w:type="dxa" w:w="22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Crypto</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+9%</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+174%</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+8%</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+35%</w:t>
            </w:r>
          </w:p>
        </w:tc>
      </w:tr>
      <w:tr>
        <w:trPr>
          <w:cantSplit/>
        </w:trPr>
        <w:tc>
          <w:tcPr>
            <w:tcW w:type="dxa" w:w="2200"/>
            <w:tcMar>
              <w:top w:type="dxa" w:w="50"/>
              <w:left w:type="dxa" w:w="90"/>
              <w:bottom w:type="dxa" w:w="50"/>
              <w:right w:type="dxa" w:w="90"/>
            </w:tcMar>
          </w:tcPr>
          <w:p>
            <w:r>
              <w:rPr>
                <w:rFonts w:ascii="Calibri" w:cs="Calibri" w:eastAsia="Calibri" w:hAnsi="Calibri"/>
                <w:b/>
                <w:bCs/>
                <w:color w:val="1A1A1A"/>
                <w:sz w:val="17"/>
                <w:szCs w:val="17"/>
              </w:rPr>
              <w:t xml:space="preserve">Forex</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+2%</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-971%</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0%</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-133%</w:t>
            </w:r>
          </w:p>
        </w:tc>
      </w:tr>
      <w:tr>
        <w:trPr>
          <w:cantSplit/>
        </w:trPr>
        <w:tc>
          <w:tcPr>
            <w:tcW w:type="dxa" w:w="22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Index</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+19%</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-89%</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+30%</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-37%</w:t>
            </w:r>
          </w:p>
        </w:tc>
      </w:tr>
      <w:tr>
        <w:trPr>
          <w:cantSplit/>
        </w:trPr>
        <w:tc>
          <w:tcPr>
            <w:tcW w:type="dxa" w:w="2200"/>
            <w:tcMar>
              <w:top w:type="dxa" w:w="50"/>
              <w:left w:type="dxa" w:w="90"/>
              <w:bottom w:type="dxa" w:w="50"/>
              <w:right w:type="dxa" w:w="90"/>
            </w:tcMar>
          </w:tcPr>
          <w:p>
            <w:r>
              <w:rPr>
                <w:rFonts w:ascii="Calibri" w:cs="Calibri" w:eastAsia="Calibri" w:hAnsi="Calibri"/>
                <w:b/>
                <w:bCs/>
                <w:color w:val="1A1A1A"/>
                <w:sz w:val="17"/>
                <w:szCs w:val="17"/>
              </w:rPr>
              <w:t xml:space="preserve">Oil</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-8%</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+11%</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-40%</w:t>
            </w:r>
          </w:p>
        </w:tc>
        <w:tc>
          <w:tcPr>
            <w:tcW w:type="dxa" w:w="1700"/>
            <w:tcMar>
              <w:top w:type="dxa" w:w="50"/>
              <w:left w:type="dxa" w:w="90"/>
              <w:bottom w:type="dxa" w:w="50"/>
              <w:right w:type="dxa" w:w="90"/>
            </w:tcMar>
          </w:tcPr>
          <w:p>
            <w:r>
              <w:rPr>
                <w:rFonts w:ascii="Calibri" w:cs="Calibri" w:eastAsia="Calibri" w:hAnsi="Calibri"/>
                <w:b w:val="false"/>
                <w:bCs w:val="false"/>
                <w:color w:val="1A1A1A"/>
                <w:sz w:val="17"/>
                <w:szCs w:val="17"/>
              </w:rPr>
              <w:t xml:space="preserve">+109%</w:t>
            </w:r>
          </w:p>
        </w:tc>
      </w:tr>
      <w:tr>
        <w:trPr>
          <w:cantSplit/>
        </w:trPr>
        <w:tc>
          <w:tcPr>
            <w:tcW w:type="dxa" w:w="22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Total</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+3%</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+8%</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w:t>
            </w:r>
          </w:p>
        </w:tc>
        <w:tc>
          <w:tcPr>
            <w:tcW w:type="dxa" w:w="1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+40%</w:t>
            </w:r>
          </w:p>
        </w:tc>
      </w:tr>
    </w:tbl>
    <w:p>
      <w:pPr>
        <w:spacing w:after="80"/>
      </w:pPr>
    </w:p>
    <w:p>
      <w:pPr>
        <w:spacing w:after="120" w:line="276"/>
      </w:pPr>
      <w:r>
        <w:rPr>
          <w:rFonts w:ascii="Calibri" w:cs="Calibri" w:eastAsia="Calibri" w:hAnsi="Calibri"/>
          <w:b/>
          <w:bCs/>
          <w:color w:val="1A1A1A"/>
          <w:sz w:val="20"/>
          <w:szCs w:val="20"/>
        </w:rPr>
        <w:t xml:space="preserve">Read-through: </w:t>
      </w:r>
      <w:r>
        <w:rPr>
          <w:rFonts w:ascii="Calibri" w:cs="Calibri" w:eastAsia="Calibri" w:hAnsi="Calibri"/>
          <w:color w:val="1A1A1A"/>
          <w:sz w:val="20"/>
          <w:szCs w:val="20"/>
        </w:rPr>
        <w:t xml:space="preserve">UM's total PNL growth (+8%) materially trailed V Brand (+40%) in June, chiefly because V Brand's forex loss was far shallower (-133% vs UM's -971%). UM's edge held in crypto (+174% vs +35%).</w:t>
      </w:r>
    </w:p>
    <w:p>
      <w:pPr>
        <w:pStyle w:val="Heading2"/>
        <w:spacing w:after="90" w:before="220"/>
      </w:pPr>
      <w:r>
        <w:rPr>
          <w:rFonts w:ascii="Calibri" w:cs="Calibri" w:eastAsia="Calibri" w:hAnsi="Calibri"/>
          <w:b/>
          <w:bCs/>
          <w:color w:val="1A1A1A"/>
          <w:sz w:val="24"/>
          <w:szCs w:val="24"/>
        </w:rPr>
        <w:t xml:space="preserve">4.D  Risk Revenue vs Risk-Free Revenue — weighting &amp; Net RFR DPM</w:t>
      </w:r>
    </w:p>
    <w:p>
      <w:pPr>
        <w:spacing w:after="120" w:line="276"/>
      </w:pPr>
      <w:r>
        <w:rPr>
          <w:rFonts w:ascii="Calibri" w:cs="Calibri" w:eastAsia="Calibri" w:hAnsi="Calibri"/>
          <w:b/>
          <w:bCs/>
          <w:color w:val="1A1A1A"/>
          <w:sz w:val="20"/>
          <w:szCs w:val="20"/>
        </w:rPr>
        <w:t xml:space="preserve">Definitions (as used in the UM reports): </w:t>
      </w:r>
      <w:r>
        <w:rPr>
          <w:rFonts w:ascii="Calibri" w:cs="Calibri" w:eastAsia="Calibri" w:hAnsi="Calibri"/>
          <w:b/>
          <w:bCs/>
          <w:color w:val="1A1A1A"/>
          <w:sz w:val="20"/>
          <w:szCs w:val="20"/>
        </w:rPr>
        <w:t xml:space="preserve">Risk-Free Revenue (RFR)</w:t>
      </w:r>
      <w:r>
        <w:rPr>
          <w:rFonts w:ascii="Calibri" w:cs="Calibri" w:eastAsia="Calibri" w:hAnsi="Calibri"/>
          <w:color w:val="1A1A1A"/>
          <w:sz w:val="20"/>
          <w:szCs w:val="20"/>
        </w:rPr>
        <w:t xml:space="preserve"> is the dealing-desk-neutral income — spread, commission and swap the client pays, net of IB rebate and CPA — that UM keeps regardless of trade outcome. </w:t>
      </w:r>
      <w:r>
        <w:rPr>
          <w:rFonts w:ascii="Calibri" w:cs="Calibri" w:eastAsia="Calibri" w:hAnsi="Calibri"/>
          <w:b/>
          <w:bCs/>
          <w:color w:val="1A1A1A"/>
          <w:sz w:val="20"/>
          <w:szCs w:val="20"/>
        </w:rPr>
        <w:t xml:space="preserve">Risk Revenue (RR)</w:t>
      </w:r>
      <w:r>
        <w:rPr>
          <w:rFonts w:ascii="Calibri" w:cs="Calibri" w:eastAsia="Calibri" w:hAnsi="Calibri"/>
          <w:color w:val="1A1A1A"/>
          <w:sz w:val="20"/>
          <w:szCs w:val="20"/>
        </w:rPr>
        <w:t xml:space="preserve"> is the P&amp;L on un-hedged (B-book) flow: positive when clients net-lose, negative when they net-win. </w:t>
      </w:r>
      <w:r>
        <w:rPr>
          <w:rFonts w:ascii="Calibri" w:cs="Calibri" w:eastAsia="Calibri" w:hAnsi="Calibri"/>
          <w:b/>
          <w:bCs/>
          <w:color w:val="1A1A1A"/>
          <w:sz w:val="20"/>
          <w:szCs w:val="20"/>
        </w:rPr>
        <w:t xml:space="preserve">DPM</w:t>
      </w:r>
      <w:r>
        <w:rPr>
          <w:rFonts w:ascii="Calibri" w:cs="Calibri" w:eastAsia="Calibri" w:hAnsi="Calibri"/>
          <w:color w:val="1A1A1A"/>
          <w:sz w:val="20"/>
          <w:szCs w:val="20"/>
        </w:rPr>
        <w:t xml:space="preserve"> = dollars per million (of notional volume), the desk's normalising unit.</w:t>
      </w:r>
    </w:p>
    <w:p>
      <w:pPr>
        <w:spacing w:after="120" w:line="276"/>
      </w:pPr>
      <w:r>
        <w:rPr>
          <w:rFonts w:ascii="Calibri" w:cs="Calibri" w:eastAsia="Calibri" w:hAnsi="Calibri"/>
          <w:b/>
          <w:bCs/>
          <w:color w:val="1A1A1A"/>
          <w:sz w:val="20"/>
          <w:szCs w:val="20"/>
        </w:rPr>
        <w:t xml:space="preserve">Weighting (directional, from the June DPM basis): </w:t>
      </w:r>
      <w:r>
        <w:rPr>
          <w:rFonts w:ascii="Calibri" w:cs="Calibri" w:eastAsia="Calibri" w:hAnsi="Calibri"/>
          <w:color w:val="1A1A1A"/>
          <w:sz w:val="20"/>
          <w:szCs w:val="20"/>
        </w:rPr>
        <w:t xml:space="preserve">UM leans more on RFR than RR relative to V Brand — its low-spread model keeps RFR thin but positive, while RR is the volatile swing factor. In June, RR rescued metals (gold downtrend, clients lost) but sank forex (majors trended, clients won). The Spread/RFR line is where UM structurally trails V Brand.</w:t>
      </w:r>
    </w:p>
    <w:p>
      <w:pPr>
        <w:shd w:fill="EFF6FF" w:color="auto" w:val="clear"/>
        <w:spacing w:after="90" w:line="268"/>
      </w:pPr>
      <w:r>
        <w:rPr>
          <w:rFonts w:ascii="Calibri" w:cs="Calibri" w:eastAsia="Calibri" w:hAnsi="Calibri"/>
          <w:b/>
          <w:bCs/>
          <w:color w:val="1D4ED8"/>
          <w:sz w:val="18"/>
          <w:szCs w:val="18"/>
        </w:rPr>
        <w:t xml:space="preserve">  [POWERBI SLOT — to insert]  </w:t>
      </w:r>
      <w:r>
        <w:rPr>
          <w:rFonts w:ascii="Calibri" w:cs="Calibri" w:eastAsia="Calibri" w:hAnsi="Calibri"/>
          <w:color w:val="1D4ED8"/>
          <w:sz w:val="18"/>
          <w:szCs w:val="18"/>
        </w:rPr>
        <w:t xml:space="preserve">Exact RR : RFR weighting (share of Net Company PNL) and the trend over time to be dropped in from the PowerBI export. Suggested cut: monthly RR $, RFR $, RR-as-%-of-total, by product and by A/B-book, last 6–12 months. This will quantify how dependent UM is on B-book luck vs. structural spread income — the single most important number for judging earnings quality.</w:t>
      </w:r>
    </w:p>
    <w:p>
      <w:pPr>
        <w:spacing w:after="120" w:line="276"/>
      </w:pPr>
      <w:r>
        <w:rPr>
          <w:rFonts w:ascii="Calibri" w:cs="Calibri" w:eastAsia="Calibri" w:hAnsi="Calibri"/>
          <w:b/>
          <w:bCs/>
          <w:color w:val="1A1A1A"/>
          <w:sz w:val="20"/>
          <w:szCs w:val="20"/>
        </w:rPr>
        <w:t xml:space="preserve">Net RFR DPM </w:t>
      </w:r>
      <w:r>
        <w:rPr>
          <w:rFonts w:ascii="Calibri" w:cs="Calibri" w:eastAsia="Calibri" w:hAnsi="Calibri"/>
          <w:color w:val="1A1A1A"/>
          <w:sz w:val="20"/>
          <w:szCs w:val="20"/>
        </w:rPr>
        <w:t xml:space="preserve">rose </w:t>
      </w:r>
      <w:r>
        <w:rPr>
          <w:rFonts w:ascii="Calibri" w:cs="Calibri" w:eastAsia="Calibri" w:hAnsi="Calibri"/>
          <w:b/>
          <w:bCs/>
          <w:color w:val="1A1A1A"/>
          <w:sz w:val="20"/>
          <w:szCs w:val="20"/>
        </w:rPr>
        <w:t xml:space="preserve">+26% MoM in June (19 → 24)</w:t>
      </w:r>
      <w:r>
        <w:rPr>
          <w:rFonts w:ascii="Calibri" w:cs="Calibri" w:eastAsia="Calibri" w:hAnsi="Calibri"/>
          <w:color w:val="1A1A1A"/>
          <w:sz w:val="20"/>
          <w:szCs w:val="20"/>
        </w:rPr>
        <w:t xml:space="preserve">, driven mainly by forex flipping from negative to positive:</w:t>
      </w:r>
    </w:p>
    <w:tbl>
      <w:tblPr>
        <w:tblW w:type="dxa" w:w="8600"/>
        <w:tblBorders>
          <w:top w:val="single" w:color="D1D5DB" w:sz="2"/>
          <w:left w:val="single" w:color="D1D5DB" w:sz="2"/>
          <w:bottom w:val="single" w:color="D1D5DB" w:sz="2"/>
          <w:right w:val="single" w:color="D1D5DB" w:sz="2"/>
          <w:insideH w:val="single" w:color="E5E7EB" w:sz="1"/>
          <w:insideV w:val="single" w:color="E5E7EB" w:sz="1"/>
        </w:tblBorders>
      </w:tblPr>
      <w:tblGrid>
        <w:gridCol w:w="1500"/>
        <w:gridCol w:w="1150"/>
        <w:gridCol w:w="1150"/>
        <w:gridCol w:w="1250"/>
        <w:gridCol w:w="1150"/>
        <w:gridCol w:w="1150"/>
        <w:gridCol w:w="1250"/>
      </w:tblGrid>
      <w:tr>
        <w:trPr>
          <w:tblHeader/>
        </w:trPr>
        <w:tc>
          <w:tcPr>
            <w:tcW w:type="dxa" w:w="15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Symbol</w:t>
            </w:r>
          </w:p>
        </w:tc>
        <w:tc>
          <w:tcPr>
            <w:tcW w:type="dxa" w:w="115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UM May</w:t>
            </w:r>
          </w:p>
        </w:tc>
        <w:tc>
          <w:tcPr>
            <w:tcW w:type="dxa" w:w="115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UM Jun</w:t>
            </w:r>
          </w:p>
        </w:tc>
        <w:tc>
          <w:tcPr>
            <w:tcW w:type="dxa" w:w="125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UM MoM</w:t>
            </w:r>
          </w:p>
        </w:tc>
        <w:tc>
          <w:tcPr>
            <w:tcW w:type="dxa" w:w="115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V May</w:t>
            </w:r>
          </w:p>
        </w:tc>
        <w:tc>
          <w:tcPr>
            <w:tcW w:type="dxa" w:w="115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V Jun</w:t>
            </w:r>
          </w:p>
        </w:tc>
        <w:tc>
          <w:tcPr>
            <w:tcW w:type="dxa" w:w="125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V MoM</w:t>
            </w:r>
          </w:p>
        </w:tc>
      </w:tr>
      <w:tr>
        <w:trPr>
          <w:cantSplit/>
        </w:trPr>
        <w:tc>
          <w:tcPr>
            <w:tcW w:type="dxa" w:w="1500"/>
            <w:tcMar>
              <w:top w:type="dxa" w:w="50"/>
              <w:left w:type="dxa" w:w="90"/>
              <w:bottom w:type="dxa" w:w="50"/>
              <w:right w:type="dxa" w:w="90"/>
            </w:tcMar>
          </w:tcPr>
          <w:p>
            <w:r>
              <w:rPr>
                <w:rFonts w:ascii="Calibri" w:cs="Calibri" w:eastAsia="Calibri" w:hAnsi="Calibri"/>
                <w:b/>
                <w:bCs/>
                <w:color w:val="1A1A1A"/>
                <w:sz w:val="17"/>
                <w:szCs w:val="17"/>
              </w:rPr>
              <w:t xml:space="preserve">Metals</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18</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19</w:t>
            </w:r>
          </w:p>
        </w:tc>
        <w:tc>
          <w:tcPr>
            <w:tcW w:type="dxa" w:w="1250"/>
            <w:tcMar>
              <w:top w:type="dxa" w:w="50"/>
              <w:left w:type="dxa" w:w="90"/>
              <w:bottom w:type="dxa" w:w="50"/>
              <w:right w:type="dxa" w:w="90"/>
            </w:tcMar>
          </w:tcPr>
          <w:p>
            <w:r>
              <w:rPr>
                <w:rFonts w:ascii="Calibri" w:cs="Calibri" w:eastAsia="Calibri" w:hAnsi="Calibri"/>
                <w:b w:val="false"/>
                <w:bCs w:val="false"/>
                <w:color w:val="1A1A1A"/>
                <w:sz w:val="17"/>
                <w:szCs w:val="17"/>
              </w:rPr>
              <w:t xml:space="preserve">+6%</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23</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25</w:t>
            </w:r>
          </w:p>
        </w:tc>
        <w:tc>
          <w:tcPr>
            <w:tcW w:type="dxa" w:w="1250"/>
            <w:tcMar>
              <w:top w:type="dxa" w:w="50"/>
              <w:left w:type="dxa" w:w="90"/>
              <w:bottom w:type="dxa" w:w="50"/>
              <w:right w:type="dxa" w:w="90"/>
            </w:tcMar>
          </w:tcPr>
          <w:p>
            <w:r>
              <w:rPr>
                <w:rFonts w:ascii="Calibri" w:cs="Calibri" w:eastAsia="Calibri" w:hAnsi="Calibri"/>
                <w:b w:val="false"/>
                <w:bCs w:val="false"/>
                <w:color w:val="1A1A1A"/>
                <w:sz w:val="17"/>
                <w:szCs w:val="17"/>
              </w:rPr>
              <w:t xml:space="preserve">+9%</w:t>
            </w:r>
          </w:p>
        </w:tc>
      </w:tr>
      <w:tr>
        <w:trPr>
          <w:cantSplit/>
        </w:trPr>
        <w:tc>
          <w:tcPr>
            <w:tcW w:type="dxa" w:w="15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Crypto</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88</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140</w:t>
            </w:r>
          </w:p>
        </w:tc>
        <w:tc>
          <w:tcPr>
            <w:tcW w:type="dxa" w:w="12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+59%</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120</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152</w:t>
            </w:r>
          </w:p>
        </w:tc>
        <w:tc>
          <w:tcPr>
            <w:tcW w:type="dxa" w:w="12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+27%</w:t>
            </w:r>
          </w:p>
        </w:tc>
      </w:tr>
      <w:tr>
        <w:trPr>
          <w:cantSplit/>
        </w:trPr>
        <w:tc>
          <w:tcPr>
            <w:tcW w:type="dxa" w:w="1500"/>
            <w:tcMar>
              <w:top w:type="dxa" w:w="50"/>
              <w:left w:type="dxa" w:w="90"/>
              <w:bottom w:type="dxa" w:w="50"/>
              <w:right w:type="dxa" w:w="90"/>
            </w:tcMar>
          </w:tcPr>
          <w:p>
            <w:r>
              <w:rPr>
                <w:rFonts w:ascii="Calibri" w:cs="Calibri" w:eastAsia="Calibri" w:hAnsi="Calibri"/>
                <w:b/>
                <w:bCs/>
                <w:color w:val="1A1A1A"/>
                <w:sz w:val="17"/>
                <w:szCs w:val="17"/>
              </w:rPr>
              <w:t xml:space="preserve">Forex</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-11</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16</w:t>
            </w:r>
          </w:p>
        </w:tc>
        <w:tc>
          <w:tcPr>
            <w:tcW w:type="dxa" w:w="1250"/>
            <w:tcMar>
              <w:top w:type="dxa" w:w="50"/>
              <w:left w:type="dxa" w:w="90"/>
              <w:bottom w:type="dxa" w:w="50"/>
              <w:right w:type="dxa" w:w="90"/>
            </w:tcMar>
          </w:tcPr>
          <w:p>
            <w:r>
              <w:rPr>
                <w:rFonts w:ascii="Calibri" w:cs="Calibri" w:eastAsia="Calibri" w:hAnsi="Calibri"/>
                <w:b w:val="false"/>
                <w:bCs w:val="false"/>
                <w:color w:val="1A1A1A"/>
                <w:sz w:val="17"/>
                <w:szCs w:val="17"/>
              </w:rPr>
              <w:t xml:space="preserve">+251%</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36</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43</w:t>
            </w:r>
          </w:p>
        </w:tc>
        <w:tc>
          <w:tcPr>
            <w:tcW w:type="dxa" w:w="1250"/>
            <w:tcMar>
              <w:top w:type="dxa" w:w="50"/>
              <w:left w:type="dxa" w:w="90"/>
              <w:bottom w:type="dxa" w:w="50"/>
              <w:right w:type="dxa" w:w="90"/>
            </w:tcMar>
          </w:tcPr>
          <w:p>
            <w:r>
              <w:rPr>
                <w:rFonts w:ascii="Calibri" w:cs="Calibri" w:eastAsia="Calibri" w:hAnsi="Calibri"/>
                <w:b w:val="false"/>
                <w:bCs w:val="false"/>
                <w:color w:val="1A1A1A"/>
                <w:sz w:val="17"/>
                <w:szCs w:val="17"/>
              </w:rPr>
              <w:t xml:space="preserve">+19%</w:t>
            </w:r>
          </w:p>
        </w:tc>
      </w:tr>
      <w:tr>
        <w:trPr>
          <w:cantSplit/>
        </w:trPr>
        <w:tc>
          <w:tcPr>
            <w:tcW w:type="dxa" w:w="15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Index</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34</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37</w:t>
            </w:r>
          </w:p>
        </w:tc>
        <w:tc>
          <w:tcPr>
            <w:tcW w:type="dxa" w:w="12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+9%</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29</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30</w:t>
            </w:r>
          </w:p>
        </w:tc>
        <w:tc>
          <w:tcPr>
            <w:tcW w:type="dxa" w:w="12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+3%</w:t>
            </w:r>
          </w:p>
        </w:tc>
      </w:tr>
      <w:tr>
        <w:trPr>
          <w:cantSplit/>
        </w:trPr>
        <w:tc>
          <w:tcPr>
            <w:tcW w:type="dxa" w:w="1500"/>
            <w:tcMar>
              <w:top w:type="dxa" w:w="50"/>
              <w:left w:type="dxa" w:w="90"/>
              <w:bottom w:type="dxa" w:w="50"/>
              <w:right w:type="dxa" w:w="90"/>
            </w:tcMar>
          </w:tcPr>
          <w:p>
            <w:r>
              <w:rPr>
                <w:rFonts w:ascii="Calibri" w:cs="Calibri" w:eastAsia="Calibri" w:hAnsi="Calibri"/>
                <w:b/>
                <w:bCs/>
                <w:color w:val="1A1A1A"/>
                <w:sz w:val="17"/>
                <w:szCs w:val="17"/>
              </w:rPr>
              <w:t xml:space="preserve">Oil</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462</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328</w:t>
            </w:r>
          </w:p>
        </w:tc>
        <w:tc>
          <w:tcPr>
            <w:tcW w:type="dxa" w:w="1250"/>
            <w:tcMar>
              <w:top w:type="dxa" w:w="50"/>
              <w:left w:type="dxa" w:w="90"/>
              <w:bottom w:type="dxa" w:w="50"/>
              <w:right w:type="dxa" w:w="90"/>
            </w:tcMar>
          </w:tcPr>
          <w:p>
            <w:r>
              <w:rPr>
                <w:rFonts w:ascii="Calibri" w:cs="Calibri" w:eastAsia="Calibri" w:hAnsi="Calibri"/>
                <w:b w:val="false"/>
                <w:bCs w:val="false"/>
                <w:color w:val="1A1A1A"/>
                <w:sz w:val="17"/>
                <w:szCs w:val="17"/>
              </w:rPr>
              <w:t xml:space="preserve">-29%</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440</w:t>
            </w:r>
          </w:p>
        </w:tc>
        <w:tc>
          <w:tcPr>
            <w:tcW w:type="dxa" w:w="1150"/>
            <w:tcMar>
              <w:top w:type="dxa" w:w="50"/>
              <w:left w:type="dxa" w:w="90"/>
              <w:bottom w:type="dxa" w:w="50"/>
              <w:right w:type="dxa" w:w="90"/>
            </w:tcMar>
          </w:tcPr>
          <w:p>
            <w:r>
              <w:rPr>
                <w:rFonts w:ascii="Calibri" w:cs="Calibri" w:eastAsia="Calibri" w:hAnsi="Calibri"/>
                <w:b w:val="false"/>
                <w:bCs w:val="false"/>
                <w:color w:val="1A1A1A"/>
                <w:sz w:val="17"/>
                <w:szCs w:val="17"/>
              </w:rPr>
              <w:t xml:space="preserve">499</w:t>
            </w:r>
          </w:p>
        </w:tc>
        <w:tc>
          <w:tcPr>
            <w:tcW w:type="dxa" w:w="1250"/>
            <w:tcMar>
              <w:top w:type="dxa" w:w="50"/>
              <w:left w:type="dxa" w:w="90"/>
              <w:bottom w:type="dxa" w:w="50"/>
              <w:right w:type="dxa" w:w="90"/>
            </w:tcMar>
          </w:tcPr>
          <w:p>
            <w:r>
              <w:rPr>
                <w:rFonts w:ascii="Calibri" w:cs="Calibri" w:eastAsia="Calibri" w:hAnsi="Calibri"/>
                <w:b w:val="false"/>
                <w:bCs w:val="false"/>
                <w:color w:val="1A1A1A"/>
                <w:sz w:val="17"/>
                <w:szCs w:val="17"/>
              </w:rPr>
              <w:t xml:space="preserve">+13%</w:t>
            </w:r>
          </w:p>
        </w:tc>
      </w:tr>
      <w:tr>
        <w:trPr>
          <w:cantSplit/>
        </w:trPr>
        <w:tc>
          <w:tcPr>
            <w:tcW w:type="dxa" w:w="15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Total</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19</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24</w:t>
            </w:r>
          </w:p>
        </w:tc>
        <w:tc>
          <w:tcPr>
            <w:tcW w:type="dxa" w:w="12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+26%</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28</w:t>
            </w:r>
          </w:p>
        </w:tc>
        <w:tc>
          <w:tcPr>
            <w:tcW w:type="dxa" w:w="11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31</w:t>
            </w:r>
          </w:p>
        </w:tc>
        <w:tc>
          <w:tcPr>
            <w:tcW w:type="dxa" w:w="125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+11%</w:t>
            </w:r>
          </w:p>
        </w:tc>
      </w:tr>
    </w:tbl>
    <w:p>
      <w:pPr>
        <w:spacing w:after="80"/>
      </w:pPr>
    </w:p>
    <w:p>
      <w:pPr>
        <w:pStyle w:val="ListParagraph"/>
        <w:numPr>
          <w:ilvl w:val="0"/>
          <w:numId w:val="2"/>
        </w:numPr>
        <w:spacing w:after="70" w:line="268"/>
      </w:pPr>
      <w:r>
        <w:rPr>
          <w:rFonts w:ascii="Calibri" w:cs="Calibri" w:eastAsia="Calibri" w:hAnsi="Calibri"/>
          <w:b/>
          <w:bCs/>
          <w:color w:val="1A1A1A"/>
          <w:sz w:val="20"/>
          <w:szCs w:val="20"/>
        </w:rPr>
        <w:t xml:space="preserve">Forex: </w:t>
      </w:r>
      <w:r>
        <w:rPr>
          <w:rFonts w:ascii="Calibri" w:cs="Calibri" w:eastAsia="Calibri" w:hAnsi="Calibri"/>
          <w:color w:val="1A1A1A"/>
          <w:sz w:val="20"/>
          <w:szCs w:val="20"/>
        </w:rPr>
        <w:t xml:space="preserve">Net RFR DPM swung from -11 to +16 (+251%) as June's Risk Revenue turned strongly positive.</w:t>
      </w:r>
    </w:p>
    <w:p>
      <w:pPr>
        <w:pStyle w:val="ListParagraph"/>
        <w:numPr>
          <w:ilvl w:val="0"/>
          <w:numId w:val="2"/>
        </w:numPr>
        <w:spacing w:after="70" w:line="268"/>
      </w:pPr>
      <w:r>
        <w:rPr>
          <w:rFonts w:ascii="Calibri" w:cs="Calibri" w:eastAsia="Calibri" w:hAnsi="Calibri"/>
          <w:b/>
          <w:bCs/>
          <w:color w:val="1A1A1A"/>
          <w:sz w:val="20"/>
          <w:szCs w:val="20"/>
        </w:rPr>
        <w:t xml:space="preserve">Oil: </w:t>
      </w:r>
      <w:r>
        <w:rPr>
          <w:rFonts w:ascii="Calibri" w:cs="Calibri" w:eastAsia="Calibri" w:hAnsi="Calibri"/>
          <w:color w:val="1A1A1A"/>
          <w:sz w:val="20"/>
          <w:szCs w:val="20"/>
        </w:rPr>
        <w:t xml:space="preserve">DPM fell -29% as UM deliberately cut spreads to lift competitiveness while crude interest cooled.</w:t>
      </w:r>
    </w:p>
    <w:p>
      <w:pPr>
        <w:pStyle w:val="ListParagraph"/>
        <w:numPr>
          <w:ilvl w:val="0"/>
          <w:numId w:val="2"/>
        </w:numPr>
        <w:spacing w:after="70" w:line="268"/>
      </w:pPr>
      <w:r>
        <w:rPr>
          <w:rFonts w:ascii="Calibri" w:cs="Calibri" w:eastAsia="Calibri" w:hAnsi="Calibri"/>
          <w:color w:val="1A1A1A"/>
          <w:sz w:val="20"/>
          <w:szCs w:val="20"/>
        </w:rPr>
        <w:t xml:space="preserve">UM still runs below V Brand on total Net RFR DPM (24 vs 31)</w:t>
      </w:r>
      <w:r>
        <w:rPr>
          <w:rFonts w:ascii="Calibri" w:cs="Calibri" w:eastAsia="Calibri" w:hAnsi="Calibri"/>
          <w:color w:val="1A1A1A"/>
          <w:sz w:val="20"/>
          <w:szCs w:val="20"/>
        </w:rPr>
        <w:t xml:space="preserve"> — consistent with the low-spread positioning.</w:t>
      </w:r>
    </w:p>
    <w:p>
      <w:pPr>
        <w:pStyle w:val="Heading2"/>
        <w:spacing w:after="90" w:before="220"/>
      </w:pPr>
      <w:r>
        <w:rPr>
          <w:rFonts w:ascii="Calibri" w:cs="Calibri" w:eastAsia="Calibri" w:hAnsi="Calibri"/>
          <w:b/>
          <w:bCs/>
          <w:color w:val="1A1A1A"/>
          <w:sz w:val="24"/>
          <w:szCs w:val="24"/>
        </w:rPr>
        <w:t xml:space="preserve">4.E  Forex loss attribution (June)</w:t>
      </w:r>
    </w:p>
    <w:p>
      <w:pPr>
        <w:spacing w:after="120" w:line="276"/>
      </w:pPr>
      <w:r>
        <w:rPr>
          <w:rFonts w:ascii="Calibri" w:cs="Calibri" w:eastAsia="Calibri" w:hAnsi="Calibri"/>
          <w:color w:val="1A1A1A"/>
          <w:sz w:val="20"/>
          <w:szCs w:val="20"/>
        </w:rPr>
        <w:t xml:space="preserve">Forex was the only loss segment; the loss was Risk-Revenue-driven and concentrated in three pairs:</w:t>
      </w:r>
    </w:p>
    <w:p>
      <w:pPr>
        <w:pStyle w:val="ListParagraph"/>
        <w:numPr>
          <w:ilvl w:val="0"/>
          <w:numId w:val="2"/>
        </w:numPr>
        <w:spacing w:after="70" w:line="268"/>
      </w:pPr>
      <w:r>
        <w:rPr>
          <w:rFonts w:ascii="Calibri" w:cs="Calibri" w:eastAsia="Calibri" w:hAnsi="Calibri"/>
          <w:b/>
          <w:bCs/>
          <w:color w:val="1A1A1A"/>
          <w:sz w:val="20"/>
          <w:szCs w:val="20"/>
        </w:rPr>
        <w:t xml:space="preserve">AUDCAD (-29%): </w:t>
      </w:r>
      <w:r>
        <w:rPr>
          <w:rFonts w:ascii="Calibri" w:cs="Calibri" w:eastAsia="Calibri" w:hAnsi="Calibri"/>
          <w:color w:val="1A1A1A"/>
          <w:sz w:val="20"/>
          <w:szCs w:val="20"/>
        </w:rPr>
        <w:t xml:space="preserve">Risk Revenue flipped from May profit to loss; ~120% of the loss came from RR, with no single high-profit client.</w:t>
      </w:r>
    </w:p>
    <w:p>
      <w:pPr>
        <w:pStyle w:val="ListParagraph"/>
        <w:numPr>
          <w:ilvl w:val="0"/>
          <w:numId w:val="2"/>
        </w:numPr>
        <w:spacing w:after="70" w:line="268"/>
      </w:pPr>
      <w:r>
        <w:rPr>
          <w:rFonts w:ascii="Calibri" w:cs="Calibri" w:eastAsia="Calibri" w:hAnsi="Calibri"/>
          <w:b/>
          <w:bCs/>
          <w:color w:val="1A1A1A"/>
          <w:sz w:val="20"/>
          <w:szCs w:val="20"/>
        </w:rPr>
        <w:t xml:space="preserve">EURUSD (+28% of loss): </w:t>
      </w:r>
      <w:r>
        <w:rPr>
          <w:rFonts w:ascii="Calibri" w:cs="Calibri" w:eastAsia="Calibri" w:hAnsi="Calibri"/>
          <w:color w:val="1A1A1A"/>
          <w:sz w:val="20"/>
          <w:szCs w:val="20"/>
        </w:rPr>
        <w:t xml:space="preserve">~66% of loss from RR; Net RFR negative; IB Rebate = 49% of RFR, CPA = 83% of RFR — together over-returning ~32% of RFR.</w:t>
      </w:r>
    </w:p>
    <w:p>
      <w:pPr>
        <w:pStyle w:val="ListParagraph"/>
        <w:numPr>
          <w:ilvl w:val="0"/>
          <w:numId w:val="2"/>
        </w:numPr>
        <w:spacing w:after="70" w:line="268"/>
      </w:pPr>
      <w:r>
        <w:rPr>
          <w:rFonts w:ascii="Calibri" w:cs="Calibri" w:eastAsia="Calibri" w:hAnsi="Calibri"/>
          <w:b/>
          <w:bCs/>
          <w:color w:val="1A1A1A"/>
          <w:sz w:val="20"/>
          <w:szCs w:val="20"/>
        </w:rPr>
        <w:t xml:space="preserve">GBPUSD (+19% of loss): </w:t>
      </w:r>
      <w:r>
        <w:rPr>
          <w:rFonts w:ascii="Calibri" w:cs="Calibri" w:eastAsia="Calibri" w:hAnsi="Calibri"/>
          <w:color w:val="1A1A1A"/>
          <w:sz w:val="20"/>
          <w:szCs w:val="20"/>
        </w:rPr>
        <w:t xml:space="preserve">~97% of loss from RR; CPA accounted for ~17%.</w:t>
      </w:r>
    </w:p>
    <w:p>
      <w:pPr>
        <w:spacing w:after="120" w:line="276"/>
      </w:pPr>
      <w:r>
        <w:rPr>
          <w:rFonts w:ascii="Calibri" w:cs="Calibri" w:eastAsia="Calibri" w:hAnsi="Calibri"/>
          <w:b/>
          <w:bCs/>
          <w:color w:val="1A1A1A"/>
          <w:sz w:val="20"/>
          <w:szCs w:val="20"/>
        </w:rPr>
        <w:t xml:space="preserve">Implication: </w:t>
      </w:r>
      <w:r>
        <w:rPr>
          <w:rFonts w:ascii="Calibri" w:cs="Calibri" w:eastAsia="Calibri" w:hAnsi="Calibri"/>
          <w:color w:val="1A1A1A"/>
          <w:sz w:val="20"/>
          <w:szCs w:val="20"/>
        </w:rPr>
        <w:t xml:space="preserve">the forex loss is a risk-book (A/B routing) outcome amplified by rebate/CPA over-return on EURUSD, not a pricing error. Worth a rebate-economics review on the majors.</w:t>
      </w:r>
    </w:p>
    <w:p>
      <w:pPr>
        <w:pStyle w:val="Heading2"/>
        <w:spacing w:after="90" w:before="220"/>
      </w:pPr>
      <w:r>
        <w:rPr>
          <w:rFonts w:ascii="Calibri" w:cs="Calibri" w:eastAsia="Calibri" w:hAnsi="Calibri"/>
          <w:b/>
          <w:bCs/>
          <w:color w:val="1A1A1A"/>
          <w:sz w:val="24"/>
          <w:szCs w:val="24"/>
        </w:rPr>
        <w:t xml:space="preserve">4.F  IB / retail structure &amp; A/B-book</w:t>
      </w:r>
    </w:p>
    <w:p>
      <w:pPr>
        <w:pStyle w:val="ListParagraph"/>
        <w:numPr>
          <w:ilvl w:val="0"/>
          <w:numId w:val="2"/>
        </w:numPr>
        <w:spacing w:after="70" w:line="268"/>
      </w:pPr>
      <w:r>
        <w:rPr>
          <w:rFonts w:ascii="Calibri" w:cs="Calibri" w:eastAsia="Calibri" w:hAnsi="Calibri"/>
          <w:color w:val="1A1A1A"/>
          <w:sz w:val="20"/>
          <w:szCs w:val="20"/>
        </w:rPr>
        <w:t xml:space="preserve">IB-dominant volume</w:t>
      </w:r>
      <w:r>
        <w:rPr>
          <w:rFonts w:ascii="Calibri" w:cs="Calibri" w:eastAsia="Calibri" w:hAnsi="Calibri"/>
          <w:color w:val="1A1A1A"/>
          <w:sz w:val="20"/>
          <w:szCs w:val="20"/>
        </w:rPr>
        <w:t xml:space="preserve"> (group pattern; UM's own core setups use A-book hedging — FCA Phase 1 spread explicitly adds $8/million to cover A-book hedging cost).</w:t>
      </w:r>
    </w:p>
    <w:p>
      <w:pPr>
        <w:pStyle w:val="ListParagraph"/>
        <w:numPr>
          <w:ilvl w:val="0"/>
          <w:numId w:val="2"/>
        </w:numPr>
        <w:spacing w:after="70" w:line="268"/>
      </w:pPr>
      <w:r>
        <w:rPr>
          <w:rFonts w:ascii="Calibri" w:cs="Calibri" w:eastAsia="Calibri" w:hAnsi="Calibri"/>
          <w:color w:val="1A1A1A"/>
          <w:sz w:val="20"/>
          <w:szCs w:val="20"/>
        </w:rPr>
        <w:t xml:space="preserve">Rebate weighting</w:t>
      </w:r>
      <w:r>
        <w:rPr>
          <w:rFonts w:ascii="Calibri" w:cs="Calibri" w:eastAsia="Calibri" w:hAnsi="Calibri"/>
          <w:color w:val="1A1A1A"/>
          <w:sz w:val="20"/>
          <w:szCs w:val="20"/>
        </w:rPr>
        <w:t xml:space="preserve"> varies sharply by setup: Standard 8-point + 10–40% of spread; UMJ ~37–42.8%; FCA and PRO = no rebate.</w:t>
      </w:r>
    </w:p>
    <w:p>
      <w:pPr>
        <w:pStyle w:val="Heading2"/>
        <w:spacing w:after="90" w:before="220"/>
      </w:pPr>
      <w:r>
        <w:rPr>
          <w:rFonts w:ascii="Calibri" w:cs="Calibri" w:eastAsia="Calibri" w:hAnsi="Calibri"/>
          <w:b/>
          <w:bCs/>
          <w:color w:val="1A1A1A"/>
          <w:sz w:val="24"/>
          <w:szCs w:val="24"/>
        </w:rPr>
        <w:t xml:space="preserve">4.G  Sales structure</w:t>
      </w:r>
    </w:p>
    <w:p>
      <w:pPr>
        <w:spacing w:after="120" w:line="276"/>
      </w:pPr>
      <w:r>
        <w:rPr>
          <w:rFonts w:ascii="Calibri" w:cs="Calibri" w:eastAsia="Calibri" w:hAnsi="Calibri"/>
          <w:color w:val="1A1A1A"/>
          <w:sz w:val="20"/>
          <w:szCs w:val="20"/>
        </w:rPr>
        <w:t xml:space="preserve">UM's go-to-market is </w:t>
      </w:r>
      <w:r>
        <w:rPr>
          <w:rFonts w:ascii="Calibri" w:cs="Calibri" w:eastAsia="Calibri" w:hAnsi="Calibri"/>
          <w:b/>
          <w:bCs/>
          <w:color w:val="1A1A1A"/>
          <w:sz w:val="20"/>
          <w:szCs w:val="20"/>
        </w:rPr>
        <w:t xml:space="preserve">channel/IB-led and organised by region</w:t>
      </w:r>
      <w:r>
        <w:rPr>
          <w:rFonts w:ascii="Calibri" w:cs="Calibri" w:eastAsia="Calibri" w:hAnsi="Calibri"/>
          <w:color w:val="1A1A1A"/>
          <w:sz w:val="20"/>
          <w:szCs w:val="20"/>
        </w:rPr>
        <w:t xml:space="preserve">, not by a large product-specialist desk. From the group org sheet, the UM sales layer is:</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1900"/>
        <w:gridCol w:w="4100"/>
        <w:gridCol w:w="3000"/>
      </w:tblGrid>
      <w:tr>
        <w:trPr>
          <w:tblHeader/>
        </w:trPr>
        <w:tc>
          <w:tcPr>
            <w:tcW w:type="dxa" w:w="19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Layer</w:t>
            </w:r>
          </w:p>
        </w:tc>
        <w:tc>
          <w:tcPr>
            <w:tcW w:type="dxa" w:w="41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People (UM)</w:t>
            </w:r>
          </w:p>
        </w:tc>
        <w:tc>
          <w:tcPr>
            <w:tcW w:type="dxa" w:w="30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Focus</w:t>
            </w:r>
          </w:p>
        </w:tc>
      </w:tr>
      <w:tr>
        <w:trPr>
          <w:cantSplit/>
        </w:trPr>
        <w:tc>
          <w:tcPr>
            <w:tcW w:type="dxa" w:w="1900"/>
            <w:tcMar>
              <w:top w:type="dxa" w:w="50"/>
              <w:left w:type="dxa" w:w="90"/>
              <w:bottom w:type="dxa" w:w="50"/>
              <w:right w:type="dxa" w:w="90"/>
            </w:tcMar>
          </w:tcPr>
          <w:p>
            <w:r>
              <w:rPr>
                <w:rFonts w:ascii="Calibri" w:cs="Calibri" w:eastAsia="Calibri" w:hAnsi="Calibri"/>
                <w:b/>
                <w:bCs/>
                <w:color w:val="1A1A1A"/>
                <w:sz w:val="17"/>
                <w:szCs w:val="17"/>
              </w:rPr>
              <w:t xml:space="preserve">Boss / owner line</w:t>
            </w:r>
          </w:p>
        </w:tc>
        <w:tc>
          <w:tcPr>
            <w:tcW w:type="dxa" w:w="4100"/>
            <w:tcMar>
              <w:top w:type="dxa" w:w="50"/>
              <w:left w:type="dxa" w:w="90"/>
              <w:bottom w:type="dxa" w:w="50"/>
              <w:right w:type="dxa" w:w="90"/>
            </w:tcMar>
          </w:tcPr>
          <w:p>
            <w:r>
              <w:rPr>
                <w:rFonts w:ascii="Calibri" w:cs="Calibri" w:eastAsia="Calibri" w:hAnsi="Calibri"/>
                <w:b w:val="false"/>
                <w:bCs w:val="false"/>
                <w:color w:val="1A1A1A"/>
                <w:sz w:val="17"/>
                <w:szCs w:val="17"/>
              </w:rPr>
              <w:t xml:space="preserve">Deric Chan (APAC/Thomas), Jackson Li, Kevin Nozaki (VTJ/Kengo)</w:t>
            </w:r>
          </w:p>
        </w:tc>
        <w:tc>
          <w:tcPr>
            <w:tcW w:type="dxa" w:w="3000"/>
            <w:tcMar>
              <w:top w:type="dxa" w:w="50"/>
              <w:left w:type="dxa" w:w="90"/>
              <w:bottom w:type="dxa" w:w="50"/>
              <w:right w:type="dxa" w:w="90"/>
            </w:tcMar>
          </w:tcPr>
          <w:p>
            <w:r>
              <w:rPr>
                <w:rFonts w:ascii="Calibri" w:cs="Calibri" w:eastAsia="Calibri" w:hAnsi="Calibri"/>
                <w:b w:val="false"/>
                <w:bCs w:val="false"/>
                <w:color w:val="1A1A1A"/>
                <w:sz w:val="17"/>
                <w:szCs w:val="17"/>
              </w:rPr>
              <w:t xml:space="preserve">APAC-led ownership; Kengo signs off Ultimate pricing</w:t>
            </w:r>
          </w:p>
        </w:tc>
      </w:tr>
      <w:tr>
        <w:trPr>
          <w:cantSplit/>
        </w:trPr>
        <w:tc>
          <w:tcPr>
            <w:tcW w:type="dxa" w:w="19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Sales (大銷售)</w:t>
            </w:r>
          </w:p>
        </w:tc>
        <w:tc>
          <w:tcPr>
            <w:tcW w:type="dxa" w:w="41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Hank Lin, Jack Li, Alex Pang, Freddy W</w:t>
            </w:r>
          </w:p>
        </w:tc>
        <w:tc>
          <w:tcPr>
            <w:tcW w:type="dxa" w:w="30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IB/partner acquisition &amp; management</w:t>
            </w:r>
          </w:p>
        </w:tc>
      </w:tr>
      <w:tr>
        <w:trPr>
          <w:cantSplit/>
        </w:trPr>
        <w:tc>
          <w:tcPr>
            <w:tcW w:type="dxa" w:w="1900"/>
            <w:tcMar>
              <w:top w:type="dxa" w:w="50"/>
              <w:left w:type="dxa" w:w="90"/>
              <w:bottom w:type="dxa" w:w="50"/>
              <w:right w:type="dxa" w:w="90"/>
            </w:tcMar>
          </w:tcPr>
          <w:p>
            <w:r>
              <w:rPr>
                <w:rFonts w:ascii="Calibri" w:cs="Calibri" w:eastAsia="Calibri" w:hAnsi="Calibri"/>
                <w:b/>
                <w:bCs/>
                <w:color w:val="1A1A1A"/>
                <w:sz w:val="17"/>
                <w:szCs w:val="17"/>
              </w:rPr>
              <w:t xml:space="preserve">UMJ (Japan)</w:t>
            </w:r>
          </w:p>
        </w:tc>
        <w:tc>
          <w:tcPr>
            <w:tcW w:type="dxa" w:w="4100"/>
            <w:tcMar>
              <w:top w:type="dxa" w:w="50"/>
              <w:left w:type="dxa" w:w="90"/>
              <w:bottom w:type="dxa" w:w="50"/>
              <w:right w:type="dxa" w:w="90"/>
            </w:tcMar>
          </w:tcPr>
          <w:p>
            <w:r>
              <w:rPr>
                <w:rFonts w:ascii="Calibri" w:cs="Calibri" w:eastAsia="Calibri" w:hAnsi="Calibri"/>
                <w:b w:val="false"/>
                <w:bCs w:val="false"/>
                <w:color w:val="1A1A1A"/>
                <w:sz w:val="17"/>
                <w:szCs w:val="17"/>
              </w:rPr>
              <w:t xml:space="preserve">Mind Suthinee (PM) + UMJ team</w:t>
            </w:r>
          </w:p>
        </w:tc>
        <w:tc>
          <w:tcPr>
            <w:tcW w:type="dxa" w:w="3000"/>
            <w:tcMar>
              <w:top w:type="dxa" w:w="50"/>
              <w:left w:type="dxa" w:w="90"/>
              <w:bottom w:type="dxa" w:w="50"/>
              <w:right w:type="dxa" w:w="90"/>
            </w:tcMar>
          </w:tcPr>
          <w:p>
            <w:r>
              <w:rPr>
                <w:rFonts w:ascii="Calibri" w:cs="Calibri" w:eastAsia="Calibri" w:hAnsi="Calibri"/>
                <w:b w:val="false"/>
                <w:bCs w:val="false"/>
                <w:color w:val="1A1A1A"/>
                <w:sz w:val="17"/>
                <w:szCs w:val="17"/>
              </w:rPr>
              <w:t xml:space="preserve">Japan market, separate cadence</w:t>
            </w:r>
          </w:p>
        </w:tc>
      </w:tr>
      <w:tr>
        <w:trPr>
          <w:cantSplit/>
        </w:trPr>
        <w:tc>
          <w:tcPr>
            <w:tcW w:type="dxa" w:w="19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Marketing</w:t>
            </w:r>
          </w:p>
        </w:tc>
        <w:tc>
          <w:tcPr>
            <w:tcW w:type="dxa" w:w="41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Judy Lam (Promotion), Jairus Lim</w:t>
            </w:r>
          </w:p>
        </w:tc>
        <w:tc>
          <w:tcPr>
            <w:tcW w:type="dxa" w:w="30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Campaigns, loyalty, sponsorship (Inter Milan)</w:t>
            </w:r>
          </w:p>
        </w:tc>
      </w:tr>
    </w:tbl>
    <w:p>
      <w:pPr>
        <w:spacing w:after="80"/>
      </w:pPr>
    </w:p>
    <w:p>
      <w:pPr>
        <w:pStyle w:val="ListParagraph"/>
        <w:numPr>
          <w:ilvl w:val="0"/>
          <w:numId w:val="2"/>
        </w:numPr>
        <w:spacing w:after="70" w:line="268"/>
      </w:pPr>
      <w:r>
        <w:rPr>
          <w:rFonts w:ascii="Calibri" w:cs="Calibri" w:eastAsia="Calibri" w:hAnsi="Calibri"/>
          <w:b/>
          <w:bCs/>
          <w:color w:val="1A1A1A"/>
          <w:sz w:val="20"/>
          <w:szCs w:val="20"/>
        </w:rPr>
        <w:t xml:space="preserve">Structure by region, then channel: </w:t>
      </w:r>
      <w:r>
        <w:rPr>
          <w:rFonts w:ascii="Calibri" w:cs="Calibri" w:eastAsia="Calibri" w:hAnsi="Calibri"/>
          <w:color w:val="1A1A1A"/>
          <w:sz w:val="20"/>
          <w:szCs w:val="20"/>
        </w:rPr>
        <w:t xml:space="preserve">distinct China, EU (Italy), SEA (Malaysia/Indonesia), HK and Japan pushes, each fed largely by IBs. This mirrors the Star model (region-first) rather than a product-first desk.</w:t>
      </w:r>
    </w:p>
    <w:p>
      <w:pPr>
        <w:pStyle w:val="ListParagraph"/>
        <w:numPr>
          <w:ilvl w:val="0"/>
          <w:numId w:val="2"/>
        </w:numPr>
        <w:spacing w:after="70" w:line="268"/>
      </w:pPr>
      <w:r>
        <w:rPr>
          <w:rFonts w:ascii="Calibri" w:cs="Calibri" w:eastAsia="Calibri" w:hAnsi="Calibri"/>
          <w:b/>
          <w:bCs/>
          <w:color w:val="1A1A1A"/>
          <w:sz w:val="20"/>
          <w:szCs w:val="20"/>
        </w:rPr>
        <w:t xml:space="preserve">Team strength: </w:t>
      </w:r>
      <w:r>
        <w:rPr>
          <w:rFonts w:ascii="Calibri" w:cs="Calibri" w:eastAsia="Calibri" w:hAnsi="Calibri"/>
          <w:color w:val="1A1A1A"/>
          <w:sz w:val="20"/>
          <w:szCs w:val="20"/>
        </w:rPr>
        <w:t xml:space="preserve">relationship/networking-led — the edge is IB-network breadth and local-market presence, consistent with the core-competency read in Section 2.B. Less emphasis on technical/product-specialist selling.</w:t>
      </w:r>
    </w:p>
    <w:p>
      <w:pPr>
        <w:shd w:fill="FFF7ED" w:color="auto" w:val="clear"/>
        <w:spacing w:after="90" w:line="268"/>
      </w:pPr>
      <w:r>
        <w:rPr>
          <w:rFonts w:ascii="Calibri" w:cs="Calibri" w:eastAsia="Calibri" w:hAnsi="Calibri"/>
          <w:b/>
          <w:bCs/>
          <w:color w:val="92400E"/>
          <w:sz w:val="18"/>
          <w:szCs w:val="18"/>
        </w:rPr>
        <w:t xml:space="preserve">  [INTERNAL — to confirm] </w:t>
      </w:r>
      <w:r>
        <w:rPr>
          <w:rFonts w:ascii="Calibri" w:cs="Calibri" w:eastAsia="Calibri" w:hAnsi="Calibri"/>
          <w:color w:val="92400E"/>
          <w:sz w:val="18"/>
          <w:szCs w:val="18"/>
        </w:rPr>
        <w:t xml:space="preserve">Confirm exact sales headcount by region, IB-count and volume-per-IB, and the retail-vs-IB revenue split — available in CRM/PowerBI, not in the provided files.  ·  Owner: Sales leadership / Data  </w:t>
      </w:r>
    </w:p>
    <w:p>
      <w:r>
        <w:br w:type="page"/>
      </w:r>
    </w:p>
    <w:p>
      <w:pPr>
        <w:pStyle w:val="Heading1"/>
        <w:spacing w:after="140" w:before="320"/>
      </w:pPr>
      <w:r>
        <w:rPr>
          <w:rFonts w:ascii="Calibri" w:cs="Calibri" w:eastAsia="Calibri" w:hAnsi="Calibri"/>
          <w:b/>
          <w:bCs/>
          <w:color w:val="1F4A3F"/>
          <w:sz w:val="30"/>
          <w:szCs w:val="30"/>
        </w:rPr>
        <w:t xml:space="preserve">5. Internal Comparison</w:t>
      </w:r>
    </w:p>
    <w:p>
      <w:pPr>
        <w:pStyle w:val="Heading2"/>
        <w:spacing w:after="90" w:before="220"/>
      </w:pPr>
      <w:r>
        <w:rPr>
          <w:rFonts w:ascii="Calibri" w:cs="Calibri" w:eastAsia="Calibri" w:hAnsi="Calibri"/>
          <w:b/>
          <w:bCs/>
          <w:color w:val="1A1A1A"/>
          <w:sz w:val="24"/>
          <w:szCs w:val="24"/>
        </w:rPr>
        <w:t xml:space="preserve">5.A  Brand differentiation &amp; competitive advantage</w:t>
      </w:r>
    </w:p>
    <w:p>
      <w:pPr>
        <w:spacing w:after="120" w:line="276"/>
      </w:pPr>
      <w:r>
        <w:rPr>
          <w:rFonts w:ascii="Calibri" w:cs="Calibri" w:eastAsia="Calibri" w:hAnsi="Calibri"/>
          <w:color w:val="1A1A1A"/>
          <w:sz w:val="20"/>
          <w:szCs w:val="20"/>
        </w:rPr>
        <w:t xml:space="preserve">How UM is different from the other group brands, on the dimensions that matter:</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1700"/>
        <w:gridCol w:w="3600"/>
        <w:gridCol w:w="3700"/>
      </w:tblGrid>
      <w:tr>
        <w:trPr>
          <w:tblHeader/>
        </w:trPr>
        <w:tc>
          <w:tcPr>
            <w:tcW w:type="dxa" w:w="17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Dimension</w:t>
            </w:r>
          </w:p>
        </w:tc>
        <w:tc>
          <w:tcPr>
            <w:tcW w:type="dxa" w:w="36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Ultima Markets (UM)</w:t>
            </w:r>
          </w:p>
        </w:tc>
        <w:tc>
          <w:tcPr>
            <w:tcW w:type="dxa" w:w="37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How it differs in-group</w:t>
            </w:r>
          </w:p>
        </w:tc>
      </w:tr>
      <w:tr>
        <w:trPr>
          <w:cantSplit/>
        </w:trPr>
        <w:tc>
          <w:tcPr>
            <w:tcW w:type="dxa" w:w="1700"/>
            <w:tcMar>
              <w:top w:type="dxa" w:w="50"/>
              <w:left w:type="dxa" w:w="90"/>
              <w:bottom w:type="dxa" w:w="50"/>
              <w:right w:type="dxa" w:w="90"/>
            </w:tcMar>
          </w:tcPr>
          <w:p>
            <w:r>
              <w:rPr>
                <w:rFonts w:ascii="Calibri" w:cs="Calibri" w:eastAsia="Calibri" w:hAnsi="Calibri"/>
                <w:b/>
                <w:bCs/>
                <w:color w:val="1A1A1A"/>
                <w:sz w:val="17"/>
                <w:szCs w:val="17"/>
              </w:rPr>
              <w:t xml:space="preserve">Positioning</w:t>
            </w:r>
          </w:p>
        </w:tc>
        <w:tc>
          <w:tcPr>
            <w:tcW w:type="dxa" w:w="3600"/>
            <w:tcMar>
              <w:top w:type="dxa" w:w="50"/>
              <w:left w:type="dxa" w:w="90"/>
              <w:bottom w:type="dxa" w:w="50"/>
              <w:right w:type="dxa" w:w="90"/>
            </w:tcMar>
          </w:tcPr>
          <w:p>
            <w:r>
              <w:rPr>
                <w:rFonts w:ascii="Calibri" w:cs="Calibri" w:eastAsia="Calibri" w:hAnsi="Calibri"/>
                <w:b w:val="false"/>
                <w:bCs w:val="false"/>
                <w:color w:val="1A1A1A"/>
                <w:sz w:val="17"/>
                <w:szCs w:val="17"/>
              </w:rPr>
              <w:t xml:space="preserve">Low-spread, Exness-challenger; trust/ESG face (UN Global Compact, Inter Milan)</w:t>
            </w:r>
          </w:p>
        </w:tc>
        <w:tc>
          <w:tcPr>
            <w:tcW w:type="dxa" w:w="3700"/>
            <w:tcMar>
              <w:top w:type="dxa" w:w="50"/>
              <w:left w:type="dxa" w:w="90"/>
              <w:bottom w:type="dxa" w:w="50"/>
              <w:right w:type="dxa" w:w="90"/>
            </w:tcMar>
          </w:tcPr>
          <w:p>
            <w:r>
              <w:rPr>
                <w:rFonts w:ascii="Calibri" w:cs="Calibri" w:eastAsia="Calibri" w:hAnsi="Calibri"/>
                <w:b w:val="false"/>
                <w:bCs w:val="false"/>
                <w:color w:val="1A1A1A"/>
                <w:sz w:val="17"/>
                <w:szCs w:val="17"/>
              </w:rPr>
              <w:t xml:space="preserve">The group's aggressive-pricing vehicle; Vantage is the premium reference brand</w:t>
            </w:r>
          </w:p>
        </w:tc>
      </w:tr>
      <w:tr>
        <w:trPr>
          <w:cantSplit/>
        </w:trPr>
        <w:tc>
          <w:tcPr>
            <w:tcW w:type="dxa" w:w="17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Pricing</w:t>
            </w:r>
          </w:p>
        </w:tc>
        <w:tc>
          <w:tcPr>
            <w:tcW w:type="dxa" w:w="36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Spreads below V Brand; Ultimate cuts 20–27% more</w:t>
            </w:r>
          </w:p>
        </w:tc>
        <w:tc>
          <w:tcPr>
            <w:tcW w:type="dxa" w:w="3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Cheapest client-facing cost in the group's mainstream brands</w:t>
            </w:r>
          </w:p>
        </w:tc>
      </w:tr>
      <w:tr>
        <w:trPr>
          <w:cantSplit/>
        </w:trPr>
        <w:tc>
          <w:tcPr>
            <w:tcW w:type="dxa" w:w="1700"/>
            <w:tcMar>
              <w:top w:type="dxa" w:w="50"/>
              <w:left w:type="dxa" w:w="90"/>
              <w:bottom w:type="dxa" w:w="50"/>
              <w:right w:type="dxa" w:w="90"/>
            </w:tcMar>
          </w:tcPr>
          <w:p>
            <w:r>
              <w:rPr>
                <w:rFonts w:ascii="Calibri" w:cs="Calibri" w:eastAsia="Calibri" w:hAnsi="Calibri"/>
                <w:b/>
                <w:bCs/>
                <w:color w:val="1A1A1A"/>
                <w:sz w:val="17"/>
                <w:szCs w:val="17"/>
              </w:rPr>
              <w:t xml:space="preserve">Geography</w:t>
            </w:r>
          </w:p>
        </w:tc>
        <w:tc>
          <w:tcPr>
            <w:tcW w:type="dxa" w:w="3600"/>
            <w:tcMar>
              <w:top w:type="dxa" w:w="50"/>
              <w:left w:type="dxa" w:w="90"/>
              <w:bottom w:type="dxa" w:w="50"/>
              <w:right w:type="dxa" w:w="90"/>
            </w:tcMar>
          </w:tcPr>
          <w:p>
            <w:r>
              <w:rPr>
                <w:rFonts w:ascii="Calibri" w:cs="Calibri" w:eastAsia="Calibri" w:hAnsi="Calibri"/>
                <w:b w:val="false"/>
                <w:bCs w:val="false"/>
                <w:color w:val="1A1A1A"/>
                <w:sz w:val="17"/>
                <w:szCs w:val="17"/>
              </w:rPr>
              <w:t xml:space="preserve">Europe + SEA core; Japan via UMJ</w:t>
            </w:r>
          </w:p>
        </w:tc>
        <w:tc>
          <w:tcPr>
            <w:tcW w:type="dxa" w:w="3700"/>
            <w:tcMar>
              <w:top w:type="dxa" w:w="50"/>
              <w:left w:type="dxa" w:w="90"/>
              <w:bottom w:type="dxa" w:w="50"/>
              <w:right w:type="dxa" w:w="90"/>
            </w:tcMar>
          </w:tcPr>
          <w:p>
            <w:r>
              <w:rPr>
                <w:rFonts w:ascii="Calibri" w:cs="Calibri" w:eastAsia="Calibri" w:hAnsi="Calibri"/>
                <w:b w:val="false"/>
                <w:bCs w:val="false"/>
                <w:color w:val="1A1A1A"/>
                <w:sz w:val="17"/>
                <w:szCs w:val="17"/>
              </w:rPr>
              <w:t xml:space="preserve">Star = China/India/EU/MENA; UM owns the Italy/Malaysia/Indonesia/HK mix</w:t>
            </w:r>
          </w:p>
        </w:tc>
      </w:tr>
      <w:tr>
        <w:trPr>
          <w:cantSplit/>
        </w:trPr>
        <w:tc>
          <w:tcPr>
            <w:tcW w:type="dxa" w:w="17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Regulation</w:t>
            </w:r>
          </w:p>
        </w:tc>
        <w:tc>
          <w:tcPr>
            <w:tcW w:type="dxa" w:w="36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FCA (UK), CySEC, FSCA, FSC Mauritius</w:t>
            </w:r>
          </w:p>
        </w:tc>
        <w:tc>
          <w:tcPr>
            <w:tcW w:type="dxa" w:w="3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One of the more heavily-regulated brands (onshore FCA foothold)</w:t>
            </w:r>
          </w:p>
        </w:tc>
      </w:tr>
      <w:tr>
        <w:trPr>
          <w:cantSplit/>
        </w:trPr>
        <w:tc>
          <w:tcPr>
            <w:tcW w:type="dxa" w:w="1700"/>
            <w:tcMar>
              <w:top w:type="dxa" w:w="50"/>
              <w:left w:type="dxa" w:w="90"/>
              <w:bottom w:type="dxa" w:w="50"/>
              <w:right w:type="dxa" w:w="90"/>
            </w:tcMar>
          </w:tcPr>
          <w:p>
            <w:r>
              <w:rPr>
                <w:rFonts w:ascii="Calibri" w:cs="Calibri" w:eastAsia="Calibri" w:hAnsi="Calibri"/>
                <w:b/>
                <w:bCs/>
                <w:color w:val="1A1A1A"/>
                <w:sz w:val="17"/>
                <w:szCs w:val="17"/>
              </w:rPr>
              <w:t xml:space="preserve">Product</w:t>
            </w:r>
          </w:p>
        </w:tc>
        <w:tc>
          <w:tcPr>
            <w:tcW w:type="dxa" w:w="3600"/>
            <w:tcMar>
              <w:top w:type="dxa" w:w="50"/>
              <w:left w:type="dxa" w:w="90"/>
              <w:bottom w:type="dxa" w:w="50"/>
              <w:right w:type="dxa" w:w="90"/>
            </w:tcMar>
          </w:tcPr>
          <w:p>
            <w:r>
              <w:rPr>
                <w:rFonts w:ascii="Calibri" w:cs="Calibri" w:eastAsia="Calibri" w:hAnsi="Calibri"/>
                <w:b w:val="false"/>
                <w:bCs w:val="false"/>
                <w:color w:val="1A1A1A"/>
                <w:sz w:val="17"/>
                <w:szCs w:val="17"/>
              </w:rPr>
              <w:t xml:space="preserve">Metals-led; synthetic indices in-flight; US-stock 5/24-7/24 new</w:t>
            </w:r>
          </w:p>
        </w:tc>
        <w:tc>
          <w:tcPr>
            <w:tcW w:type="dxa" w:w="3700"/>
            <w:tcMar>
              <w:top w:type="dxa" w:w="50"/>
              <w:left w:type="dxa" w:w="90"/>
              <w:bottom w:type="dxa" w:w="50"/>
              <w:right w:type="dxa" w:w="90"/>
            </w:tcMar>
          </w:tcPr>
          <w:p>
            <w:r>
              <w:rPr>
                <w:rFonts w:ascii="Calibri" w:cs="Calibri" w:eastAsia="Calibri" w:hAnsi="Calibri"/>
                <w:b w:val="false"/>
                <w:bCs w:val="false"/>
                <w:color w:val="1A1A1A"/>
                <w:sz w:val="17"/>
                <w:szCs w:val="17"/>
              </w:rPr>
              <w:t xml:space="preserve">Runs the same shared pricing model/PE as Vantage/VT — little proprietary product</w:t>
            </w:r>
          </w:p>
        </w:tc>
      </w:tr>
      <w:tr>
        <w:trPr>
          <w:cantSplit/>
        </w:trPr>
        <w:tc>
          <w:tcPr>
            <w:tcW w:type="dxa" w:w="17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Distribution</w:t>
            </w:r>
          </w:p>
        </w:tc>
        <w:tc>
          <w:tcPr>
            <w:tcW w:type="dxa" w:w="36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IB/partner-led, region-first sales</w:t>
            </w:r>
          </w:p>
        </w:tc>
        <w:tc>
          <w:tcPr>
            <w:tcW w:type="dxa" w:w="37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Similar channel model to siblings — hence cannibalisation risk</w:t>
            </w:r>
          </w:p>
        </w:tc>
      </w:tr>
    </w:tbl>
    <w:p>
      <w:pPr>
        <w:spacing w:after="80"/>
      </w:pPr>
    </w:p>
    <w:p>
      <w:pPr>
        <w:spacing w:after="120" w:line="276"/>
      </w:pPr>
      <w:r>
        <w:rPr>
          <w:rFonts w:ascii="Calibri" w:cs="Calibri" w:eastAsia="Calibri" w:hAnsi="Calibri"/>
          <w:b/>
          <w:bCs/>
          <w:color w:val="1A1A1A"/>
          <w:sz w:val="20"/>
          <w:szCs w:val="20"/>
        </w:rPr>
        <w:t xml:space="preserve">Competitive advantage (honest read): </w:t>
      </w:r>
      <w:r>
        <w:rPr>
          <w:rFonts w:ascii="Calibri" w:cs="Calibri" w:eastAsia="Calibri" w:hAnsi="Calibri"/>
          <w:color w:val="1A1A1A"/>
          <w:sz w:val="20"/>
          <w:szCs w:val="20"/>
        </w:rPr>
        <w:t xml:space="preserve">UM's advantage is commercial, not technical — aggressive price + broad IB distribution + a credibility layer (FCA onshore, ESG, Inter Milan). It is </w:t>
      </w:r>
      <w:r>
        <w:rPr>
          <w:rFonts w:ascii="Calibri" w:cs="Calibri" w:eastAsia="Calibri" w:hAnsi="Calibri"/>
          <w:b/>
          <w:bCs/>
          <w:color w:val="1A1A1A"/>
          <w:sz w:val="20"/>
          <w:szCs w:val="20"/>
        </w:rPr>
        <w:t xml:space="preserve">not</w:t>
      </w:r>
      <w:r>
        <w:rPr>
          <w:rFonts w:ascii="Calibri" w:cs="Calibri" w:eastAsia="Calibri" w:hAnsi="Calibri"/>
          <w:color w:val="1A1A1A"/>
          <w:sz w:val="20"/>
          <w:szCs w:val="20"/>
        </w:rPr>
        <w:t xml:space="preserve"> a product-innovation edge: the pricing model, price engine and even the new synthetic products are shared/replicated from Vantage. That makes the moat shallow and easy for a sibling brand to match.</w:t>
      </w:r>
    </w:p>
    <w:p>
      <w:pPr>
        <w:pStyle w:val="Heading2"/>
        <w:spacing w:after="90" w:before="220"/>
      </w:pPr>
      <w:r>
        <w:rPr>
          <w:rFonts w:ascii="Calibri" w:cs="Calibri" w:eastAsia="Calibri" w:hAnsi="Calibri"/>
          <w:b/>
          <w:bCs/>
          <w:color w:val="1A1A1A"/>
          <w:sz w:val="24"/>
          <w:szCs w:val="24"/>
        </w:rPr>
        <w:t xml:space="preserve">5.B  How is UM different from other brands?</w:t>
      </w:r>
    </w:p>
    <w:p>
      <w:pPr>
        <w:pStyle w:val="ListParagraph"/>
        <w:numPr>
          <w:ilvl w:val="0"/>
          <w:numId w:val="2"/>
        </w:numPr>
        <w:spacing w:after="70" w:line="268"/>
      </w:pPr>
      <w:r>
        <w:rPr>
          <w:rFonts w:ascii="Calibri" w:cs="Calibri" w:eastAsia="Calibri" w:hAnsi="Calibri"/>
          <w:b/>
          <w:bCs/>
          <w:color w:val="1A1A1A"/>
          <w:sz w:val="20"/>
          <w:szCs w:val="20"/>
        </w:rPr>
        <w:t xml:space="preserve">vs Vantage (V Brand): </w:t>
      </w:r>
      <w:r>
        <w:rPr>
          <w:rFonts w:ascii="Calibri" w:cs="Calibri" w:eastAsia="Calibri" w:hAnsi="Calibri"/>
          <w:color w:val="1A1A1A"/>
          <w:sz w:val="20"/>
          <w:szCs w:val="20"/>
        </w:rPr>
        <w:t xml:space="preserve">UM is the cheaper, more aggressively-priced version aimed at price-sensitive IB flow; Vantage is the premium/reference brand with higher DPM and PNL growth (+40% vs UM's +8% in June).</w:t>
      </w:r>
    </w:p>
    <w:p>
      <w:pPr>
        <w:pStyle w:val="ListParagraph"/>
        <w:numPr>
          <w:ilvl w:val="0"/>
          <w:numId w:val="2"/>
        </w:numPr>
        <w:spacing w:after="70" w:line="268"/>
      </w:pPr>
      <w:r>
        <w:rPr>
          <w:rFonts w:ascii="Calibri" w:cs="Calibri" w:eastAsia="Calibri" w:hAnsi="Calibri"/>
          <w:b/>
          <w:bCs/>
          <w:color w:val="1A1A1A"/>
          <w:sz w:val="20"/>
          <w:szCs w:val="20"/>
        </w:rPr>
        <w:t xml:space="preserve">vs Star: </w:t>
      </w:r>
      <w:r>
        <w:rPr>
          <w:rFonts w:ascii="Calibri" w:cs="Calibri" w:eastAsia="Calibri" w:hAnsi="Calibri"/>
          <w:color w:val="1A1A1A"/>
          <w:sz w:val="20"/>
          <w:szCs w:val="20"/>
        </w:rPr>
        <w:t xml:space="preserve">different geography (UM = EU/SEA/Japan; Star = China/India/EU/MENA) and different sponsorship/marketing, though both are IB-led low-spread desks.</w:t>
      </w:r>
    </w:p>
    <w:p>
      <w:pPr>
        <w:pStyle w:val="ListParagraph"/>
        <w:numPr>
          <w:ilvl w:val="0"/>
          <w:numId w:val="2"/>
        </w:numPr>
        <w:spacing w:after="70" w:line="268"/>
      </w:pPr>
      <w:r>
        <w:rPr>
          <w:rFonts w:ascii="Calibri" w:cs="Calibri" w:eastAsia="Calibri" w:hAnsi="Calibri"/>
          <w:b/>
          <w:bCs/>
          <w:color w:val="1A1A1A"/>
          <w:sz w:val="20"/>
          <w:szCs w:val="20"/>
        </w:rPr>
        <w:t xml:space="preserve">vs VT: </w:t>
      </w:r>
      <w:r>
        <w:rPr>
          <w:rFonts w:ascii="Calibri" w:cs="Calibri" w:eastAsia="Calibri" w:hAnsi="Calibri"/>
          <w:color w:val="1A1A1A"/>
          <w:sz w:val="20"/>
          <w:szCs w:val="20"/>
        </w:rPr>
        <w:t xml:space="preserve">VT is the environment receiving the replicated synthetic indices; UM and VT will share synthetic product economics once launched.</w:t>
      </w:r>
    </w:p>
    <w:p>
      <w:pPr>
        <w:pStyle w:val="ListParagraph"/>
        <w:numPr>
          <w:ilvl w:val="0"/>
          <w:numId w:val="2"/>
        </w:numPr>
        <w:spacing w:after="70" w:line="268"/>
      </w:pPr>
      <w:r>
        <w:rPr>
          <w:rFonts w:ascii="Calibri" w:cs="Calibri" w:eastAsia="Calibri" w:hAnsi="Calibri"/>
          <w:b/>
          <w:bCs/>
          <w:color w:val="1A1A1A"/>
          <w:sz w:val="20"/>
          <w:szCs w:val="20"/>
        </w:rPr>
        <w:t xml:space="preserve">vs UMJ: </w:t>
      </w:r>
      <w:r>
        <w:rPr>
          <w:rFonts w:ascii="Calibri" w:cs="Calibri" w:eastAsia="Calibri" w:hAnsi="Calibri"/>
          <w:color w:val="1A1A1A"/>
          <w:sz w:val="20"/>
          <w:szCs w:val="20"/>
        </w:rPr>
        <w:t xml:space="preserve">same brand family; UMJ is the Japan-localised instance (JPY denomination, different rebate %, separate loyalty/competition calendar) and the pilot for Ultimate pricing.</w:t>
      </w:r>
    </w:p>
    <w:p>
      <w:pPr>
        <w:pStyle w:val="Heading2"/>
        <w:spacing w:after="90" w:before="220"/>
      </w:pPr>
      <w:r>
        <w:rPr>
          <w:rFonts w:ascii="Calibri" w:cs="Calibri" w:eastAsia="Calibri" w:hAnsi="Calibri"/>
          <w:b/>
          <w:bCs/>
          <w:color w:val="1A1A1A"/>
          <w:sz w:val="24"/>
          <w:szCs w:val="24"/>
        </w:rPr>
        <w:t xml:space="preserve">5.C  Which brands are highly similar (cost / volume overlap)?</w:t>
      </w:r>
    </w:p>
    <w:p>
      <w:pPr>
        <w:pStyle w:val="ListParagraph"/>
        <w:numPr>
          <w:ilvl w:val="0"/>
          <w:numId w:val="2"/>
        </w:numPr>
        <w:spacing w:after="70" w:line="268"/>
      </w:pPr>
      <w:r>
        <w:rPr>
          <w:rFonts w:ascii="Calibri" w:cs="Calibri" w:eastAsia="Calibri" w:hAnsi="Calibri"/>
          <w:b/>
          <w:bCs/>
          <w:color w:val="1A1A1A"/>
          <w:sz w:val="20"/>
          <w:szCs w:val="20"/>
        </w:rPr>
        <w:t xml:space="preserve">Vantage — highest similarity.</w:t>
      </w:r>
      <w:r>
        <w:rPr>
          <w:rFonts w:ascii="Calibri" w:cs="Calibri" w:eastAsia="Calibri" w:hAnsi="Calibri"/>
          <w:color w:val="1A1A1A"/>
          <w:sz w:val="20"/>
          <w:szCs w:val="20"/>
        </w:rPr>
        <w:t xml:space="preserve"> Shared pricing model, price engine and rebate framework; UM benchmarks everything against it and Synthetic 1.0 copies its model. Greatest product-cost overlap and the most direct internal comparison.</w:t>
      </w:r>
    </w:p>
    <w:p>
      <w:pPr>
        <w:pStyle w:val="ListParagraph"/>
        <w:numPr>
          <w:ilvl w:val="0"/>
          <w:numId w:val="2"/>
        </w:numPr>
        <w:spacing w:after="70" w:line="268"/>
      </w:pPr>
      <w:r>
        <w:rPr>
          <w:rFonts w:ascii="Calibri" w:cs="Calibri" w:eastAsia="Calibri" w:hAnsi="Calibri"/>
          <w:b/>
          <w:bCs/>
          <w:color w:val="1A1A1A"/>
          <w:sz w:val="20"/>
          <w:szCs w:val="20"/>
        </w:rPr>
        <w:t xml:space="preserve">VT — high on synthetic products</w:t>
      </w:r>
      <w:r>
        <w:rPr>
          <w:rFonts w:ascii="Calibri" w:cs="Calibri" w:eastAsia="Calibri" w:hAnsi="Calibri"/>
          <w:color w:val="1A1A1A"/>
          <w:sz w:val="20"/>
          <w:szCs w:val="20"/>
        </w:rPr>
        <w:t xml:space="preserve"> once Synthetic 1.0 lands (same 18 instruments, same DPM/leverage).</w:t>
      </w:r>
    </w:p>
    <w:p>
      <w:pPr>
        <w:pStyle w:val="ListParagraph"/>
        <w:numPr>
          <w:ilvl w:val="0"/>
          <w:numId w:val="2"/>
        </w:numPr>
        <w:spacing w:after="70" w:line="268"/>
      </w:pPr>
      <w:r>
        <w:rPr>
          <w:rFonts w:ascii="Calibri" w:cs="Calibri" w:eastAsia="Calibri" w:hAnsi="Calibri"/>
          <w:b/>
          <w:bCs/>
          <w:color w:val="1A1A1A"/>
          <w:sz w:val="20"/>
          <w:szCs w:val="20"/>
        </w:rPr>
        <w:t xml:space="preserve">Star — similar business model</w:t>
      </w:r>
      <w:r>
        <w:rPr>
          <w:rFonts w:ascii="Calibri" w:cs="Calibri" w:eastAsia="Calibri" w:hAnsi="Calibri"/>
          <w:color w:val="1A1A1A"/>
          <w:sz w:val="20"/>
          <w:szCs w:val="20"/>
        </w:rPr>
        <w:t xml:space="preserve"> (IB-led, low-spread, gold-heavy) but different core geography, so overlap is on model not market.</w:t>
      </w:r>
    </w:p>
    <w:p>
      <w:pPr>
        <w:shd w:fill="FFF7ED" w:color="auto" w:val="clear"/>
        <w:spacing w:after="90" w:line="268"/>
      </w:pPr>
      <w:r>
        <w:rPr>
          <w:rFonts w:ascii="Calibri" w:cs="Calibri" w:eastAsia="Calibri" w:hAnsi="Calibri"/>
          <w:b/>
          <w:bCs/>
          <w:color w:val="92400E"/>
          <w:sz w:val="18"/>
          <w:szCs w:val="18"/>
        </w:rPr>
        <w:t xml:space="preserve">  [INTERNAL — to confirm] </w:t>
      </w:r>
      <w:r>
        <w:rPr>
          <w:rFonts w:ascii="Calibri" w:cs="Calibri" w:eastAsia="Calibri" w:hAnsi="Calibri"/>
          <w:color w:val="92400E"/>
          <w:sz w:val="18"/>
          <w:szCs w:val="18"/>
        </w:rPr>
        <w:t xml:space="preserve">Quantify volume-contribution overlap and product-cost deltas between UM, Vantage, VT and Star to size cannibalisation — which IB networks and countries are shared, and how much volume double-counts across brands. This is a PowerBI/CRM cut.  ·  Owner: Group strategy / Data (PowerBI)  </w:t>
      </w:r>
    </w:p>
    <w:p>
      <w:pPr>
        <w:pStyle w:val="Heading2"/>
        <w:spacing w:after="90" w:before="220"/>
      </w:pPr>
      <w:r>
        <w:rPr>
          <w:rFonts w:ascii="Calibri" w:cs="Calibri" w:eastAsia="Calibri" w:hAnsi="Calibri"/>
          <w:b/>
          <w:bCs/>
          <w:color w:val="1A1A1A"/>
          <w:sz w:val="24"/>
          <w:szCs w:val="24"/>
        </w:rPr>
        <w:t xml:space="preserve">5.D  Internal competitors</w:t>
      </w:r>
    </w:p>
    <w:p>
      <w:pPr>
        <w:spacing w:after="120" w:line="276"/>
      </w:pPr>
      <w:r>
        <w:rPr>
          <w:rFonts w:ascii="Calibri" w:cs="Calibri" w:eastAsia="Calibri" w:hAnsi="Calibri"/>
          <w:color w:val="1A1A1A"/>
          <w:sz w:val="20"/>
          <w:szCs w:val="20"/>
        </w:rPr>
        <w:t xml:space="preserve">Within the group, UM most directly competes with </w:t>
      </w:r>
      <w:r>
        <w:rPr>
          <w:rFonts w:ascii="Calibri" w:cs="Calibri" w:eastAsia="Calibri" w:hAnsi="Calibri"/>
          <w:b/>
          <w:bCs/>
          <w:color w:val="1A1A1A"/>
          <w:sz w:val="20"/>
          <w:szCs w:val="20"/>
        </w:rPr>
        <w:t xml:space="preserve">Vantage</w:t>
      </w:r>
      <w:r>
        <w:rPr>
          <w:rFonts w:ascii="Calibri" w:cs="Calibri" w:eastAsia="Calibri" w:hAnsi="Calibri"/>
          <w:color w:val="1A1A1A"/>
          <w:sz w:val="20"/>
          <w:szCs w:val="20"/>
        </w:rPr>
        <w:t xml:space="preserve"> for price-sensitive IB flow in overlapping geographies, and will overlap with </w:t>
      </w:r>
      <w:r>
        <w:rPr>
          <w:rFonts w:ascii="Calibri" w:cs="Calibri" w:eastAsia="Calibri" w:hAnsi="Calibri"/>
          <w:b/>
          <w:bCs/>
          <w:color w:val="1A1A1A"/>
          <w:sz w:val="20"/>
          <w:szCs w:val="20"/>
        </w:rPr>
        <w:t xml:space="preserve">VT</w:t>
      </w:r>
      <w:r>
        <w:rPr>
          <w:rFonts w:ascii="Calibri" w:cs="Calibri" w:eastAsia="Calibri" w:hAnsi="Calibri"/>
          <w:color w:val="1A1A1A"/>
          <w:sz w:val="20"/>
          <w:szCs w:val="20"/>
        </w:rPr>
        <w:t xml:space="preserve"> on synthetic products. Because brands share infrastructure and a common pricing model, cannibalisation is a real risk wherever two brands chase the same IBs in the same country — the mitigant is deliberate geographic/price-tier separation (UM cheaper, Vantage premium).</w:t>
      </w:r>
    </w:p>
    <w:p>
      <w:r>
        <w:br w:type="page"/>
      </w:r>
    </w:p>
    <w:p>
      <w:pPr>
        <w:pStyle w:val="Heading1"/>
        <w:spacing w:after="140" w:before="320"/>
      </w:pPr>
      <w:r>
        <w:rPr>
          <w:rFonts w:ascii="Calibri" w:cs="Calibri" w:eastAsia="Calibri" w:hAnsi="Calibri"/>
          <w:b/>
          <w:bCs/>
          <w:color w:val="1F4A3F"/>
          <w:sz w:val="30"/>
          <w:szCs w:val="30"/>
        </w:rPr>
        <w:t xml:space="preserve">6. Current Key Projects</w:t>
      </w:r>
    </w:p>
    <w:p>
      <w:pPr>
        <w:pStyle w:val="Heading2"/>
        <w:spacing w:after="90" w:before="220"/>
      </w:pPr>
      <w:r>
        <w:rPr>
          <w:rFonts w:ascii="Calibri" w:cs="Calibri" w:eastAsia="Calibri" w:hAnsi="Calibri"/>
          <w:b/>
          <w:bCs/>
          <w:color w:val="1A1A1A"/>
          <w:sz w:val="24"/>
          <w:szCs w:val="24"/>
        </w:rPr>
        <w:t xml:space="preserve">6.A  Ongoing core projects</w:t>
      </w:r>
    </w:p>
    <w:p>
      <w:pPr>
        <w:pStyle w:val="Heading3"/>
        <w:spacing w:after="70" w:before="160"/>
      </w:pPr>
      <w:r>
        <w:rPr>
          <w:rFonts w:ascii="Calibri" w:cs="Calibri" w:eastAsia="Calibri" w:hAnsi="Calibri"/>
          <w:b/>
          <w:bCs/>
          <w:color w:val="1F4A3F"/>
          <w:sz w:val="21"/>
          <w:szCs w:val="21"/>
        </w:rPr>
        <w:t xml:space="preserve">Project 1 — UM STP, ECN &amp; Ultimate New Account Types ("Exness-ification")</w:t>
      </w:r>
    </w:p>
    <w:p>
      <w:pPr>
        <w:spacing w:after="120" w:line="276"/>
      </w:pPr>
      <w:r>
        <w:rPr>
          <w:rFonts w:ascii="Calibri" w:cs="Calibri" w:eastAsia="Calibri" w:hAnsi="Calibri"/>
          <w:i/>
          <w:iCs/>
          <w:color w:val="6B7280"/>
          <w:sz w:val="19"/>
          <w:szCs w:val="19"/>
        </w:rPr>
        <w:t xml:space="preserve">Boss demand from Kevin Nozaki; ultimate goal is to benchmark UM against Exness. Built in three phases:</w:t>
      </w:r>
    </w:p>
    <w:p>
      <w:pPr>
        <w:pStyle w:val="ListParagraph"/>
        <w:numPr>
          <w:ilvl w:val="0"/>
          <w:numId w:val="2"/>
        </w:numPr>
        <w:spacing w:after="70" w:line="268"/>
      </w:pPr>
      <w:r>
        <w:rPr>
          <w:rFonts w:ascii="Calibri" w:cs="Calibri" w:eastAsia="Calibri" w:hAnsi="Calibri"/>
          <w:b/>
          <w:bCs/>
          <w:color w:val="1A1A1A"/>
          <w:sz w:val="20"/>
          <w:szCs w:val="20"/>
        </w:rPr>
        <w:t xml:space="preserve">Business model: </w:t>
      </w:r>
      <w:r>
        <w:rPr>
          <w:rFonts w:ascii="Calibri" w:cs="Calibri" w:eastAsia="Calibri" w:hAnsi="Calibri"/>
          <w:color w:val="1A1A1A"/>
          <w:sz w:val="20"/>
          <w:szCs w:val="20"/>
        </w:rPr>
        <w:t xml:space="preserve">optimise the spread of all brands' STP/ECN Top-22 volume products and move to spread-by-% commission. The Ultimate tier is 20% optimised on all products, up to 27% on the known A-book Top-22 volume products. Spread-optimisation ranking: ECN &gt; Ultimate &gt; STP.</w:t>
      </w:r>
    </w:p>
    <w:p>
      <w:pPr>
        <w:pStyle w:val="ListParagraph"/>
        <w:numPr>
          <w:ilvl w:val="0"/>
          <w:numId w:val="2"/>
        </w:numPr>
        <w:spacing w:after="70" w:line="268"/>
      </w:pPr>
      <w:r>
        <w:rPr>
          <w:rFonts w:ascii="Calibri" w:cs="Calibri" w:eastAsia="Calibri" w:hAnsi="Calibri"/>
          <w:b/>
          <w:bCs/>
          <w:color w:val="1A1A1A"/>
          <w:sz w:val="20"/>
          <w:szCs w:val="20"/>
        </w:rPr>
        <w:t xml:space="preserve">Group fields: </w:t>
      </w:r>
      <w:r>
        <w:rPr>
          <w:rFonts w:ascii="Calibri" w:cs="Calibri" w:eastAsia="Calibri" w:hAnsi="Calibri"/>
          <w:color w:val="1A1A1A"/>
          <w:sz w:val="20"/>
          <w:szCs w:val="20"/>
        </w:rPr>
        <w:t xml:space="preserve">all three types use X_UM/UME_NM_SO0_XXX; Ultimate additionally uses X_UM_PRO_NM_SO0_XXX with interest-free + Stop-Out 0% group settings. Ultimate/PRO is MT5-only (MT4 symbol limit); STP/ECN are on both MT4 and MT5.</w:t>
      </w:r>
    </w:p>
    <w:p>
      <w:pPr>
        <w:pStyle w:val="ListParagraph"/>
        <w:numPr>
          <w:ilvl w:val="0"/>
          <w:numId w:val="2"/>
        </w:numPr>
        <w:spacing w:after="70" w:line="268"/>
      </w:pPr>
      <w:r>
        <w:rPr>
          <w:rFonts w:ascii="Calibri" w:cs="Calibri" w:eastAsia="Calibri" w:hAnsi="Calibri"/>
          <w:b/>
          <w:bCs/>
          <w:color w:val="1A1A1A"/>
          <w:sz w:val="20"/>
          <w:szCs w:val="20"/>
        </w:rPr>
        <w:t xml:space="preserve">Phase 1 — DONE: </w:t>
      </w:r>
      <w:r>
        <w:rPr>
          <w:rFonts w:ascii="Calibri" w:cs="Calibri" w:eastAsia="Calibri" w:hAnsi="Calibri"/>
          <w:color w:val="1A1A1A"/>
          <w:sz w:val="20"/>
          <w:szCs w:val="20"/>
        </w:rPr>
        <w:t xml:space="preserve">UMJ launched STP/ECN by-spread-percentage rebate account (group-distinguished, interest-free, Stop-Out 0). Live in the UMJ 5 countries only.</w:t>
      </w:r>
    </w:p>
    <w:p>
      <w:pPr>
        <w:pStyle w:val="ListParagraph"/>
        <w:numPr>
          <w:ilvl w:val="0"/>
          <w:numId w:val="2"/>
        </w:numPr>
        <w:spacing w:after="70" w:line="268"/>
      </w:pPr>
      <w:r>
        <w:rPr>
          <w:rFonts w:ascii="Calibri" w:cs="Calibri" w:eastAsia="Calibri" w:hAnsi="Calibri"/>
          <w:b/>
          <w:bCs/>
          <w:color w:val="1A1A1A"/>
          <w:sz w:val="20"/>
          <w:szCs w:val="20"/>
        </w:rPr>
        <w:t xml:space="preserve">Phase 2 — in progress: </w:t>
      </w:r>
      <w:r>
        <w:rPr>
          <w:rFonts w:ascii="Calibri" w:cs="Calibri" w:eastAsia="Calibri" w:hAnsi="Calibri"/>
          <w:color w:val="1A1A1A"/>
          <w:sz w:val="20"/>
          <w:szCs w:val="20"/>
        </w:rPr>
        <w:t xml:space="preserve">Ultimate account. MT5 created/optimised on the bridge (V product spreads except Top-22). Proposal Spread Table (APAC Premium vs Ultimate vs Exness Pro) delivered. Top-22 product optimisation is SUSPENDED — needs internal confirmation of optimisation range + rebate intensity (BIT card-point; range/intensity judged too large). Tentative end-July.</w:t>
      </w:r>
    </w:p>
    <w:p>
      <w:pPr>
        <w:pStyle w:val="ListParagraph"/>
        <w:numPr>
          <w:ilvl w:val="0"/>
          <w:numId w:val="2"/>
        </w:numPr>
        <w:spacing w:after="70" w:line="268"/>
      </w:pPr>
      <w:r>
        <w:rPr>
          <w:rFonts w:ascii="Calibri" w:cs="Calibri" w:eastAsia="Calibri" w:hAnsi="Calibri"/>
          <w:b/>
          <w:bCs/>
          <w:color w:val="1A1A1A"/>
          <w:sz w:val="20"/>
          <w:szCs w:val="20"/>
        </w:rPr>
        <w:t xml:space="preserve">Phase 3 — not open: </w:t>
      </w:r>
      <w:r>
        <w:rPr>
          <w:rFonts w:ascii="Calibri" w:cs="Calibri" w:eastAsia="Calibri" w:hAnsi="Calibri"/>
          <w:color w:val="1A1A1A"/>
          <w:sz w:val="20"/>
          <w:szCs w:val="20"/>
        </w:rPr>
        <w:t xml:space="preserve">full Exness-benchmark build — account-opening optimisation, AB referral, self-affiliate IB non-refundable, unlimited leverage (optional), commission-package rules, Loyalty Program. Starts only after BIT finishes development; old account types will be iterated out over time.</w:t>
      </w:r>
    </w:p>
    <w:p>
      <w:pPr>
        <w:shd w:fill="FFF7ED" w:color="auto" w:val="clear"/>
        <w:spacing w:after="90" w:line="268"/>
      </w:pPr>
      <w:r>
        <w:rPr>
          <w:rFonts w:ascii="Calibri" w:cs="Calibri" w:eastAsia="Calibri" w:hAnsi="Calibri"/>
          <w:b/>
          <w:bCs/>
          <w:color w:val="92400E"/>
          <w:sz w:val="18"/>
          <w:szCs w:val="18"/>
        </w:rPr>
        <w:t xml:space="preserve">  Reconciliation — Top-22 vs Top-50:  </w:t>
      </w:r>
      <w:r>
        <w:rPr>
          <w:rFonts w:ascii="Calibri" w:cs="Calibri" w:eastAsia="Calibri" w:hAnsi="Calibri"/>
          <w:color w:val="92400E"/>
          <w:sz w:val="18"/>
          <w:szCs w:val="18"/>
        </w:rPr>
        <w:t xml:space="preserve">Cheong's handover (source-of-record, ~26 Jun) specifies Top-22 volume products; the later UM June report references Top-50. These likely reflect a scope change between the handover and the report. Treat Top-22 as the confirmed project scope and Top-50 as a proposed expansion pending sign-off — confirm the current number with PD/Kengo before quoting externally.</w:t>
      </w:r>
    </w:p>
    <w:p>
      <w:pPr>
        <w:pStyle w:val="ListParagraph"/>
        <w:numPr>
          <w:ilvl w:val="0"/>
          <w:numId w:val="2"/>
        </w:numPr>
        <w:spacing w:after="70" w:line="268"/>
      </w:pPr>
      <w:r>
        <w:rPr>
          <w:rFonts w:ascii="Calibri" w:cs="Calibri" w:eastAsia="Calibri" w:hAnsi="Calibri"/>
          <w:b/>
          <w:bCs/>
          <w:color w:val="1A1A1A"/>
          <w:sz w:val="20"/>
          <w:szCs w:val="20"/>
        </w:rPr>
        <w:t xml:space="preserve">Blocker (from handover): </w:t>
      </w:r>
      <w:r>
        <w:rPr>
          <w:rFonts w:ascii="Calibri" w:cs="Calibri" w:eastAsia="Calibri" w:hAnsi="Calibri"/>
          <w:color w:val="1A1A1A"/>
          <w:sz w:val="20"/>
          <w:szCs w:val="20"/>
        </w:rPr>
        <w:t xml:space="preserve">STP/ECN Top-22 spread optimisation not yet online — only the new commission mode is live; boss EMT resolution + unified BIT development targeted Q4. Ultimate Top-22 needs the boss to confirm the optimisation extent + rebate intensity.</w:t>
      </w:r>
    </w:p>
    <w:p>
      <w:pPr>
        <w:pStyle w:val="ListParagraph"/>
        <w:numPr>
          <w:ilvl w:val="0"/>
          <w:numId w:val="2"/>
        </w:numPr>
        <w:spacing w:after="70" w:line="268"/>
      </w:pPr>
      <w:r>
        <w:rPr>
          <w:rFonts w:ascii="Calibri" w:cs="Calibri" w:eastAsia="Calibri" w:hAnsi="Calibri"/>
          <w:b/>
          <w:bCs/>
          <w:color w:val="1A1A1A"/>
          <w:sz w:val="20"/>
          <w:szCs w:val="20"/>
        </w:rPr>
        <w:t xml:space="preserve">Precautions: </w:t>
      </w:r>
      <w:r>
        <w:rPr>
          <w:rFonts w:ascii="Calibri" w:cs="Calibri" w:eastAsia="Calibri" w:hAnsi="Calibri"/>
          <w:color w:val="1A1A1A"/>
          <w:sz w:val="20"/>
          <w:szCs w:val="20"/>
        </w:rPr>
        <w:t xml:space="preserve">JPY commission differs — 440 JPY (old ECN) vs 750 JPY (new ECN account JPY CCY). All three major bosses must be fine with rebates (they will apply to the whole of UM in future). Spread adjustments cannot be synced with other brands. Ultimate crypto uses .24Hv (24-hour US stocks) and .V (39 US stocks) suffixes.</w:t>
      </w:r>
    </w:p>
    <w:p>
      <w:pPr>
        <w:pStyle w:val="ListParagraph"/>
        <w:numPr>
          <w:ilvl w:val="0"/>
          <w:numId w:val="2"/>
        </w:numPr>
        <w:spacing w:after="70" w:line="268"/>
      </w:pPr>
      <w:r>
        <w:rPr>
          <w:rFonts w:ascii="Calibri" w:cs="Calibri" w:eastAsia="Calibri" w:hAnsi="Calibri"/>
          <w:b/>
          <w:bCs/>
          <w:color w:val="1A1A1A"/>
          <w:sz w:val="20"/>
          <w:szCs w:val="20"/>
        </w:rPr>
        <w:t xml:space="preserve">Windows: </w:t>
      </w:r>
      <w:r>
        <w:rPr>
          <w:rFonts w:ascii="Calibri" w:cs="Calibri" w:eastAsia="Calibri" w:hAnsi="Calibri"/>
          <w:color w:val="1A1A1A"/>
          <w:sz w:val="20"/>
          <w:szCs w:val="20"/>
        </w:rPr>
        <w:t xml:space="preserve">PD Sheng Kui Cheong (handover to Adam); Admin Hayley Loh; APP Momentary Lu; BIT Terry Lim; OP Ryu Chang; MKT Terry Yeung; PMO Mind Suthinee.</w:t>
      </w:r>
    </w:p>
    <w:p>
      <w:pPr>
        <w:pStyle w:val="Heading3"/>
        <w:spacing w:after="70" w:before="160"/>
      </w:pPr>
      <w:r>
        <w:rPr>
          <w:rFonts w:ascii="Calibri" w:cs="Calibri" w:eastAsia="Calibri" w:hAnsi="Calibri"/>
          <w:b/>
          <w:bCs/>
          <w:color w:val="1F4A3F"/>
          <w:sz w:val="21"/>
          <w:szCs w:val="21"/>
        </w:rPr>
        <w:t xml:space="preserve">Project 2 — UM FCA Onshore Go-Live</w:t>
      </w:r>
    </w:p>
    <w:p>
      <w:pPr>
        <w:pStyle w:val="ListParagraph"/>
        <w:numPr>
          <w:ilvl w:val="0"/>
          <w:numId w:val="2"/>
        </w:numPr>
        <w:spacing w:after="70" w:line="268"/>
      </w:pPr>
      <w:r>
        <w:rPr>
          <w:rFonts w:ascii="Calibri" w:cs="Calibri" w:eastAsia="Calibri" w:hAnsi="Calibri"/>
          <w:b/>
          <w:bCs/>
          <w:color w:val="1A1A1A"/>
          <w:sz w:val="20"/>
          <w:szCs w:val="20"/>
        </w:rPr>
        <w:t xml:space="preserve">Status: </w:t>
      </w:r>
      <w:r>
        <w:rPr>
          <w:rFonts w:ascii="Calibri" w:cs="Calibri" w:eastAsia="Calibri" w:hAnsi="Calibri"/>
          <w:color w:val="1A1A1A"/>
          <w:sz w:val="20"/>
          <w:szCs w:val="20"/>
        </w:rPr>
        <w:t xml:space="preserve">Phase 1 LIVE 22 June 2026 (ahead of the 28 June target).</w:t>
      </w:r>
    </w:p>
    <w:p>
      <w:pPr>
        <w:pStyle w:val="ListParagraph"/>
        <w:numPr>
          <w:ilvl w:val="0"/>
          <w:numId w:val="2"/>
        </w:numPr>
        <w:spacing w:after="70" w:line="268"/>
      </w:pPr>
      <w:r>
        <w:rPr>
          <w:rFonts w:ascii="Calibri" w:cs="Calibri" w:eastAsia="Calibri" w:hAnsi="Calibri"/>
          <w:b/>
          <w:bCs/>
          <w:color w:val="1A1A1A"/>
          <w:sz w:val="20"/>
          <w:szCs w:val="20"/>
        </w:rPr>
        <w:t xml:space="preserve">Why the LP change: </w:t>
      </w:r>
      <w:r>
        <w:rPr>
          <w:rFonts w:ascii="Calibri" w:cs="Calibri" w:eastAsia="Calibri" w:hAnsi="Calibri"/>
          <w:color w:val="1A1A1A"/>
          <w:sz w:val="20"/>
          <w:szCs w:val="20"/>
        </w:rPr>
        <w:t xml:space="preserve">during Phase 1, a delay in Sum Sub (Sumsub KYC) forced Compliance to switch from the planned LP to ISPrime Local UK LP before launch — hence the 6/22 date.</w:t>
      </w:r>
    </w:p>
    <w:p>
      <w:pPr>
        <w:pStyle w:val="ListParagraph"/>
        <w:numPr>
          <w:ilvl w:val="0"/>
          <w:numId w:val="2"/>
        </w:numPr>
        <w:spacing w:after="70" w:line="268"/>
      </w:pPr>
      <w:r>
        <w:rPr>
          <w:rFonts w:ascii="Calibri" w:cs="Calibri" w:eastAsia="Calibri" w:hAnsi="Calibri"/>
          <w:color w:val="1A1A1A"/>
          <w:sz w:val="20"/>
          <w:szCs w:val="20"/>
        </w:rPr>
        <w:t xml:space="preserve">Phase 1 scope: </w:t>
      </w:r>
      <w:r>
        <w:rPr>
          <w:rFonts w:ascii="Calibri" w:cs="Calibri" w:eastAsia="Calibri" w:hAnsi="Calibri"/>
          <w:color w:val="1A1A1A"/>
          <w:sz w:val="20"/>
          <w:szCs w:val="20"/>
        </w:rPr>
        <w:t xml:space="preserve">one product suffix each for Retail STP/ECN; leverage 30:1; no crypto, US stocks, futures or bulk. Spread = ordinary UM STP/ECN + $8/million in Points, where the markup covers A-book (拋倉) hedging cost. No IB rebate in Phase 1. Group settings reference V FCA. Digit follows LP; trading time differs by ISP vs V; Dealing-Desk volume multiplier rescaled because it is an ISP (contact Yan Jun Ho). FCA excludes ETF/crypto and US-stock market-data-fee products.</w:t>
      </w:r>
    </w:p>
    <w:p>
      <w:pPr>
        <w:pStyle w:val="ListParagraph"/>
        <w:numPr>
          <w:ilvl w:val="0"/>
          <w:numId w:val="2"/>
        </w:numPr>
        <w:spacing w:after="70" w:line="268"/>
      </w:pPr>
      <w:r>
        <w:rPr>
          <w:rFonts w:ascii="Calibri" w:cs="Calibri" w:eastAsia="Calibri" w:hAnsi="Calibri"/>
          <w:color w:val="1A1A1A"/>
          <w:sz w:val="20"/>
          <w:szCs w:val="20"/>
        </w:rPr>
        <w:t xml:space="preserve">A/B-book mechanics: </w:t>
      </w:r>
      <w:r>
        <w:rPr>
          <w:rFonts w:ascii="Calibri" w:cs="Calibri" w:eastAsia="Calibri" w:hAnsi="Calibri"/>
          <w:color w:val="1A1A1A"/>
          <w:sz w:val="20"/>
          <w:szCs w:val="20"/>
        </w:rPr>
        <w:t xml:space="preserve">for compliance, Phase 1 ran entirely B-book by default (no M_/S_ A/B split); the subsequent A-book group carries _TX_ fields synced with OP RA. Group names: FCA_Hedge\M_UM(E)_UK_[EUR/GBP/HKD/USD].</w:t>
      </w:r>
    </w:p>
    <w:p>
      <w:pPr>
        <w:pStyle w:val="ListParagraph"/>
        <w:numPr>
          <w:ilvl w:val="0"/>
          <w:numId w:val="2"/>
        </w:numPr>
        <w:spacing w:after="70" w:line="268"/>
      </w:pPr>
      <w:r>
        <w:rPr>
          <w:rFonts w:ascii="Calibri" w:cs="Calibri" w:eastAsia="Calibri" w:hAnsi="Calibri"/>
          <w:b/>
          <w:bCs/>
          <w:color w:val="1A1A1A"/>
          <w:sz w:val="20"/>
          <w:szCs w:val="20"/>
        </w:rPr>
        <w:t xml:space="preserve">Phase 2 — Compliance/boss requirements kicked off: </w:t>
      </w:r>
      <w:r>
        <w:rPr>
          <w:rFonts w:ascii="Calibri" w:cs="Calibri" w:eastAsia="Calibri" w:hAnsi="Calibri"/>
          <w:color w:val="1A1A1A"/>
          <w:sz w:val="20"/>
          <w:szCs w:val="20"/>
        </w:rPr>
        <w:t xml:space="preserve">stabilise licence issuance; Compliance will use valid reasons to persuade the regulator to switch LP to FinPrime. PD must re-list the Commo futures not originally listed under FinPrime (except crypto/ETF) and confirm whether US stocks can be re-listed under FinPrime LP. All non-FX-Metals products (incl. XPT/XPD digit &amp; trading time) must align to V FCA's trading/quote sessions and specs. Dealing-Desk multiplier must align to V FCA. Phase 2 needs RA intervention to catch toxic customers — toxic-customer group M_UM_UK_TX_XXX. Open question: keep the ordinary UM STP/ECN spread or retain the $8/million markup.</w:t>
      </w:r>
    </w:p>
    <w:p>
      <w:pPr>
        <w:pStyle w:val="ListParagraph"/>
        <w:numPr>
          <w:ilvl w:val="0"/>
          <w:numId w:val="2"/>
        </w:numPr>
        <w:spacing w:after="70" w:line="268"/>
      </w:pPr>
      <w:r>
        <w:rPr>
          <w:rFonts w:ascii="Calibri" w:cs="Calibri" w:eastAsia="Calibri" w:hAnsi="Calibri"/>
          <w:b/>
          <w:bCs/>
          <w:color w:val="1A1A1A"/>
          <w:sz w:val="20"/>
          <w:szCs w:val="20"/>
        </w:rPr>
        <w:t xml:space="preserve">Context (external): </w:t>
      </w:r>
      <w:r>
        <w:rPr>
          <w:rFonts w:ascii="Calibri" w:cs="Calibri" w:eastAsia="Calibri" w:hAnsi="Calibri"/>
          <w:color w:val="1A1A1A"/>
          <w:sz w:val="20"/>
          <w:szCs w:val="20"/>
        </w:rPr>
        <w:t xml:space="preserve">the UK FCA licence (ref 470325, trading name approved 21 July 2025) was reportedly obtained by acquiring Tiger Brokers' UK operations; still pre-onboarding into 2026. Ticket #SR-726227.</w:t>
      </w:r>
    </w:p>
    <w:p>
      <w:pPr>
        <w:pStyle w:val="ListParagraph"/>
        <w:numPr>
          <w:ilvl w:val="0"/>
          <w:numId w:val="2"/>
        </w:numPr>
        <w:spacing w:after="70" w:line="268"/>
      </w:pPr>
      <w:r>
        <w:rPr>
          <w:rFonts w:ascii="Calibri" w:cs="Calibri" w:eastAsia="Calibri" w:hAnsi="Calibri"/>
          <w:b/>
          <w:bCs/>
          <w:color w:val="1A1A1A"/>
          <w:sz w:val="20"/>
          <w:szCs w:val="20"/>
        </w:rPr>
        <w:t xml:space="preserve">Windows: </w:t>
      </w:r>
      <w:r>
        <w:rPr>
          <w:rFonts w:ascii="Calibri" w:cs="Calibri" w:eastAsia="Calibri" w:hAnsi="Calibri"/>
          <w:color w:val="1A1A1A"/>
          <w:sz w:val="20"/>
          <w:szCs w:val="20"/>
        </w:rPr>
        <w:t xml:space="preserve">PD Sheng Kui Cheong; Admin Alston Lim; BIT Terry Lim; PMO Amy Lim; Dealing Shi Jia Ong (LP details/signing); Compliance Ricky Hong / Yilu Wang UK; Fin BI River Li; Finance Aki Lin; CS Villiam Chee; Payment Mia Yang.</w:t>
      </w:r>
    </w:p>
    <w:p>
      <w:pPr>
        <w:pStyle w:val="Heading3"/>
        <w:spacing w:after="70" w:before="160"/>
      </w:pPr>
      <w:r>
        <w:rPr>
          <w:rFonts w:ascii="Calibri" w:cs="Calibri" w:eastAsia="Calibri" w:hAnsi="Calibri"/>
          <w:b/>
          <w:bCs/>
          <w:color w:val="1F4A3F"/>
          <w:sz w:val="21"/>
          <w:szCs w:val="21"/>
        </w:rPr>
        <w:t xml:space="preserve">Legacy note — Ultimate account (superseded framing)</w:t>
      </w:r>
    </w:p>
    <w:p>
      <w:pPr>
        <w:pStyle w:val="ListParagraph"/>
        <w:numPr>
          <w:ilvl w:val="0"/>
          <w:numId w:val="2"/>
        </w:numPr>
        <w:spacing w:after="70" w:line="268"/>
      </w:pPr>
      <w:r>
        <w:rPr>
          <w:rFonts w:ascii="Calibri" w:cs="Calibri" w:eastAsia="Calibri" w:hAnsi="Calibri"/>
          <w:color w:val="1A1A1A"/>
          <w:sz w:val="20"/>
          <w:szCs w:val="20"/>
        </w:rPr>
        <w:t xml:space="preserve">Server config COMPLETE</w:t>
      </w:r>
      <w:r>
        <w:rPr>
          <w:rFonts w:ascii="Calibri" w:cs="Calibri" w:eastAsia="Calibri" w:hAnsi="Calibri"/>
          <w:color w:val="1A1A1A"/>
          <w:sz w:val="20"/>
          <w:szCs w:val="20"/>
        </w:rPr>
        <w:t xml:space="preserve"> (products/groups created, Stop Out 0%, no Credit, NM swap-free groups). See Project 1 above for the authoritative phase breakdown; earlier drafts described this as a standalone "UMJ pilot" — it is Phase 1/2 of the account-types project.</w:t>
      </w:r>
    </w:p>
    <w:p>
      <w:pPr>
        <w:pStyle w:val="Heading3"/>
        <w:spacing w:after="70" w:before="160"/>
      </w:pPr>
      <w:r>
        <w:rPr>
          <w:rFonts w:ascii="Calibri" w:cs="Calibri" w:eastAsia="Calibri" w:hAnsi="Calibri"/>
          <w:b/>
          <w:bCs/>
          <w:color w:val="1F4A3F"/>
          <w:sz w:val="21"/>
          <w:szCs w:val="21"/>
        </w:rPr>
        <w:t xml:space="preserve">Project 3 — UM Synthetic Indices (copying Vantage / "V")</w:t>
      </w:r>
    </w:p>
    <w:p>
      <w:pPr>
        <w:spacing w:after="120" w:line="276"/>
      </w:pPr>
      <w:r>
        <w:rPr>
          <w:rFonts w:ascii="Calibri" w:cs="Calibri" w:eastAsia="Calibri" w:hAnsi="Calibri"/>
          <w:color w:val="1A1A1A"/>
          <w:sz w:val="20"/>
          <w:szCs w:val="20"/>
        </w:rPr>
        <w:t xml:space="preserve">Proposed by BO Coordinator and Cathy Wu. The whole point: </w:t>
      </w:r>
      <w:r>
        <w:rPr>
          <w:rFonts w:ascii="Calibri" w:cs="Calibri" w:eastAsia="Calibri" w:hAnsi="Calibri"/>
          <w:b/>
          <w:bCs/>
          <w:color w:val="1A1A1A"/>
          <w:sz w:val="20"/>
          <w:szCs w:val="20"/>
        </w:rPr>
        <w:t xml:space="preserve">copy V's (Vantage's) settings and business model</w:t>
      </w:r>
      <w:r>
        <w:rPr>
          <w:rFonts w:ascii="Calibri" w:cs="Calibri" w:eastAsia="Calibri" w:hAnsi="Calibri"/>
          <w:color w:val="1A1A1A"/>
          <w:sz w:val="20"/>
          <w:szCs w:val="20"/>
        </w:rPr>
        <w:t xml:space="preserve"> onto UM — same configuration, delay, leverage, DPM, volatility, limits and risk parameters; only the price differs (initial price runs independently from 10,000). This is why "UM is basically copying V's business model."</w:t>
      </w:r>
    </w:p>
    <w:p>
      <w:pPr>
        <w:pStyle w:val="ListParagraph"/>
        <w:numPr>
          <w:ilvl w:val="0"/>
          <w:numId w:val="2"/>
        </w:numPr>
        <w:spacing w:after="70" w:line="268"/>
      </w:pPr>
      <w:r>
        <w:rPr>
          <w:rFonts w:ascii="Calibri" w:cs="Calibri" w:eastAsia="Calibri" w:hAnsi="Calibri"/>
          <w:b/>
          <w:bCs/>
          <w:color w:val="1A1A1A"/>
          <w:sz w:val="20"/>
          <w:szCs w:val="20"/>
        </w:rPr>
        <w:t xml:space="preserve">Status: </w:t>
      </w:r>
      <w:r>
        <w:rPr>
          <w:rFonts w:ascii="Calibri" w:cs="Calibri" w:eastAsia="Calibri" w:hAnsi="Calibri"/>
          <w:color w:val="1A1A1A"/>
          <w:sz w:val="20"/>
          <w:szCs w:val="20"/>
        </w:rPr>
        <w:t xml:space="preserve">Kick-off complete; "Synthetic ready for launch" in progress. Boss hasn't fixed a launch date (PD/BIT/APP scheduled Q3). The later UM June report additionally marked the wider Synthetic 1.0 effort 暫緩 (on hold) — reconcile the exact live status with PD.</w:t>
      </w:r>
    </w:p>
    <w:p>
      <w:pPr>
        <w:pStyle w:val="ListParagraph"/>
        <w:numPr>
          <w:ilvl w:val="0"/>
          <w:numId w:val="2"/>
        </w:numPr>
        <w:spacing w:after="70" w:line="268"/>
      </w:pPr>
      <w:r>
        <w:rPr>
          <w:rFonts w:ascii="Calibri" w:cs="Calibri" w:eastAsia="Calibri" w:hAnsi="Calibri"/>
          <w:b/>
          <w:bCs/>
          <w:color w:val="1A1A1A"/>
          <w:sz w:val="20"/>
          <w:szCs w:val="20"/>
        </w:rPr>
        <w:t xml:space="preserve">Server / compliance scope: </w:t>
      </w:r>
      <w:r>
        <w:rPr>
          <w:rFonts w:ascii="Calibri" w:cs="Calibri" w:eastAsia="Calibri" w:hAnsi="Calibri"/>
          <w:color w:val="1A1A1A"/>
          <w:sz w:val="20"/>
          <w:szCs w:val="20"/>
        </w:rPr>
        <w:t xml:space="preserve">MT5UM2 (Asia) server only — the same compliance reason as V. Boss is fine with the V reference setting including up to 50% spread rebate. Customers must not be China (customer-quality), MENA or EU (compliance) to see the Synthetic Indices account type in the Client Portal.</w:t>
      </w:r>
    </w:p>
    <w:p>
      <w:pPr>
        <w:shd w:fill="FFF7ED" w:color="auto" w:val="clear"/>
        <w:spacing w:after="90" w:line="268"/>
      </w:pPr>
      <w:r>
        <w:rPr>
          <w:rFonts w:ascii="Calibri" w:cs="Calibri" w:eastAsia="Calibri" w:hAnsi="Calibri"/>
          <w:b/>
          <w:bCs/>
          <w:color w:val="92400E"/>
          <w:sz w:val="18"/>
          <w:szCs w:val="18"/>
        </w:rPr>
        <w:t xml:space="preserve">  Reconciliation — rebate ceiling:  </w:t>
      </w:r>
      <w:r>
        <w:rPr>
          <w:rFonts w:ascii="Calibri" w:cs="Calibri" w:eastAsia="Calibri" w:hAnsi="Calibri"/>
          <w:color w:val="92400E"/>
          <w:sz w:val="18"/>
          <w:szCs w:val="18"/>
        </w:rPr>
        <w:t xml:space="preserve">Cheong's handover (UM Synthetic) says the boss approved up to 50% spread rebate (V reference); the UM June report said "up to UM's max 40%." Likely a general-max (40%) vs synthetic-specific (50%, matching V) distinction. Confirm which applies to synthetic products.</w:t>
      </w:r>
    </w:p>
    <w:p>
      <w:pPr>
        <w:pStyle w:val="ListParagraph"/>
        <w:numPr>
          <w:ilvl w:val="0"/>
          <w:numId w:val="2"/>
        </w:numPr>
        <w:spacing w:after="70" w:line="268"/>
      </w:pPr>
      <w:r>
        <w:rPr>
          <w:rFonts w:ascii="Calibri" w:cs="Calibri" w:eastAsia="Calibri" w:hAnsi="Calibri"/>
          <w:b/>
          <w:bCs/>
          <w:color w:val="1A1A1A"/>
          <w:sz w:val="20"/>
          <w:szCs w:val="20"/>
        </w:rPr>
        <w:t xml:space="preserve">Product set: </w:t>
      </w:r>
      <w:r>
        <w:rPr>
          <w:rFonts w:ascii="Calibri" w:cs="Calibri" w:eastAsia="Calibri" w:hAnsi="Calibri"/>
          <w:color w:val="1A1A1A"/>
          <w:sz w:val="20"/>
          <w:szCs w:val="20"/>
        </w:rPr>
        <w:t xml:space="preserve">Volatility / Spike / Step families — the actual synthetic symbol list (from the ops SQL) includes FixedVol20-100, StableVol20-100, FixedStep0.1-0.5, StepMove0.1-0.5, JumpUp/Down 150-1000, SpikeUp/Down 150-1000, and Boost150-600. ~18+ instruments mirroring Deriv-style derived indices.</w:t>
      </w:r>
    </w:p>
    <w:p>
      <w:pPr>
        <w:pStyle w:val="ListParagraph"/>
        <w:numPr>
          <w:ilvl w:val="0"/>
          <w:numId w:val="2"/>
        </w:numPr>
        <w:spacing w:after="70" w:line="268"/>
      </w:pPr>
      <w:r>
        <w:rPr>
          <w:rFonts w:ascii="Calibri" w:cs="Calibri" w:eastAsia="Calibri" w:hAnsi="Calibri"/>
          <w:b/>
          <w:bCs/>
          <w:color w:val="1A1A1A"/>
          <w:sz w:val="20"/>
          <w:szCs w:val="20"/>
        </w:rPr>
        <w:t xml:space="preserve">Known UX blocker (from StarTrader's parallel Synthetic Phase 2): </w:t>
      </w:r>
      <w:r>
        <w:rPr>
          <w:rFonts w:ascii="Calibri" w:cs="Calibri" w:eastAsia="Calibri" w:hAnsi="Calibri"/>
          <w:color w:val="1A1A1A"/>
          <w:sz w:val="20"/>
          <w:szCs w:val="20"/>
        </w:rPr>
        <w:t xml:space="preserve">synthetic was only opened in the MT5ST3 _SYN_ field group; customers falling into other servers (e.g. MT5ST4) have no _SYN_ group, so they can't see the product / register in the Client Portal. Fix = extend _SYN_ groups to MT5ST 1/4/5 and match Client Portal settings. UM must avoid the same fallout on MT5UM2.</w:t>
      </w:r>
    </w:p>
    <w:p>
      <w:pPr>
        <w:pStyle w:val="ListParagraph"/>
        <w:numPr>
          <w:ilvl w:val="0"/>
          <w:numId w:val="2"/>
        </w:numPr>
        <w:spacing w:after="70" w:line="268"/>
      </w:pPr>
      <w:r>
        <w:rPr>
          <w:rFonts w:ascii="Calibri" w:cs="Calibri" w:eastAsia="Calibri" w:hAnsi="Calibri"/>
          <w:color w:val="1A1A1A"/>
          <w:sz w:val="20"/>
          <w:szCs w:val="20"/>
        </w:rPr>
        <w:t xml:space="preserve">Timeline (handover to-do): </w:t>
      </w:r>
      <w:r>
        <w:rPr>
          <w:rFonts w:ascii="Calibri" w:cs="Calibri" w:eastAsia="Calibri" w:hAnsi="Calibri"/>
          <w:color w:val="1A1A1A"/>
          <w:sz w:val="20"/>
          <w:szCs w:val="20"/>
        </w:rPr>
        <w:t xml:space="preserve">0629 PD provides Admin spec sheet → 0710 Admin configures server for BIT/APP testing → training one week before 0722 → tentative 0729/0803 online.</w:t>
      </w:r>
    </w:p>
    <w:p>
      <w:pPr>
        <w:pStyle w:val="ListParagraph"/>
        <w:numPr>
          <w:ilvl w:val="0"/>
          <w:numId w:val="2"/>
        </w:numPr>
        <w:spacing w:after="70" w:line="268"/>
      </w:pPr>
      <w:r>
        <w:rPr>
          <w:rFonts w:ascii="Calibri" w:cs="Calibri" w:eastAsia="Calibri" w:hAnsi="Calibri"/>
          <w:b/>
          <w:bCs/>
          <w:color w:val="1A1A1A"/>
          <w:sz w:val="20"/>
          <w:szCs w:val="20"/>
        </w:rPr>
        <w:t xml:space="preserve">Windows: </w:t>
      </w:r>
      <w:r>
        <w:rPr>
          <w:rFonts w:ascii="Calibri" w:cs="Calibri" w:eastAsia="Calibri" w:hAnsi="Calibri"/>
          <w:color w:val="1A1A1A"/>
          <w:sz w:val="20"/>
          <w:szCs w:val="20"/>
        </w:rPr>
        <w:t xml:space="preserve">PD Sheng Kui Cheong + Adeline Hiew; Admin Hayley Loh; APP Momentary Lu; BIT Terry Lim; Compliance Goh Kae Min / Ricky Hong; training via Hoong Hel / Helios Neo. Kick-off doc: [RC_PD-Research] UM Synthetic Indices; MT5UM2 country list confirms Asia-only.</w:t>
      </w:r>
    </w:p>
    <w:p>
      <w:pPr>
        <w:pStyle w:val="Heading3"/>
        <w:spacing w:after="70" w:before="160"/>
      </w:pPr>
      <w:r>
        <w:rPr>
          <w:rFonts w:ascii="Calibri" w:cs="Calibri" w:eastAsia="Calibri" w:hAnsi="Calibri"/>
          <w:b/>
          <w:bCs/>
          <w:color w:val="1F4A3F"/>
          <w:sz w:val="21"/>
          <w:szCs w:val="21"/>
        </w:rPr>
        <w:t xml:space="preserve">Project 4 — 5/24 &amp; 7/24 US-Stock Launch (new)</w:t>
      </w:r>
    </w:p>
    <w:p>
      <w:pPr>
        <w:pStyle w:val="ListParagraph"/>
        <w:numPr>
          <w:ilvl w:val="0"/>
          <w:numId w:val="2"/>
        </w:numPr>
        <w:spacing w:after="70" w:line="268"/>
      </w:pPr>
      <w:r>
        <w:rPr>
          <w:rFonts w:ascii="Calibri" w:cs="Calibri" w:eastAsia="Calibri" w:hAnsi="Calibri"/>
          <w:b/>
          <w:bCs/>
          <w:color w:val="1A1A1A"/>
          <w:sz w:val="20"/>
          <w:szCs w:val="20"/>
        </w:rPr>
        <w:t xml:space="preserve">Status: </w:t>
      </w:r>
      <w:r>
        <w:rPr>
          <w:rFonts w:ascii="Calibri" w:cs="Calibri" w:eastAsia="Calibri" w:hAnsi="Calibri"/>
          <w:color w:val="1A1A1A"/>
          <w:sz w:val="20"/>
          <w:szCs w:val="20"/>
        </w:rPr>
        <w:t xml:space="preserve">launching — 5/24 stocks (+42 names) go live 22 July; 7/24 stocks (+43 names) go live 27 July. Positioned as "most 7/24 US stocks in the CFD industry."</w:t>
      </w:r>
    </w:p>
    <w:p>
      <w:pPr>
        <w:pStyle w:val="ListParagraph"/>
        <w:numPr>
          <w:ilvl w:val="0"/>
          <w:numId w:val="2"/>
        </w:numPr>
        <w:spacing w:after="70" w:line="268"/>
      </w:pPr>
      <w:r>
        <w:rPr>
          <w:rFonts w:ascii="Calibri" w:cs="Calibri" w:eastAsia="Calibri" w:hAnsi="Calibri"/>
          <w:color w:val="1A1A1A"/>
          <w:sz w:val="20"/>
          <w:szCs w:val="20"/>
        </w:rPr>
        <w:t xml:space="preserve">Scope: </w:t>
      </w:r>
      <w:r>
        <w:rPr>
          <w:rFonts w:ascii="Calibri" w:cs="Calibri" w:eastAsia="Calibri" w:hAnsi="Calibri"/>
          <w:color w:val="1A1A1A"/>
          <w:sz w:val="20"/>
          <w:szCs w:val="20"/>
        </w:rPr>
        <w:t xml:space="preserve">5/24 = 24 hours, 5 days/week (Mon 03:00 – Fri, leverage raised 5x → 10x for competitiveness); 7/24 = 24 hours, 7 days/week. Emphasis on AI/tech names (e.g. MU, AMAT, AMD, PANW, CSCO on 5/24; SNDK, MRVL, NBIS, GLW, LITE on 7/24).</w:t>
      </w:r>
    </w:p>
    <w:p>
      <w:pPr>
        <w:pStyle w:val="ListParagraph"/>
        <w:numPr>
          <w:ilvl w:val="0"/>
          <w:numId w:val="2"/>
        </w:numPr>
        <w:spacing w:after="70" w:line="268"/>
      </w:pPr>
      <w:r>
        <w:rPr>
          <w:rFonts w:ascii="Calibri" w:cs="Calibri" w:eastAsia="Calibri" w:hAnsi="Calibri"/>
          <w:color w:val="1A1A1A"/>
          <w:sz w:val="20"/>
          <w:szCs w:val="20"/>
        </w:rPr>
        <w:t xml:space="preserve">Purpose/impact: </w:t>
      </w:r>
      <w:r>
        <w:rPr>
          <w:rFonts w:ascii="Calibri" w:cs="Calibri" w:eastAsia="Calibri" w:hAnsi="Calibri"/>
          <w:color w:val="1A1A1A"/>
          <w:sz w:val="20"/>
          <w:szCs w:val="20"/>
        </w:rPr>
        <w:t xml:space="preserve">differentiated always-on US-equity CFD coverage to attract retail flow.</w:t>
      </w:r>
    </w:p>
    <w:p>
      <w:pPr>
        <w:pStyle w:val="Heading3"/>
        <w:spacing w:after="70" w:before="160"/>
      </w:pPr>
      <w:r>
        <w:rPr>
          <w:rFonts w:ascii="Calibri" w:cs="Calibri" w:eastAsia="Calibri" w:hAnsi="Calibri"/>
          <w:b/>
          <w:bCs/>
          <w:color w:val="1F4A3F"/>
          <w:sz w:val="21"/>
          <w:szCs w:val="21"/>
        </w:rPr>
        <w:t xml:space="preserve">Loyalty Program</w:t>
      </w:r>
    </w:p>
    <w:p>
      <w:pPr>
        <w:pStyle w:val="ListParagraph"/>
        <w:numPr>
          <w:ilvl w:val="0"/>
          <w:numId w:val="2"/>
        </w:numPr>
        <w:spacing w:after="70" w:line="268"/>
      </w:pPr>
      <w:r>
        <w:rPr>
          <w:rFonts w:ascii="Calibri" w:cs="Calibri" w:eastAsia="Calibri" w:hAnsi="Calibri"/>
          <w:b/>
          <w:bCs/>
          <w:color w:val="1A1A1A"/>
          <w:sz w:val="20"/>
          <w:szCs w:val="20"/>
        </w:rPr>
        <w:t xml:space="preserve">Status: </w:t>
      </w:r>
      <w:r>
        <w:rPr>
          <w:rFonts w:ascii="Calibri" w:cs="Calibri" w:eastAsia="Calibri" w:hAnsi="Calibri"/>
          <w:color w:val="1A1A1A"/>
          <w:sz w:val="20"/>
          <w:szCs w:val="20"/>
        </w:rPr>
        <w:t xml:space="preserve">target launch 21 July 2026; 3 tiers (Standard / Low / General). Credentials + alpha environment to be shared for checking; amendments to be notified by the next day. (Also listed as part of the account-types Phase 3 build.)</w:t>
      </w:r>
    </w:p>
    <w:p>
      <w:pPr>
        <w:pStyle w:val="ListParagraph"/>
        <w:numPr>
          <w:ilvl w:val="0"/>
          <w:numId w:val="2"/>
        </w:numPr>
        <w:spacing w:after="70" w:line="268"/>
      </w:pPr>
      <w:r>
        <w:rPr>
          <w:rFonts w:ascii="Calibri" w:cs="Calibri" w:eastAsia="Calibri" w:hAnsi="Calibri"/>
          <w:color w:val="1A1A1A"/>
          <w:sz w:val="20"/>
          <w:szCs w:val="20"/>
        </w:rPr>
        <w:t xml:space="preserve">Dependency: </w:t>
      </w:r>
      <w:r>
        <w:rPr>
          <w:rFonts w:ascii="Calibri" w:cs="Calibri" w:eastAsia="Calibri" w:hAnsi="Calibri"/>
          <w:color w:val="1A1A1A"/>
          <w:sz w:val="20"/>
          <w:szCs w:val="20"/>
        </w:rPr>
        <w:t xml:space="preserve">existing cashback campaign concludes end-July to hand over. Ultimate Point + final scheme still to be confirmed.</w:t>
      </w:r>
    </w:p>
    <w:p>
      <w:pPr>
        <w:pStyle w:val="Heading3"/>
        <w:spacing w:after="70" w:before="160"/>
      </w:pPr>
      <w:r>
        <w:rPr>
          <w:rFonts w:ascii="Calibri" w:cs="Calibri" w:eastAsia="Calibri" w:hAnsi="Calibri"/>
          <w:b/>
          <w:bCs/>
          <w:color w:val="1F4A3F"/>
          <w:sz w:val="21"/>
          <w:szCs w:val="21"/>
        </w:rPr>
        <w:t xml:space="preserve">Other UMJ / bit-team items</w:t>
      </w:r>
    </w:p>
    <w:p>
      <w:pPr>
        <w:pStyle w:val="ListParagraph"/>
        <w:numPr>
          <w:ilvl w:val="0"/>
          <w:numId w:val="2"/>
        </w:numPr>
        <w:spacing w:after="70" w:line="268"/>
      </w:pPr>
      <w:r>
        <w:rPr>
          <w:rFonts w:ascii="Calibri" w:cs="Calibri" w:eastAsia="Calibri" w:hAnsi="Calibri"/>
          <w:color w:val="1A1A1A"/>
          <w:sz w:val="20"/>
          <w:szCs w:val="20"/>
        </w:rPr>
        <w:t xml:space="preserve">Japanese-language coverage across the whole Ultima platform; Ultima account landing page (mid-July target); US ETH &amp; XRP deposit development (no set timeline).</w:t>
      </w:r>
    </w:p>
    <w:p>
      <w:pPr>
        <w:pStyle w:val="ListParagraph"/>
        <w:numPr>
          <w:ilvl w:val="0"/>
          <w:numId w:val="2"/>
        </w:numPr>
        <w:spacing w:after="70" w:line="268"/>
      </w:pPr>
      <w:r>
        <w:rPr>
          <w:rFonts w:ascii="Calibri" w:cs="Calibri" w:eastAsia="Calibri" w:hAnsi="Calibri"/>
          <w:color w:val="1A1A1A"/>
          <w:sz w:val="20"/>
          <w:szCs w:val="20"/>
        </w:rPr>
        <w:t xml:space="preserve">QPay/PSP auto-routing limitation — asking the partner PSP to enhance auto-routing and allocate integration help.</w:t>
      </w:r>
    </w:p>
    <w:p>
      <w:pPr>
        <w:pStyle w:val="Heading2"/>
        <w:spacing w:after="90" w:before="220"/>
      </w:pPr>
      <w:r>
        <w:rPr>
          <w:rFonts w:ascii="Calibri" w:cs="Calibri" w:eastAsia="Calibri" w:hAnsi="Calibri"/>
          <w:b/>
          <w:bCs/>
          <w:color w:val="1A1A1A"/>
          <w:sz w:val="24"/>
          <w:szCs w:val="24"/>
        </w:rPr>
        <w:t xml:space="preserve">6.B  Planned / upcoming</w:t>
      </w:r>
    </w:p>
    <w:p>
      <w:pPr>
        <w:pStyle w:val="ListParagraph"/>
        <w:numPr>
          <w:ilvl w:val="0"/>
          <w:numId w:val="2"/>
        </w:numPr>
        <w:spacing w:after="70" w:line="268"/>
      </w:pPr>
      <w:r>
        <w:rPr>
          <w:rFonts w:ascii="Calibri" w:cs="Calibri" w:eastAsia="Calibri" w:hAnsi="Calibri"/>
          <w:b/>
          <w:bCs/>
          <w:color w:val="1A1A1A"/>
          <w:sz w:val="20"/>
          <w:szCs w:val="20"/>
        </w:rPr>
        <w:t xml:space="preserve">Account-types Phase 3 (not open): </w:t>
      </w:r>
      <w:r>
        <w:rPr>
          <w:rFonts w:ascii="Calibri" w:cs="Calibri" w:eastAsia="Calibri" w:hAnsi="Calibri"/>
          <w:color w:val="1A1A1A"/>
          <w:sz w:val="20"/>
          <w:szCs w:val="20"/>
        </w:rPr>
        <w:t xml:space="preserve">AB referral, self-affiliate IB non-refundable, unlimited/2000x leverage (optional), commission-package rules, Loyalty Program — starts after BIT finishes core development.</w:t>
      </w:r>
    </w:p>
    <w:p>
      <w:pPr>
        <w:pStyle w:val="ListParagraph"/>
        <w:numPr>
          <w:ilvl w:val="0"/>
          <w:numId w:val="2"/>
        </w:numPr>
        <w:spacing w:after="70" w:line="268"/>
      </w:pPr>
      <w:r>
        <w:rPr>
          <w:rFonts w:ascii="Calibri" w:cs="Calibri" w:eastAsia="Calibri" w:hAnsi="Calibri"/>
          <w:b/>
          <w:bCs/>
          <w:color w:val="1A1A1A"/>
          <w:sz w:val="20"/>
          <w:szCs w:val="20"/>
        </w:rPr>
        <w:t xml:space="preserve">2000x Leverage project: </w:t>
      </w:r>
      <w:r>
        <w:rPr>
          <w:rFonts w:ascii="Calibri" w:cs="Calibri" w:eastAsia="Calibri" w:hAnsi="Calibri"/>
          <w:color w:val="1A1A1A"/>
          <w:sz w:val="20"/>
          <w:szCs w:val="20"/>
        </w:rPr>
        <w:t xml:space="preserve">kicked off, waiting on BIT resources (no resources currently).</w:t>
      </w:r>
    </w:p>
    <w:p>
      <w:pPr>
        <w:pStyle w:val="ListParagraph"/>
        <w:numPr>
          <w:ilvl w:val="0"/>
          <w:numId w:val="2"/>
        </w:numPr>
        <w:spacing w:after="70" w:line="268"/>
      </w:pPr>
      <w:r>
        <w:rPr>
          <w:rFonts w:ascii="Calibri" w:cs="Calibri" w:eastAsia="Calibri" w:hAnsi="Calibri"/>
          <w:b/>
          <w:bCs/>
          <w:color w:val="1A1A1A"/>
          <w:sz w:val="20"/>
          <w:szCs w:val="20"/>
        </w:rPr>
        <w:t xml:space="preserve">Crypto Rebate — move from 100 points to by-percentage: </w:t>
      </w:r>
      <w:r>
        <w:rPr>
          <w:rFonts w:ascii="Calibri" w:cs="Calibri" w:eastAsia="Calibri" w:hAnsi="Calibri"/>
          <w:color w:val="1A1A1A"/>
          <w:sz w:val="20"/>
          <w:szCs w:val="20"/>
        </w:rPr>
        <w:t xml:space="preserve">preliminary discussions with Mr. K, OP and BIT; needs sales-supervisor sign-off. Preliminary PNL expectation provided, pending sales confirmation.</w:t>
      </w:r>
    </w:p>
    <w:p>
      <w:pPr>
        <w:pStyle w:val="ListParagraph"/>
        <w:numPr>
          <w:ilvl w:val="0"/>
          <w:numId w:val="2"/>
        </w:numPr>
        <w:spacing w:after="70" w:line="268"/>
      </w:pPr>
      <w:r>
        <w:rPr>
          <w:rFonts w:ascii="Calibri" w:cs="Calibri" w:eastAsia="Calibri" w:hAnsi="Calibri"/>
          <w:color w:val="1A1A1A"/>
          <w:sz w:val="20"/>
          <w:szCs w:val="20"/>
        </w:rPr>
        <w:t xml:space="preserve">UM Pro Account</w:t>
      </w:r>
      <w:r>
        <w:rPr>
          <w:rFonts w:ascii="Calibri" w:cs="Calibri" w:eastAsia="Calibri" w:hAnsi="Calibri"/>
          <w:color w:val="1A1A1A"/>
          <w:sz w:val="20"/>
          <w:szCs w:val="20"/>
        </w:rPr>
        <w:t xml:space="preserve"> launching soon (per Adeline).</w:t>
      </w:r>
    </w:p>
    <w:p>
      <w:pPr>
        <w:pStyle w:val="ListParagraph"/>
        <w:numPr>
          <w:ilvl w:val="0"/>
          <w:numId w:val="2"/>
        </w:numPr>
        <w:spacing w:after="70" w:line="268"/>
      </w:pPr>
      <w:r>
        <w:rPr>
          <w:rFonts w:ascii="Calibri" w:cs="Calibri" w:eastAsia="Calibri" w:hAnsi="Calibri"/>
          <w:color w:val="1A1A1A"/>
          <w:sz w:val="20"/>
          <w:szCs w:val="20"/>
        </w:rPr>
        <w:t xml:space="preserve">Ultimate Top-22 spread optimisation</w:t>
      </w:r>
      <w:r>
        <w:rPr>
          <w:rFonts w:ascii="Calibri" w:cs="Calibri" w:eastAsia="Calibri" w:hAnsi="Calibri"/>
          <w:color w:val="1A1A1A"/>
          <w:sz w:val="20"/>
          <w:szCs w:val="20"/>
        </w:rPr>
        <w:t xml:space="preserve"> — resume once the boss confirms optimisation range + rebate intensity (tentative end-July).</w:t>
      </w:r>
    </w:p>
    <w:p>
      <w:pPr>
        <w:pStyle w:val="ListParagraph"/>
        <w:numPr>
          <w:ilvl w:val="0"/>
          <w:numId w:val="2"/>
        </w:numPr>
        <w:spacing w:after="70" w:line="268"/>
      </w:pPr>
      <w:r>
        <w:rPr>
          <w:rFonts w:ascii="Calibri" w:cs="Calibri" w:eastAsia="Calibri" w:hAnsi="Calibri"/>
          <w:color w:val="1A1A1A"/>
          <w:sz w:val="20"/>
          <w:szCs w:val="20"/>
        </w:rPr>
        <w:t xml:space="preserve">UMJ Japan live-trading competition</w:t>
      </w:r>
      <w:r>
        <w:rPr>
          <w:rFonts w:ascii="Calibri" w:cs="Calibri" w:eastAsia="Calibri" w:hAnsi="Calibri"/>
          <w:color w:val="1A1A1A"/>
          <w:sz w:val="20"/>
          <w:szCs w:val="20"/>
        </w:rPr>
        <w:t xml:space="preserve"> (September, one month).</w:t>
      </w:r>
    </w:p>
    <w:p>
      <w:pPr>
        <w:pStyle w:val="ListParagraph"/>
        <w:numPr>
          <w:ilvl w:val="0"/>
          <w:numId w:val="2"/>
        </w:numPr>
        <w:spacing w:after="70" w:line="268"/>
      </w:pPr>
      <w:r>
        <w:rPr>
          <w:rFonts w:ascii="Calibri" w:cs="Calibri" w:eastAsia="Calibri" w:hAnsi="Calibri"/>
          <w:color w:val="1A1A1A"/>
          <w:sz w:val="20"/>
          <w:szCs w:val="20"/>
        </w:rPr>
        <w:t xml:space="preserve">Synthetic Indices</w:t>
      </w:r>
      <w:r>
        <w:rPr>
          <w:rFonts w:ascii="Calibri" w:cs="Calibri" w:eastAsia="Calibri" w:hAnsi="Calibri"/>
          <w:color w:val="1A1A1A"/>
          <w:sz w:val="20"/>
          <w:szCs w:val="20"/>
        </w:rPr>
        <w:t xml:space="preserve"> — resume/confirm live status; extend _SYN_ groups to avoid the customer-fallout UX blocker.</w:t>
      </w:r>
    </w:p>
    <w:p>
      <w:pPr>
        <w:pStyle w:val="Heading2"/>
        <w:spacing w:after="90" w:before="220"/>
      </w:pPr>
      <w:r>
        <w:rPr>
          <w:rFonts w:ascii="Calibri" w:cs="Calibri" w:eastAsia="Calibri" w:hAnsi="Calibri"/>
          <w:b/>
          <w:bCs/>
          <w:color w:val="1A1A1A"/>
          <w:sz w:val="24"/>
          <w:szCs w:val="24"/>
        </w:rPr>
        <w:t xml:space="preserve">6.C  Alignment with group direction</w:t>
      </w:r>
    </w:p>
    <w:p>
      <w:pPr>
        <w:spacing w:after="120" w:line="276"/>
      </w:pPr>
      <w:r>
        <w:rPr>
          <w:rFonts w:ascii="Calibri" w:cs="Calibri" w:eastAsia="Calibri" w:hAnsi="Calibri"/>
          <w:color w:val="1A1A1A"/>
          <w:sz w:val="20"/>
          <w:szCs w:val="20"/>
        </w:rPr>
        <w:t xml:space="preserve">Strongly consistent — arguably UM </w:t>
      </w:r>
      <w:r>
        <w:rPr>
          <w:rFonts w:ascii="Calibri" w:cs="Calibri" w:eastAsia="Calibri" w:hAnsi="Calibri"/>
          <w:i/>
          <w:iCs/>
          <w:color w:val="1A1A1A"/>
          <w:sz w:val="20"/>
          <w:szCs w:val="20"/>
        </w:rPr>
        <w:t xml:space="preserve">is</w:t>
      </w:r>
      <w:r>
        <w:rPr>
          <w:rFonts w:ascii="Calibri" w:cs="Calibri" w:eastAsia="Calibri" w:hAnsi="Calibri"/>
          <w:color w:val="1A1A1A"/>
          <w:sz w:val="20"/>
          <w:szCs w:val="20"/>
        </w:rPr>
        <w:t xml:space="preserve"> the group direction expressed as one brand. The stated goal is explicitly to benchmark UM against Exness (pricing-led), Synthetic Indices exists to copy Vantage's model onto UM, and the FCA project extends the group's regulated footprint. Cheong's precaution that rebate changes "will go to the entire UM in future" confirms these are brand-wide, boss-driven initiatives rather than local experiments. The main tension remains internal overlap with Vantage/VT on the shared pricing model and IB flow (Section 5); the mitigant is UM = cheaper/challenger, Vantage = premium/reference.</w:t>
      </w:r>
    </w:p>
    <w:p>
      <w:pPr>
        <w:pStyle w:val="Heading2"/>
        <w:spacing w:after="90" w:before="220"/>
      </w:pPr>
      <w:r>
        <w:rPr>
          <w:rFonts w:ascii="Calibri" w:cs="Calibri" w:eastAsia="Calibri" w:hAnsi="Calibri"/>
          <w:b/>
          <w:bCs/>
          <w:color w:val="1A1A1A"/>
          <w:sz w:val="24"/>
          <w:szCs w:val="24"/>
        </w:rPr>
        <w:t xml:space="preserve">6.D  Key personnel handover note</w:t>
      </w:r>
    </w:p>
    <w:p>
      <w:pPr>
        <w:spacing w:after="120" w:line="276"/>
      </w:pPr>
      <w:r>
        <w:rPr>
          <w:rFonts w:ascii="Calibri" w:cs="Calibri" w:eastAsia="Calibri" w:hAnsi="Calibri"/>
          <w:color w:val="1A1A1A"/>
          <w:sz w:val="20"/>
          <w:szCs w:val="20"/>
        </w:rPr>
        <w:t xml:space="preserve">These projects were previously managed by </w:t>
      </w:r>
      <w:r>
        <w:rPr>
          <w:rFonts w:ascii="Calibri" w:cs="Calibri" w:eastAsia="Calibri" w:hAnsi="Calibri"/>
          <w:b/>
          <w:bCs/>
          <w:color w:val="1A1A1A"/>
          <w:sz w:val="20"/>
          <w:szCs w:val="20"/>
        </w:rPr>
        <w:t xml:space="preserve">Cheong (Sheng Kui Cheong), who left on 26 June 2026</w:t>
      </w:r>
      <w:r>
        <w:rPr>
          <w:rFonts w:ascii="Calibri" w:cs="Calibri" w:eastAsia="Calibri" w:hAnsi="Calibri"/>
          <w:color w:val="1A1A1A"/>
          <w:sz w:val="20"/>
          <w:szCs w:val="20"/>
        </w:rPr>
        <w:t xml:space="preserve">; ownership transfers to Adam Foo (PD). Cheong's handover document is the source-of-record for the account-types, FCA, Synthetic, INF (swap/dividend/admin-fee tooling), complaint-template and reporting workflows, and is the basis for much of Sections 3, 6 and 7 here.</w:t>
      </w:r>
    </w:p>
    <w:p>
      <w:r>
        <w:br w:type="page"/>
      </w:r>
    </w:p>
    <w:p>
      <w:pPr>
        <w:pStyle w:val="Heading1"/>
        <w:spacing w:after="140" w:before="320"/>
      </w:pPr>
      <w:r>
        <w:rPr>
          <w:rFonts w:ascii="Calibri" w:cs="Calibri" w:eastAsia="Calibri" w:hAnsi="Calibri"/>
          <w:b/>
          <w:bCs/>
          <w:color w:val="1F4A3F"/>
          <w:sz w:val="30"/>
          <w:szCs w:val="30"/>
        </w:rPr>
        <w:t xml:space="preserve">7. Common Info &amp; System Entry Points</w:t>
      </w:r>
    </w:p>
    <w:p>
      <w:pPr>
        <w:spacing w:after="120" w:line="276"/>
      </w:pPr>
      <w:r>
        <w:rPr>
          <w:rFonts w:ascii="Calibri" w:cs="Calibri" w:eastAsia="Calibri" w:hAnsi="Calibri"/>
          <w:color w:val="1A1A1A"/>
          <w:sz w:val="20"/>
          <w:szCs w:val="20"/>
        </w:rPr>
        <w:t xml:space="preserve">The most-used documents, dashboards and systems, each with the window to ask when you hit a problem:</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2700"/>
        <w:gridCol w:w="3500"/>
        <w:gridCol w:w="2800"/>
      </w:tblGrid>
      <w:tr>
        <w:trPr>
          <w:tblHeader/>
        </w:trPr>
        <w:tc>
          <w:tcPr>
            <w:tcW w:type="dxa" w:w="27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Item / system</w:t>
            </w:r>
          </w:p>
        </w:tc>
        <w:tc>
          <w:tcPr>
            <w:tcW w:type="dxa" w:w="35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Use</w:t>
            </w:r>
          </w:p>
        </w:tc>
        <w:tc>
          <w:tcPr>
            <w:tcW w:type="dxa" w:w="28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Responsible window</w:t>
            </w:r>
          </w:p>
        </w:tc>
      </w:tr>
      <w:tr>
        <w:trPr>
          <w:cantSplit/>
        </w:trPr>
        <w:tc>
          <w:tcPr>
            <w:tcW w:type="dxa" w:w="2700"/>
            <w:tcMar>
              <w:top w:type="dxa" w:w="50"/>
              <w:left w:type="dxa" w:w="90"/>
              <w:bottom w:type="dxa" w:w="50"/>
              <w:right w:type="dxa" w:w="90"/>
            </w:tcMar>
          </w:tcPr>
          <w:p>
            <w:r>
              <w:rPr>
                <w:rFonts w:ascii="Calibri" w:cs="Calibri" w:eastAsia="Calibri" w:hAnsi="Calibri"/>
                <w:b/>
                <w:bCs/>
                <w:color w:val="1A1A1A"/>
                <w:sz w:val="17"/>
                <w:szCs w:val="17"/>
              </w:rPr>
              <w:t xml:space="preserve">UM Monthly Report (PowerBI-fed)</w:t>
            </w:r>
          </w:p>
        </w:tc>
        <w:tc>
          <w:tcPr>
            <w:tcW w:type="dxa" w:w="3500"/>
            <w:tcMar>
              <w:top w:type="dxa" w:w="50"/>
              <w:left w:type="dxa" w:w="90"/>
              <w:bottom w:type="dxa" w:w="50"/>
              <w:right w:type="dxa" w:w="90"/>
            </w:tcMar>
          </w:tcPr>
          <w:p>
            <w:r>
              <w:rPr>
                <w:rFonts w:ascii="Calibri" w:cs="Calibri" w:eastAsia="Calibri" w:hAnsi="Calibri"/>
                <w:b w:val="false"/>
                <w:bCs w:val="false"/>
                <w:color w:val="1A1A1A"/>
                <w:sz w:val="17"/>
                <w:szCs w:val="17"/>
              </w:rPr>
              <w:t xml:space="preserve">Volume/PNL/DPM by product &amp; country, project status</w:t>
            </w:r>
          </w:p>
        </w:tc>
        <w:tc>
          <w:tcPr>
            <w:tcW w:type="dxa" w:w="2800"/>
            <w:tcMar>
              <w:top w:type="dxa" w:w="50"/>
              <w:left w:type="dxa" w:w="90"/>
              <w:bottom w:type="dxa" w:w="50"/>
              <w:right w:type="dxa" w:w="90"/>
            </w:tcMar>
          </w:tcPr>
          <w:p>
            <w:r>
              <w:rPr>
                <w:rFonts w:ascii="Calibri" w:cs="Calibri" w:eastAsia="Calibri" w:hAnsi="Calibri"/>
                <w:b w:val="false"/>
                <w:bCs w:val="false"/>
                <w:color w:val="1A1A1A"/>
                <w:sz w:val="17"/>
                <w:szCs w:val="17"/>
              </w:rPr>
              <w:t xml:space="preserve">Product Team (Adam Foo)</w:t>
            </w:r>
          </w:p>
        </w:tc>
      </w:tr>
      <w:tr>
        <w:trPr>
          <w:cantSplit/>
        </w:trPr>
        <w:tc>
          <w:tcPr>
            <w:tcW w:type="dxa" w:w="27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PowerBI dashboards</w:t>
            </w:r>
          </w:p>
        </w:tc>
        <w:tc>
          <w:tcPr>
            <w:tcW w:type="dxa" w:w="3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RR/RFR, DPM, retail-vs-IB, per-country revenue</w:t>
            </w:r>
          </w:p>
        </w:tc>
        <w:tc>
          <w:tcPr>
            <w:tcW w:type="dxa" w:w="28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Data (Beatrice Law)</w:t>
            </w:r>
          </w:p>
        </w:tc>
      </w:tr>
      <w:tr>
        <w:trPr>
          <w:cantSplit/>
        </w:trPr>
        <w:tc>
          <w:tcPr>
            <w:tcW w:type="dxa" w:w="2700"/>
            <w:tcMar>
              <w:top w:type="dxa" w:w="50"/>
              <w:left w:type="dxa" w:w="90"/>
              <w:bottom w:type="dxa" w:w="50"/>
              <w:right w:type="dxa" w:w="90"/>
            </w:tcMar>
          </w:tcPr>
          <w:p>
            <w:r>
              <w:rPr>
                <w:rFonts w:ascii="Calibri" w:cs="Calibri" w:eastAsia="Calibri" w:hAnsi="Calibri"/>
                <w:b/>
                <w:bCs/>
                <w:color w:val="1A1A1A"/>
                <w:sz w:val="17"/>
                <w:szCs w:val="17"/>
              </w:rPr>
              <w:t xml:space="preserve">UM brand-detail / group-config sheet</w:t>
            </w:r>
          </w:p>
        </w:tc>
        <w:tc>
          <w:tcPr>
            <w:tcW w:type="dxa" w:w="3500"/>
            <w:tcMar>
              <w:top w:type="dxa" w:w="50"/>
              <w:left w:type="dxa" w:w="90"/>
              <w:bottom w:type="dxa" w:w="50"/>
              <w:right w:type="dxa" w:w="90"/>
            </w:tcMar>
          </w:tcPr>
          <w:p>
            <w:r>
              <w:rPr>
                <w:rFonts w:ascii="Calibri" w:cs="Calibri" w:eastAsia="Calibri" w:hAnsi="Calibri"/>
                <w:b w:val="false"/>
                <w:bCs w:val="false"/>
                <w:color w:val="1A1A1A"/>
                <w:sz w:val="17"/>
                <w:szCs w:val="17"/>
              </w:rPr>
              <w:t xml:space="preserve">Suffixes, group names, spread/commission/rebate by setup</w:t>
            </w:r>
          </w:p>
        </w:tc>
        <w:tc>
          <w:tcPr>
            <w:tcW w:type="dxa" w:w="2800"/>
            <w:tcMar>
              <w:top w:type="dxa" w:w="50"/>
              <w:left w:type="dxa" w:w="90"/>
              <w:bottom w:type="dxa" w:w="50"/>
              <w:right w:type="dxa" w:w="90"/>
            </w:tcMar>
          </w:tcPr>
          <w:p>
            <w:r>
              <w:rPr>
                <w:rFonts w:ascii="Calibri" w:cs="Calibri" w:eastAsia="Calibri" w:hAnsi="Calibri"/>
                <w:b w:val="false"/>
                <w:bCs w:val="false"/>
                <w:color w:val="1A1A1A"/>
                <w:sz w:val="17"/>
                <w:szCs w:val="17"/>
              </w:rPr>
              <w:t xml:space="preserve">Product Team / PE</w:t>
            </w:r>
          </w:p>
        </w:tc>
      </w:tr>
      <w:tr>
        <w:trPr>
          <w:cantSplit/>
        </w:trPr>
        <w:tc>
          <w:tcPr>
            <w:tcW w:type="dxa" w:w="27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Admin Product Specification Sheet</w:t>
            </w:r>
          </w:p>
        </w:tc>
        <w:tc>
          <w:tcPr>
            <w:tcW w:type="dxa" w:w="3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Definitive per-instrument spread/swap/stop-out/hours</w:t>
            </w:r>
          </w:p>
        </w:tc>
        <w:tc>
          <w:tcPr>
            <w:tcW w:type="dxa" w:w="28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Product Team → Admin</w:t>
            </w:r>
          </w:p>
        </w:tc>
      </w:tr>
      <w:tr>
        <w:trPr>
          <w:cantSplit/>
        </w:trPr>
        <w:tc>
          <w:tcPr>
            <w:tcW w:type="dxa" w:w="2700"/>
            <w:tcMar>
              <w:top w:type="dxa" w:w="50"/>
              <w:left w:type="dxa" w:w="90"/>
              <w:bottom w:type="dxa" w:w="50"/>
              <w:right w:type="dxa" w:w="90"/>
            </w:tcMar>
          </w:tcPr>
          <w:p>
            <w:r>
              <w:rPr>
                <w:rFonts w:ascii="Calibri" w:cs="Calibri" w:eastAsia="Calibri" w:hAnsi="Calibri"/>
                <w:b/>
                <w:bCs/>
                <w:color w:val="1A1A1A"/>
                <w:sz w:val="17"/>
                <w:szCs w:val="17"/>
              </w:rPr>
              <w:t xml:space="preserve">Databricks validation template</w:t>
            </w:r>
          </w:p>
        </w:tc>
        <w:tc>
          <w:tcPr>
            <w:tcW w:type="dxa" w:w="3500"/>
            <w:tcMar>
              <w:top w:type="dxa" w:w="50"/>
              <w:left w:type="dxa" w:w="90"/>
              <w:bottom w:type="dxa" w:w="50"/>
              <w:right w:type="dxa" w:w="90"/>
            </w:tcMar>
          </w:tcPr>
          <w:p>
            <w:r>
              <w:rPr>
                <w:rFonts w:ascii="Calibri" w:cs="Calibri" w:eastAsia="Calibri" w:hAnsi="Calibri"/>
                <w:b w:val="false"/>
                <w:bCs w:val="false"/>
                <w:color w:val="1A1A1A"/>
                <w:sz w:val="17"/>
                <w:szCs w:val="17"/>
              </w:rPr>
              <w:t xml:space="preserve">Staging config checks (Synthetic 1.0)</w:t>
            </w:r>
          </w:p>
        </w:tc>
        <w:tc>
          <w:tcPr>
            <w:tcW w:type="dxa" w:w="2800"/>
            <w:tcMar>
              <w:top w:type="dxa" w:w="50"/>
              <w:left w:type="dxa" w:w="90"/>
              <w:bottom w:type="dxa" w:w="50"/>
              <w:right w:type="dxa" w:w="90"/>
            </w:tcMar>
          </w:tcPr>
          <w:p>
            <w:r>
              <w:rPr>
                <w:rFonts w:ascii="Calibri" w:cs="Calibri" w:eastAsia="Calibri" w:hAnsi="Calibri"/>
                <w:b w:val="false"/>
                <w:bCs w:val="false"/>
                <w:color w:val="1A1A1A"/>
                <w:sz w:val="17"/>
                <w:szCs w:val="17"/>
              </w:rPr>
              <w:t xml:space="preserve">Ching Zaaw Lim (CZ)</w:t>
            </w:r>
          </w:p>
        </w:tc>
      </w:tr>
      <w:tr>
        <w:trPr>
          <w:cantSplit/>
        </w:trPr>
        <w:tc>
          <w:tcPr>
            <w:tcW w:type="dxa" w:w="27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PE synthetic group (chat)</w:t>
            </w:r>
          </w:p>
        </w:tc>
        <w:tc>
          <w:tcPr>
            <w:tcW w:type="dxa" w:w="3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Model replication, staging schedule, bad-case checks</w:t>
            </w:r>
          </w:p>
        </w:tc>
        <w:tc>
          <w:tcPr>
            <w:tcW w:type="dxa" w:w="28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Adeline Hiew / Gary Soong</w:t>
            </w:r>
          </w:p>
        </w:tc>
      </w:tr>
      <w:tr>
        <w:trPr>
          <w:cantSplit/>
        </w:trPr>
        <w:tc>
          <w:tcPr>
            <w:tcW w:type="dxa" w:w="2700"/>
            <w:tcMar>
              <w:top w:type="dxa" w:w="50"/>
              <w:left w:type="dxa" w:w="90"/>
              <w:bottom w:type="dxa" w:w="50"/>
              <w:right w:type="dxa" w:w="90"/>
            </w:tcMar>
          </w:tcPr>
          <w:p>
            <w:r>
              <w:rPr>
                <w:rFonts w:ascii="Calibri" w:cs="Calibri" w:eastAsia="Calibri" w:hAnsi="Calibri"/>
                <w:b/>
                <w:bCs/>
                <w:color w:val="1A1A1A"/>
                <w:sz w:val="17"/>
                <w:szCs w:val="17"/>
              </w:rPr>
              <w:t xml:space="preserve">Loyalty Program system + alpha env</w:t>
            </w:r>
          </w:p>
        </w:tc>
        <w:tc>
          <w:tcPr>
            <w:tcW w:type="dxa" w:w="3500"/>
            <w:tcMar>
              <w:top w:type="dxa" w:w="50"/>
              <w:left w:type="dxa" w:w="90"/>
              <w:bottom w:type="dxa" w:w="50"/>
              <w:right w:type="dxa" w:w="90"/>
            </w:tcMar>
          </w:tcPr>
          <w:p>
            <w:r>
              <w:rPr>
                <w:rFonts w:ascii="Calibri" w:cs="Calibri" w:eastAsia="Calibri" w:hAnsi="Calibri"/>
                <w:b w:val="false"/>
                <w:bCs w:val="false"/>
                <w:color w:val="1A1A1A"/>
                <w:sz w:val="17"/>
                <w:szCs w:val="17"/>
              </w:rPr>
              <w:t xml:space="preserve">Feature/design checks pre-launch</w:t>
            </w:r>
          </w:p>
        </w:tc>
        <w:tc>
          <w:tcPr>
            <w:tcW w:type="dxa" w:w="2800"/>
            <w:tcMar>
              <w:top w:type="dxa" w:w="50"/>
              <w:left w:type="dxa" w:w="90"/>
              <w:bottom w:type="dxa" w:w="50"/>
              <w:right w:type="dxa" w:w="90"/>
            </w:tcMar>
          </w:tcPr>
          <w:p>
            <w:r>
              <w:rPr>
                <w:rFonts w:ascii="Calibri" w:cs="Calibri" w:eastAsia="Calibri" w:hAnsi="Calibri"/>
                <w:b w:val="false"/>
                <w:bCs w:val="false"/>
                <w:color w:val="1A1A1A"/>
                <w:sz w:val="17"/>
                <w:szCs w:val="17"/>
              </w:rPr>
              <w:t xml:space="preserve">Terry Lim (credentials) / Product</w:t>
            </w:r>
          </w:p>
        </w:tc>
      </w:tr>
      <w:tr>
        <w:trPr>
          <w:cantSplit/>
        </w:trPr>
        <w:tc>
          <w:tcPr>
            <w:tcW w:type="dxa" w:w="27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Regulatory leverage-limit table</w:t>
            </w:r>
          </w:p>
        </w:tc>
        <w:tc>
          <w:tcPr>
            <w:tcW w:type="dxa" w:w="3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ASIC/FCA product leverage ceilings</w:t>
            </w:r>
          </w:p>
        </w:tc>
        <w:tc>
          <w:tcPr>
            <w:tcW w:type="dxa" w:w="28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Compliance (Ricky Hong)</w:t>
            </w:r>
          </w:p>
        </w:tc>
      </w:tr>
      <w:tr>
        <w:trPr>
          <w:cantSplit/>
        </w:trPr>
        <w:tc>
          <w:tcPr>
            <w:tcW w:type="dxa" w:w="2700"/>
            <w:tcMar>
              <w:top w:type="dxa" w:w="50"/>
              <w:left w:type="dxa" w:w="90"/>
              <w:bottom w:type="dxa" w:w="50"/>
              <w:right w:type="dxa" w:w="90"/>
            </w:tcMar>
          </w:tcPr>
          <w:p>
            <w:r>
              <w:rPr>
                <w:rFonts w:ascii="Calibri" w:cs="Calibri" w:eastAsia="Calibri" w:hAnsi="Calibri"/>
                <w:b/>
                <w:bCs/>
                <w:color w:val="1A1A1A"/>
                <w:sz w:val="17"/>
                <w:szCs w:val="17"/>
              </w:rPr>
              <w:t xml:space="preserve">Cheong Handover Documentation</w:t>
            </w:r>
          </w:p>
        </w:tc>
        <w:tc>
          <w:tcPr>
            <w:tcW w:type="dxa" w:w="3500"/>
            <w:tcMar>
              <w:top w:type="dxa" w:w="50"/>
              <w:left w:type="dxa" w:w="90"/>
              <w:bottom w:type="dxa" w:w="50"/>
              <w:right w:type="dxa" w:w="90"/>
            </w:tcMar>
          </w:tcPr>
          <w:p>
            <w:r>
              <w:rPr>
                <w:rFonts w:ascii="Calibri" w:cs="Calibri" w:eastAsia="Calibri" w:hAnsi="Calibri"/>
                <w:b w:val="false"/>
                <w:bCs w:val="false"/>
                <w:color w:val="1A1A1A"/>
                <w:sz w:val="17"/>
                <w:szCs w:val="17"/>
              </w:rPr>
              <w:t xml:space="preserve">FCA onshore detail</w:t>
            </w:r>
          </w:p>
        </w:tc>
        <w:tc>
          <w:tcPr>
            <w:tcW w:type="dxa" w:w="2800"/>
            <w:tcMar>
              <w:top w:type="dxa" w:w="50"/>
              <w:left w:type="dxa" w:w="90"/>
              <w:bottom w:type="dxa" w:w="50"/>
              <w:right w:type="dxa" w:w="90"/>
            </w:tcMar>
          </w:tcPr>
          <w:p>
            <w:r>
              <w:rPr>
                <w:rFonts w:ascii="Calibri" w:cs="Calibri" w:eastAsia="Calibri" w:hAnsi="Calibri"/>
                <w:b w:val="false"/>
                <w:bCs w:val="false"/>
                <w:color w:val="1A1A1A"/>
                <w:sz w:val="17"/>
                <w:szCs w:val="17"/>
              </w:rPr>
              <w:t xml:space="preserve">Compliance / PD</w:t>
            </w:r>
          </w:p>
        </w:tc>
      </w:tr>
      <w:tr>
        <w:trPr>
          <w:cantSplit/>
        </w:trPr>
        <w:tc>
          <w:tcPr>
            <w:tcW w:type="dxa" w:w="27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Risk / problem-customer checks</w:t>
            </w:r>
          </w:p>
        </w:tc>
        <w:tc>
          <w:tcPr>
            <w:tcW w:type="dxa" w:w="3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A/B-book routing, RA sign-off, abuser checks</w:t>
            </w:r>
          </w:p>
        </w:tc>
        <w:tc>
          <w:tcPr>
            <w:tcW w:type="dxa" w:w="28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Risk RA (Sharon Kuo)</w:t>
            </w:r>
          </w:p>
        </w:tc>
      </w:tr>
      <w:tr>
        <w:trPr>
          <w:cantSplit/>
        </w:trPr>
        <w:tc>
          <w:tcPr>
            <w:tcW w:type="dxa" w:w="2700"/>
            <w:tcMar>
              <w:top w:type="dxa" w:w="50"/>
              <w:left w:type="dxa" w:w="90"/>
              <w:bottom w:type="dxa" w:w="50"/>
              <w:right w:type="dxa" w:w="90"/>
            </w:tcMar>
          </w:tcPr>
          <w:p>
            <w:r>
              <w:rPr>
                <w:rFonts w:ascii="Calibri" w:cs="Calibri" w:eastAsia="Calibri" w:hAnsi="Calibri"/>
                <w:b/>
                <w:bCs/>
                <w:color w:val="1A1A1A"/>
                <w:sz w:val="17"/>
                <w:szCs w:val="17"/>
              </w:rPr>
              <w:t xml:space="preserve">CRM / IB &amp; partner portal</w:t>
            </w:r>
          </w:p>
        </w:tc>
        <w:tc>
          <w:tcPr>
            <w:tcW w:type="dxa" w:w="3500"/>
            <w:tcMar>
              <w:top w:type="dxa" w:w="50"/>
              <w:left w:type="dxa" w:w="90"/>
              <w:bottom w:type="dxa" w:w="50"/>
              <w:right w:type="dxa" w:w="90"/>
            </w:tcMar>
          </w:tcPr>
          <w:p>
            <w:r>
              <w:rPr>
                <w:rFonts w:ascii="Calibri" w:cs="Calibri" w:eastAsia="Calibri" w:hAnsi="Calibri"/>
                <w:b w:val="false"/>
                <w:bCs w:val="false"/>
                <w:color w:val="1A1A1A"/>
                <w:sz w:val="17"/>
                <w:szCs w:val="17"/>
              </w:rPr>
              <w:t xml:space="preserve">IB accounts, rebate config, client onboarding</w:t>
            </w:r>
          </w:p>
        </w:tc>
        <w:tc>
          <w:tcPr>
            <w:tcW w:type="dxa" w:w="2800"/>
            <w:tcMar>
              <w:top w:type="dxa" w:w="50"/>
              <w:left w:type="dxa" w:w="90"/>
              <w:bottom w:type="dxa" w:w="50"/>
              <w:right w:type="dxa" w:w="90"/>
            </w:tcMar>
          </w:tcPr>
          <w:p>
            <w:r>
              <w:rPr>
                <w:rFonts w:ascii="Calibri" w:cs="Calibri" w:eastAsia="Calibri" w:hAnsi="Calibri"/>
                <w:b w:val="false"/>
                <w:bCs w:val="false"/>
                <w:color w:val="1A1A1A"/>
                <w:sz w:val="17"/>
                <w:szCs w:val="17"/>
              </w:rPr>
              <w:t xml:space="preserve">Sales ops / BIT</w:t>
            </w:r>
          </w:p>
        </w:tc>
      </w:tr>
      <w:tr>
        <w:trPr>
          <w:cantSplit/>
        </w:trPr>
        <w:tc>
          <w:tcPr>
            <w:tcW w:type="dxa" w:w="27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Marketing / promotions calendar</w:t>
            </w:r>
          </w:p>
        </w:tc>
        <w:tc>
          <w:tcPr>
            <w:tcW w:type="dxa" w:w="35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Campaigns, loyalty, competitions, sponsorship</w:t>
            </w:r>
          </w:p>
        </w:tc>
        <w:tc>
          <w:tcPr>
            <w:tcW w:type="dxa" w:w="28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Judy Lam / Jairus Lim</w:t>
            </w:r>
          </w:p>
        </w:tc>
      </w:tr>
      <w:tr>
        <w:trPr>
          <w:cantSplit/>
        </w:trPr>
        <w:tc>
          <w:tcPr>
            <w:tcW w:type="dxa" w:w="2700"/>
            <w:tcMar>
              <w:top w:type="dxa" w:w="50"/>
              <w:left w:type="dxa" w:w="90"/>
              <w:bottom w:type="dxa" w:w="50"/>
              <w:right w:type="dxa" w:w="90"/>
            </w:tcMar>
          </w:tcPr>
          <w:p>
            <w:r>
              <w:rPr>
                <w:rFonts w:ascii="Calibri" w:cs="Calibri" w:eastAsia="Calibri" w:hAnsi="Calibri"/>
                <w:b/>
                <w:bCs/>
                <w:color w:val="1A1A1A"/>
                <w:sz w:val="17"/>
                <w:szCs w:val="17"/>
              </w:rPr>
              <w:t xml:space="preserve">Official sites (com / co.uk)</w:t>
            </w:r>
          </w:p>
        </w:tc>
        <w:tc>
          <w:tcPr>
            <w:tcW w:type="dxa" w:w="3500"/>
            <w:tcMar>
              <w:top w:type="dxa" w:w="50"/>
              <w:left w:type="dxa" w:w="90"/>
              <w:bottom w:type="dxa" w:w="50"/>
              <w:right w:type="dxa" w:w="90"/>
            </w:tcMar>
          </w:tcPr>
          <w:p>
            <w:r>
              <w:rPr>
                <w:rFonts w:ascii="Calibri" w:cs="Calibri" w:eastAsia="Calibri" w:hAnsi="Calibri"/>
                <w:b w:val="false"/>
                <w:bCs w:val="false"/>
                <w:color w:val="1A1A1A"/>
                <w:sz w:val="17"/>
                <w:szCs w:val="17"/>
              </w:rPr>
              <w:t xml:space="preserve">Public entity list, T&amp;Cs, IP restrictions</w:t>
            </w:r>
          </w:p>
        </w:tc>
        <w:tc>
          <w:tcPr>
            <w:tcW w:type="dxa" w:w="2800"/>
            <w:tcMar>
              <w:top w:type="dxa" w:w="50"/>
              <w:left w:type="dxa" w:w="90"/>
              <w:bottom w:type="dxa" w:w="50"/>
              <w:right w:type="dxa" w:w="90"/>
            </w:tcMar>
          </w:tcPr>
          <w:p>
            <w:r>
              <w:rPr>
                <w:rFonts w:ascii="Calibri" w:cs="Calibri" w:eastAsia="Calibri" w:hAnsi="Calibri"/>
                <w:b w:val="false"/>
                <w:bCs w:val="false"/>
                <w:color w:val="1A1A1A"/>
                <w:sz w:val="17"/>
                <w:szCs w:val="17"/>
              </w:rPr>
              <w:t xml:space="preserve">Compliance / Marketing</w:t>
            </w:r>
          </w:p>
        </w:tc>
      </w:tr>
    </w:tbl>
    <w:p>
      <w:pPr>
        <w:spacing w:after="80"/>
      </w:pPr>
    </w:p>
    <w:p>
      <w:pPr>
        <w:spacing w:after="120" w:line="276"/>
      </w:pPr>
      <w:r>
        <w:rPr>
          <w:rFonts w:ascii="Calibri" w:cs="Calibri" w:eastAsia="Calibri" w:hAnsi="Calibri"/>
          <w:b/>
          <w:bCs/>
          <w:color w:val="1A1A1A"/>
          <w:sz w:val="20"/>
          <w:szCs w:val="20"/>
        </w:rPr>
        <w:t xml:space="preserve">Rule of thumb: </w:t>
      </w:r>
      <w:r>
        <w:rPr>
          <w:rFonts w:ascii="Calibri" w:cs="Calibri" w:eastAsia="Calibri" w:hAnsi="Calibri"/>
          <w:color w:val="1A1A1A"/>
          <w:sz w:val="20"/>
          <w:szCs w:val="20"/>
        </w:rPr>
        <w:t xml:space="preserve">numbers → Data/PowerBI; product specs → Product/Admin; pricing model &amp; staging → PE; regulatory/IP → Compliance; risk/routing → RA; campaigns → Marketing.</w:t>
      </w:r>
    </w:p>
    <w:p>
      <w:pPr>
        <w:pStyle w:val="Heading2"/>
        <w:spacing w:after="90" w:before="220"/>
      </w:pPr>
      <w:r>
        <w:rPr>
          <w:rFonts w:ascii="Calibri" w:cs="Calibri" w:eastAsia="Calibri" w:hAnsi="Calibri"/>
          <w:b/>
          <w:bCs/>
          <w:color w:val="1A1A1A"/>
          <w:sz w:val="24"/>
          <w:szCs w:val="24"/>
        </w:rPr>
        <w:t xml:space="preserve">7.B  Operational tooling &amp; reporting (from Cheong handover)</w:t>
      </w:r>
    </w:p>
    <w:p>
      <w:pPr>
        <w:spacing w:after="120" w:line="276"/>
      </w:pPr>
      <w:r>
        <w:rPr>
          <w:rFonts w:ascii="Calibri" w:cs="Calibri" w:eastAsia="Calibri" w:hAnsi="Calibri"/>
          <w:color w:val="1A1A1A"/>
          <w:sz w:val="20"/>
          <w:szCs w:val="20"/>
        </w:rPr>
        <w:t xml:space="preserve">Day-to-day INF/ops workflows Cheong ran, now inherited — worth knowing where the bodies are buried:</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2500"/>
        <w:gridCol w:w="4100"/>
        <w:gridCol w:w="2400"/>
      </w:tblGrid>
      <w:tr>
        <w:trPr>
          <w:tblHeader/>
        </w:trPr>
        <w:tc>
          <w:tcPr>
            <w:tcW w:type="dxa" w:w="25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Workflow / tool</w:t>
            </w:r>
          </w:p>
        </w:tc>
        <w:tc>
          <w:tcPr>
            <w:tcW w:type="dxa" w:w="41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What it does &amp; where</w:t>
            </w:r>
          </w:p>
        </w:tc>
        <w:tc>
          <w:tcPr>
            <w:tcW w:type="dxa" w:w="24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Window</w:t>
            </w:r>
          </w:p>
        </w:tc>
      </w:tr>
      <w:tr>
        <w:trPr>
          <w:cantSplit/>
        </w:trPr>
        <w:tc>
          <w:tcPr>
            <w:tcW w:type="dxa" w:w="2500"/>
            <w:tcMar>
              <w:top w:type="dxa" w:w="50"/>
              <w:left w:type="dxa" w:w="90"/>
              <w:bottom w:type="dxa" w:w="50"/>
              <w:right w:type="dxa" w:w="90"/>
            </w:tcMar>
          </w:tcPr>
          <w:p>
            <w:r>
              <w:rPr>
                <w:rFonts w:ascii="Calibri" w:cs="Calibri" w:eastAsia="Calibri" w:hAnsi="Calibri"/>
                <w:b/>
                <w:bCs/>
                <w:color w:val="1A1A1A"/>
                <w:sz w:val="17"/>
                <w:szCs w:val="17"/>
              </w:rPr>
              <w:t xml:space="preserve">Monthly report (Databricks/PowerBI)</w:t>
            </w:r>
          </w:p>
        </w:tc>
        <w:tc>
          <w:tcPr>
            <w:tcW w:type="dxa" w:w="4100"/>
            <w:tcMar>
              <w:top w:type="dxa" w:w="50"/>
              <w:left w:type="dxa" w:w="90"/>
              <w:bottom w:type="dxa" w:w="50"/>
              <w:right w:type="dxa" w:w="90"/>
            </w:tcMar>
          </w:tcPr>
          <w:p>
            <w:r>
              <w:rPr>
                <w:rFonts w:ascii="Calibri" w:cs="Calibri" w:eastAsia="Calibri" w:hAnsi="Calibri"/>
                <w:b w:val="false"/>
                <w:bCs w:val="false"/>
                <w:color w:val="1A1A1A"/>
                <w:sz w:val="17"/>
                <w:szCs w:val="17"/>
              </w:rPr>
              <w:t xml:space="preserve">platinum.risk.symbol_report_login; query by brand/symbol/PNL. "UM 月报模板" replaces the Excel template</w:t>
            </w:r>
          </w:p>
        </w:tc>
        <w:tc>
          <w:tcPr>
            <w:tcW w:type="dxa" w:w="2400"/>
            <w:tcMar>
              <w:top w:type="dxa" w:w="50"/>
              <w:left w:type="dxa" w:w="90"/>
              <w:bottom w:type="dxa" w:w="50"/>
              <w:right w:type="dxa" w:w="90"/>
            </w:tcMar>
          </w:tcPr>
          <w:p>
            <w:r>
              <w:rPr>
                <w:rFonts w:ascii="Calibri" w:cs="Calibri" w:eastAsia="Calibri" w:hAnsi="Calibri"/>
                <w:b w:val="false"/>
                <w:bCs w:val="false"/>
                <w:color w:val="1A1A1A"/>
                <w:sz w:val="17"/>
                <w:szCs w:val="17"/>
              </w:rPr>
              <w:t xml:space="preserve">PD (Adam) / Data</w:t>
            </w:r>
          </w:p>
        </w:tc>
      </w:tr>
      <w:tr>
        <w:trPr>
          <w:cantSplit/>
        </w:trPr>
        <w:tc>
          <w:tcPr>
            <w:tcW w:type="dxa" w:w="25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Toxic-customer review</w:t>
            </w:r>
          </w:p>
        </w:tc>
        <w:tc>
          <w:tcPr>
            <w:tcW w:type="dxa" w:w="41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PNL-issue / high-volume-symbol query, sorted by net_company_pnl ASC</w:t>
            </w:r>
          </w:p>
        </w:tc>
        <w:tc>
          <w:tcPr>
            <w:tcW w:type="dxa" w:w="2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RA — Sharon Kuo (UM)</w:t>
            </w:r>
          </w:p>
        </w:tc>
      </w:tr>
      <w:tr>
        <w:trPr>
          <w:cantSplit/>
        </w:trPr>
        <w:tc>
          <w:tcPr>
            <w:tcW w:type="dxa" w:w="2500"/>
            <w:tcMar>
              <w:top w:type="dxa" w:w="50"/>
              <w:left w:type="dxa" w:w="90"/>
              <w:bottom w:type="dxa" w:w="50"/>
              <w:right w:type="dxa" w:w="90"/>
            </w:tcMar>
          </w:tcPr>
          <w:p>
            <w:r>
              <w:rPr>
                <w:rFonts w:ascii="Calibri" w:cs="Calibri" w:eastAsia="Calibri" w:hAnsi="Calibri"/>
                <w:b/>
                <w:bCs/>
                <w:color w:val="1A1A1A"/>
                <w:sz w:val="17"/>
                <w:szCs w:val="17"/>
              </w:rPr>
              <w:t xml:space="preserve">Dividend / Weekend-Swap / Admin-Fee checks</w:t>
            </w:r>
          </w:p>
        </w:tc>
        <w:tc>
          <w:tcPr>
            <w:tcW w:type="dxa" w:w="4100"/>
            <w:tcMar>
              <w:top w:type="dxa" w:w="50"/>
              <w:left w:type="dxa" w:w="90"/>
              <w:bottom w:type="dxa" w:w="50"/>
              <w:right w:type="dxa" w:w="90"/>
            </w:tcMar>
          </w:tcPr>
          <w:p>
            <w:r>
              <w:rPr>
                <w:rFonts w:ascii="Calibri" w:cs="Calibri" w:eastAsia="Calibri" w:hAnsi="Calibri"/>
                <w:b w:val="false"/>
                <w:bCs w:val="false"/>
                <w:color w:val="1A1A1A"/>
                <w:sz w:val="17"/>
                <w:szCs w:val="17"/>
              </w:rPr>
              <w:t xml:space="preserve">Daily INF alarm (Insight PD Routine Tools Check bot); DBeaver + MT5-HK sync library SQL per server</w:t>
            </w:r>
          </w:p>
        </w:tc>
        <w:tc>
          <w:tcPr>
            <w:tcW w:type="dxa" w:w="2400"/>
            <w:tcMar>
              <w:top w:type="dxa" w:w="50"/>
              <w:left w:type="dxa" w:w="90"/>
              <w:bottom w:type="dxa" w:w="50"/>
              <w:right w:type="dxa" w:w="90"/>
            </w:tcMar>
          </w:tcPr>
          <w:p>
            <w:r>
              <w:rPr>
                <w:rFonts w:ascii="Calibri" w:cs="Calibri" w:eastAsia="Calibri" w:hAnsi="Calibri"/>
                <w:b w:val="false"/>
                <w:bCs w:val="false"/>
                <w:color w:val="1A1A1A"/>
                <w:sz w:val="17"/>
                <w:szCs w:val="17"/>
              </w:rPr>
              <w:t xml:space="preserve">IT — Link Chen / Selina Wu; DB Ray Chiang</w:t>
            </w:r>
          </w:p>
        </w:tc>
      </w:tr>
      <w:tr>
        <w:trPr>
          <w:cantSplit/>
        </w:trPr>
        <w:tc>
          <w:tcPr>
            <w:tcW w:type="dxa" w:w="25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Swap / dividend / admin-fee templates</w:t>
            </w:r>
          </w:p>
        </w:tc>
        <w:tc>
          <w:tcPr>
            <w:tcW w:type="dxa" w:w="41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dividend_check, charging tool, Synth Indices, Weekend Swap Sat/Sun .xlsx; code zips (MT4/MT5)</w:t>
            </w:r>
          </w:p>
        </w:tc>
        <w:tc>
          <w:tcPr>
            <w:tcW w:type="dxa" w:w="2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PD Knowledge Base</w:t>
            </w:r>
          </w:p>
        </w:tc>
      </w:tr>
      <w:tr>
        <w:trPr>
          <w:cantSplit/>
        </w:trPr>
        <w:tc>
          <w:tcPr>
            <w:tcW w:type="dxa" w:w="2500"/>
            <w:tcMar>
              <w:top w:type="dxa" w:w="50"/>
              <w:left w:type="dxa" w:w="90"/>
              <w:bottom w:type="dxa" w:w="50"/>
              <w:right w:type="dxa" w:w="90"/>
            </w:tcMar>
          </w:tcPr>
          <w:p>
            <w:r>
              <w:rPr>
                <w:rFonts w:ascii="Calibri" w:cs="Calibri" w:eastAsia="Calibri" w:hAnsi="Calibri"/>
                <w:b/>
                <w:bCs/>
                <w:color w:val="1A1A1A"/>
                <w:sz w:val="17"/>
                <w:szCs w:val="17"/>
              </w:rPr>
              <w:t xml:space="preserve">Complaint / compensation templates</w:t>
            </w:r>
          </w:p>
        </w:tc>
        <w:tc>
          <w:tcPr>
            <w:tcW w:type="dxa" w:w="4100"/>
            <w:tcMar>
              <w:top w:type="dxa" w:w="50"/>
              <w:left w:type="dxa" w:w="90"/>
              <w:bottom w:type="dxa" w:w="50"/>
              <w:right w:type="dxa" w:w="90"/>
            </w:tcMar>
          </w:tcPr>
          <w:p>
            <w:r>
              <w:rPr>
                <w:rFonts w:ascii="Calibri" w:cs="Calibri" w:eastAsia="Calibri" w:hAnsi="Calibri"/>
                <w:b w:val="false"/>
                <w:bCs w:val="false"/>
                <w:color w:val="1A1A1A"/>
                <w:sz w:val="17"/>
                <w:szCs w:val="17"/>
              </w:rPr>
              <w:t xml:space="preserve">Fllw, Template Complaint, Admin Fee, Swap Check .xlsx — Prov/Fllw login, PositionID→Ticket, GROUP CCY EXRATE + ACTUAL PNL</w:t>
            </w:r>
          </w:p>
        </w:tc>
        <w:tc>
          <w:tcPr>
            <w:tcW w:type="dxa" w:w="2400"/>
            <w:tcMar>
              <w:top w:type="dxa" w:w="50"/>
              <w:left w:type="dxa" w:w="90"/>
              <w:bottom w:type="dxa" w:w="50"/>
              <w:right w:type="dxa" w:w="90"/>
            </w:tcMar>
          </w:tcPr>
          <w:p>
            <w:r>
              <w:rPr>
                <w:rFonts w:ascii="Calibri" w:cs="Calibri" w:eastAsia="Calibri" w:hAnsi="Calibri"/>
                <w:b w:val="false"/>
                <w:bCs w:val="false"/>
                <w:color w:val="1A1A1A"/>
                <w:sz w:val="17"/>
                <w:szCs w:val="17"/>
              </w:rPr>
              <w:t xml:space="preserve">PD / TR</w:t>
            </w:r>
          </w:p>
        </w:tc>
      </w:tr>
      <w:tr>
        <w:trPr>
          <w:cantSplit/>
        </w:trPr>
        <w:tc>
          <w:tcPr>
            <w:tcW w:type="dxa" w:w="25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INF Disable List</w:t>
            </w:r>
          </w:p>
        </w:tc>
        <w:tc>
          <w:tcPr>
            <w:tcW w:type="dxa" w:w="41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Which tools disabled on which INF/Live servers (Admin-fee, Dividend, Cashback)</w:t>
            </w:r>
          </w:p>
        </w:tc>
        <w:tc>
          <w:tcPr>
            <w:tcW w:type="dxa" w:w="24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INF Admin — Yi Long Saw</w:t>
            </w:r>
          </w:p>
        </w:tc>
      </w:tr>
      <w:tr>
        <w:trPr>
          <w:cantSplit/>
        </w:trPr>
        <w:tc>
          <w:tcPr>
            <w:tcW w:type="dxa" w:w="2500"/>
            <w:tcMar>
              <w:top w:type="dxa" w:w="50"/>
              <w:left w:type="dxa" w:w="90"/>
              <w:bottom w:type="dxa" w:w="50"/>
              <w:right w:type="dxa" w:w="90"/>
            </w:tcMar>
          </w:tcPr>
          <w:p>
            <w:r>
              <w:rPr>
                <w:rFonts w:ascii="Calibri" w:cs="Calibri" w:eastAsia="Calibri" w:hAnsi="Calibri"/>
                <w:b/>
                <w:bCs/>
                <w:color w:val="1A1A1A"/>
                <w:sz w:val="17"/>
                <w:szCs w:val="17"/>
              </w:rPr>
              <w:t xml:space="preserve">MT5 sync library</w:t>
            </w:r>
          </w:p>
        </w:tc>
        <w:tc>
          <w:tcPr>
            <w:tcW w:type="dxa" w:w="4100"/>
            <w:tcMar>
              <w:top w:type="dxa" w:w="50"/>
              <w:left w:type="dxa" w:w="90"/>
              <w:bottom w:type="dxa" w:w="50"/>
              <w:right w:type="dxa" w:w="90"/>
            </w:tcMar>
          </w:tcPr>
          <w:p>
            <w:r>
              <w:rPr>
                <w:rFonts w:ascii="Calibri" w:cs="Calibri" w:eastAsia="Calibri" w:hAnsi="Calibri"/>
                <w:b w:val="false"/>
                <w:bCs w:val="false"/>
                <w:color w:val="1A1A1A"/>
                <w:sz w:val="17"/>
                <w:szCs w:val="17"/>
              </w:rPr>
              <w:t xml:space="preserve">MT5-HK library (+ New MT5 SG); MT5 has no sync lib, query server-by-server (now automated)</w:t>
            </w:r>
          </w:p>
        </w:tc>
        <w:tc>
          <w:tcPr>
            <w:tcW w:type="dxa" w:w="2400"/>
            <w:tcMar>
              <w:top w:type="dxa" w:w="50"/>
              <w:left w:type="dxa" w:w="90"/>
              <w:bottom w:type="dxa" w:w="50"/>
              <w:right w:type="dxa" w:w="90"/>
            </w:tcMar>
          </w:tcPr>
          <w:p>
            <w:r>
              <w:rPr>
                <w:rFonts w:ascii="Calibri" w:cs="Calibri" w:eastAsia="Calibri" w:hAnsi="Calibri"/>
                <w:b w:val="false"/>
                <w:bCs w:val="false"/>
                <w:color w:val="1A1A1A"/>
                <w:sz w:val="17"/>
                <w:szCs w:val="17"/>
              </w:rPr>
              <w:t xml:space="preserve">IT / Selina</w:t>
            </w:r>
          </w:p>
        </w:tc>
      </w:tr>
    </w:tbl>
    <w:p>
      <w:pPr>
        <w:spacing w:after="80"/>
      </w:pPr>
    </w:p>
    <w:p>
      <w:pPr>
        <w:spacing w:after="120" w:line="276"/>
      </w:pPr>
      <w:r>
        <w:rPr>
          <w:rFonts w:ascii="Calibri" w:cs="Calibri" w:eastAsia="Calibri" w:hAnsi="Calibri"/>
          <w:b/>
          <w:bCs/>
          <w:color w:val="1A1A1A"/>
          <w:sz w:val="20"/>
          <w:szCs w:val="20"/>
        </w:rPr>
        <w:t xml:space="preserve">Key Lark groups: </w:t>
      </w:r>
      <w:r>
        <w:rPr>
          <w:rFonts w:ascii="Calibri" w:cs="Calibri" w:eastAsia="Calibri" w:hAnsi="Calibri"/>
          <w:color w:val="1A1A1A"/>
          <w:sz w:val="20"/>
          <w:szCs w:val="20"/>
        </w:rPr>
        <w:t xml:space="preserve">"UM BIT RC Exness" (PD/BIT release scheduling for Ultimate + Synthetic); "UM Launch to the Future" (weekly Exness meeting + summary, all back-end depts); "FCA backend preparation" (weekly FCA meeting, suspended post-Phase-1); PD Insight Alarm / Swap anomaly / Synchronization Library groups for IT troubleshooting.</w:t>
      </w:r>
    </w:p>
    <w:p>
      <w:pPr>
        <w:spacing w:after="120" w:line="276"/>
      </w:pPr>
      <w:r>
        <w:rPr>
          <w:rFonts w:ascii="Calibri" w:cs="Calibri" w:eastAsia="Calibri" w:hAnsi="Calibri"/>
          <w:b/>
          <w:bCs/>
          <w:color w:val="1A1A1A"/>
          <w:sz w:val="20"/>
          <w:szCs w:val="20"/>
        </w:rPr>
        <w:t xml:space="preserve">Named research docs: </w:t>
      </w:r>
      <w:r>
        <w:rPr>
          <w:rFonts w:ascii="Calibri" w:cs="Calibri" w:eastAsia="Calibri" w:hAnsi="Calibri"/>
          <w:color w:val="1A1A1A"/>
          <w:sz w:val="20"/>
          <w:szCs w:val="20"/>
        </w:rPr>
        <w:t xml:space="preserve">[RC_PD-Research] UM vs Exness Net Cost Comparison; [RC_PD-Research] UM Exness (process/contacts); UM Estimate Net Company PNL (PBI); [RC_PD-Research] UM Synthetic Indices; UM Commission Table (STP+ECN) [REGULAR][General.HKD.JPY] 20250723.xlsx; UM FCA Symbol Details.</w:t>
      </w:r>
    </w:p>
    <w:p>
      <w:pPr>
        <w:pStyle w:val="Heading2"/>
        <w:spacing w:after="90" w:before="220"/>
      </w:pPr>
      <w:r>
        <w:rPr>
          <w:rFonts w:ascii="Calibri" w:cs="Calibri" w:eastAsia="Calibri" w:hAnsi="Calibri"/>
          <w:b/>
          <w:bCs/>
          <w:color w:val="1A1A1A"/>
          <w:sz w:val="24"/>
          <w:szCs w:val="24"/>
        </w:rPr>
        <w:t xml:space="preserve">7.C  Live ops risk episode — XAUUSD.m delisting (worked example)</w:t>
      </w:r>
    </w:p>
    <w:p>
      <w:pPr>
        <w:spacing w:after="120" w:line="276"/>
      </w:pPr>
      <w:r>
        <w:rPr>
          <w:rFonts w:ascii="Calibri" w:cs="Calibri" w:eastAsia="Calibri" w:hAnsi="Calibri"/>
          <w:color w:val="1A1A1A"/>
          <w:sz w:val="20"/>
          <w:szCs w:val="20"/>
        </w:rPr>
        <w:t xml:space="preserve">A concrete illustration of how the metals book and the risk desk interact, from the handover: MiniGold </w:t>
      </w:r>
      <w:r>
        <w:rPr>
          <w:rFonts w:ascii="Calibri" w:cs="Calibri" w:eastAsia="Calibri" w:hAnsi="Calibri"/>
          <w:b/>
          <w:bCs/>
          <w:color w:val="1A1A1A"/>
          <w:sz w:val="20"/>
          <w:szCs w:val="20"/>
        </w:rPr>
        <w:t xml:space="preserve">XAUUSD.m / XAUUSD.m+ was delisted effective 6 July 2026</w:t>
      </w:r>
      <w:r>
        <w:rPr>
          <w:rFonts w:ascii="Calibri" w:cs="Calibri" w:eastAsia="Calibri" w:hAnsi="Calibri"/>
          <w:color w:val="1A1A1A"/>
          <w:sz w:val="20"/>
          <w:szCs w:val="20"/>
        </w:rPr>
        <w:t xml:space="preserve"> (Ticket #SR-1036008). Sequence: 0622 Moe Padhani buffer request, Close-Only deferred → 0701 capture all XAUUSD.m positions, notify TR → 0703 EoW use EoD price to force-flatten client positioning → 0706 Monday reminder taken offline. Marketing had to mark the 0703 EoW strong-flat positioning and remove the symbol so clients couldn't argue that a 0706 strong-flat caused weekend liquidation needing compensation. Take-away: product delisting on the core gold book is a coordinated PD/TR/Admin/RA operation with real compensation exposure if mishandled.</w:t>
      </w:r>
    </w:p>
    <w:p>
      <w:r>
        <w:br w:type="page"/>
      </w:r>
    </w:p>
    <w:p>
      <w:pPr>
        <w:pStyle w:val="Heading1"/>
        <w:spacing w:after="140" w:before="320"/>
      </w:pPr>
      <w:r>
        <w:rPr>
          <w:rFonts w:ascii="Calibri" w:cs="Calibri" w:eastAsia="Calibri" w:hAnsi="Calibri"/>
          <w:b/>
          <w:bCs/>
          <w:color w:val="1F4A3F"/>
          <w:sz w:val="30"/>
          <w:szCs w:val="30"/>
        </w:rPr>
        <w:t xml:space="preserve">8. Other — Risk Flags &amp; Opportunities</w:t>
      </w:r>
    </w:p>
    <w:p>
      <w:pPr>
        <w:pStyle w:val="Heading3"/>
        <w:spacing w:after="70" w:before="160"/>
      </w:pPr>
      <w:r>
        <w:rPr>
          <w:rFonts w:ascii="Calibri" w:cs="Calibri" w:eastAsia="Calibri" w:hAnsi="Calibri"/>
          <w:b/>
          <w:bCs/>
          <w:color w:val="1F4A3F"/>
          <w:sz w:val="21"/>
          <w:szCs w:val="21"/>
        </w:rPr>
        <w:t xml:space="preserve">Risk flags</w:t>
      </w:r>
    </w:p>
    <w:p>
      <w:pPr>
        <w:pStyle w:val="ListParagraph"/>
        <w:numPr>
          <w:ilvl w:val="0"/>
          <w:numId w:val="2"/>
        </w:numPr>
        <w:spacing w:after="70" w:line="268"/>
      </w:pPr>
      <w:r>
        <w:rPr>
          <w:rFonts w:ascii="Calibri" w:cs="Calibri" w:eastAsia="Calibri" w:hAnsi="Calibri"/>
          <w:b/>
          <w:bCs/>
          <w:color w:val="1A1A1A"/>
          <w:sz w:val="20"/>
          <w:szCs w:val="20"/>
        </w:rPr>
        <w:t xml:space="preserve">Extreme metals concentration.</w:t>
      </w:r>
      <w:r>
        <w:rPr>
          <w:rFonts w:ascii="Calibri" w:cs="Calibri" w:eastAsia="Calibri" w:hAnsi="Calibri"/>
          <w:color w:val="1A1A1A"/>
          <w:sz w:val="20"/>
          <w:szCs w:val="20"/>
        </w:rPr>
        <w:t xml:space="preserve"> ~92% of volume and ~93% of PNL in metals means UM's earnings live and die with gold volatility and client positioning; a benign, trending gold market would compress spread monetisation.</w:t>
      </w:r>
    </w:p>
    <w:p>
      <w:pPr>
        <w:pStyle w:val="ListParagraph"/>
        <w:numPr>
          <w:ilvl w:val="0"/>
          <w:numId w:val="2"/>
        </w:numPr>
        <w:spacing w:after="70" w:line="268"/>
      </w:pPr>
      <w:r>
        <w:rPr>
          <w:rFonts w:ascii="Calibri" w:cs="Calibri" w:eastAsia="Calibri" w:hAnsi="Calibri"/>
          <w:b/>
          <w:bCs/>
          <w:color w:val="1A1A1A"/>
          <w:sz w:val="20"/>
          <w:szCs w:val="20"/>
        </w:rPr>
        <w:t xml:space="preserve">Forex tail risk + rebate over-return.</w:t>
      </w:r>
      <w:r>
        <w:rPr>
          <w:rFonts w:ascii="Calibri" w:cs="Calibri" w:eastAsia="Calibri" w:hAnsi="Calibri"/>
          <w:color w:val="1A1A1A"/>
          <w:sz w:val="20"/>
          <w:szCs w:val="20"/>
        </w:rPr>
        <w:t xml:space="preserve"> June forex swung to a loss (PNL -971% MoM), Risk-Revenue-driven and concentrated in AUDCAD/EURUSD/GBPUSD. On EURUSD, IB Rebate (49% of RFR) and CPA (83% of RFR) together over-returned ~32% of RFR — a rebate-economics issue on the majors, not just a directional risk-book loss (see net-cost analysis, Section 3.B).</w:t>
      </w:r>
    </w:p>
    <w:p>
      <w:pPr>
        <w:pStyle w:val="ListParagraph"/>
        <w:numPr>
          <w:ilvl w:val="0"/>
          <w:numId w:val="2"/>
        </w:numPr>
        <w:spacing w:after="70" w:line="268"/>
      </w:pPr>
      <w:r>
        <w:rPr>
          <w:rFonts w:ascii="Calibri" w:cs="Calibri" w:eastAsia="Calibri" w:hAnsi="Calibri"/>
          <w:b/>
          <w:bCs/>
          <w:color w:val="1A1A1A"/>
          <w:sz w:val="20"/>
          <w:szCs w:val="20"/>
        </w:rPr>
        <w:t xml:space="preserve">Thin structural margin (low RFR).</w:t>
      </w:r>
      <w:r>
        <w:rPr>
          <w:rFonts w:ascii="Calibri" w:cs="Calibri" w:eastAsia="Calibri" w:hAnsi="Calibri"/>
          <w:color w:val="1A1A1A"/>
          <w:sz w:val="20"/>
          <w:szCs w:val="20"/>
        </w:rPr>
        <w:t xml:space="preserve"> The low-spread positioning keeps Net RFR DPM below V Brand (24 vs 31); earnings quality leans on volatile Risk Revenue. Quantify with the PowerBI RR:RFR cut.</w:t>
      </w:r>
    </w:p>
    <w:p>
      <w:pPr>
        <w:pStyle w:val="ListParagraph"/>
        <w:numPr>
          <w:ilvl w:val="0"/>
          <w:numId w:val="2"/>
        </w:numPr>
        <w:spacing w:after="70" w:line="268"/>
      </w:pPr>
      <w:r>
        <w:rPr>
          <w:rFonts w:ascii="Calibri" w:cs="Calibri" w:eastAsia="Calibri" w:hAnsi="Calibri"/>
          <w:b/>
          <w:bCs/>
          <w:color w:val="1A1A1A"/>
          <w:sz w:val="20"/>
          <w:szCs w:val="20"/>
        </w:rPr>
        <w:t xml:space="preserve">Internal cannibalisation with Vantage/VT.</w:t>
      </w:r>
      <w:r>
        <w:rPr>
          <w:rFonts w:ascii="Calibri" w:cs="Calibri" w:eastAsia="Calibri" w:hAnsi="Calibri"/>
          <w:color w:val="1A1A1A"/>
          <w:sz w:val="20"/>
          <w:szCs w:val="20"/>
        </w:rPr>
        <w:t xml:space="preserve"> Shared pricing model + IB targeting in overlapping geographies.</w:t>
      </w:r>
    </w:p>
    <w:p>
      <w:pPr>
        <w:pStyle w:val="ListParagraph"/>
        <w:numPr>
          <w:ilvl w:val="0"/>
          <w:numId w:val="2"/>
        </w:numPr>
        <w:spacing w:after="70" w:line="268"/>
      </w:pPr>
      <w:r>
        <w:rPr>
          <w:rFonts w:ascii="Calibri" w:cs="Calibri" w:eastAsia="Calibri" w:hAnsi="Calibri"/>
          <w:b/>
          <w:bCs/>
          <w:color w:val="1A1A1A"/>
          <w:sz w:val="20"/>
          <w:szCs w:val="20"/>
        </w:rPr>
        <w:t xml:space="preserve">FCA Phase 2 execution risk.</w:t>
      </w:r>
      <w:r>
        <w:rPr>
          <w:rFonts w:ascii="Calibri" w:cs="Calibri" w:eastAsia="Calibri" w:hAnsi="Calibri"/>
          <w:color w:val="1A1A1A"/>
          <w:sz w:val="20"/>
          <w:szCs w:val="20"/>
        </w:rPr>
        <w:t xml:space="preserve"> Depends on persuading the regulator to switch LP to FinPrime — a compliance-led, uncertain step. Externally, the FCA entity still isn't onboarding UK clients (target 2026), so the licence is a credibility asset before it is a revenue one.</w:t>
      </w:r>
    </w:p>
    <w:p>
      <w:pPr>
        <w:pStyle w:val="ListParagraph"/>
        <w:numPr>
          <w:ilvl w:val="0"/>
          <w:numId w:val="2"/>
        </w:numPr>
        <w:spacing w:after="70" w:line="268"/>
      </w:pPr>
      <w:r>
        <w:rPr>
          <w:rFonts w:ascii="Calibri" w:cs="Calibri" w:eastAsia="Calibri" w:hAnsi="Calibri"/>
          <w:b/>
          <w:bCs/>
          <w:color w:val="1A1A1A"/>
          <w:sz w:val="20"/>
          <w:szCs w:val="20"/>
        </w:rPr>
        <w:t xml:space="preserve">Brand impersonation / clone risk.</w:t>
      </w:r>
      <w:r>
        <w:rPr>
          <w:rFonts w:ascii="Calibri" w:cs="Calibri" w:eastAsia="Calibri" w:hAnsi="Calibri"/>
          <w:color w:val="1A1A1A"/>
          <w:sz w:val="20"/>
          <w:szCs w:val="20"/>
        </w:rPr>
        <w:t xml:space="preserve"> A Russian offshore broker (BCS Markets) rebranded to "Ultima Markets" in 2025; WikiFX carries a clone-firm flag on one profile. Reputational and client-safety exposure; legal recourse stated but resolution status unconfirmed.</w:t>
      </w:r>
    </w:p>
    <w:p>
      <w:pPr>
        <w:pStyle w:val="ListParagraph"/>
        <w:numPr>
          <w:ilvl w:val="0"/>
          <w:numId w:val="2"/>
        </w:numPr>
        <w:spacing w:after="70" w:line="268"/>
      </w:pPr>
      <w:r>
        <w:rPr>
          <w:rFonts w:ascii="Calibri" w:cs="Calibri" w:eastAsia="Calibri" w:hAnsi="Calibri"/>
          <w:b/>
          <w:bCs/>
          <w:color w:val="1A1A1A"/>
          <w:sz w:val="20"/>
          <w:szCs w:val="20"/>
        </w:rPr>
        <w:t xml:space="preserve">Gold-book operational / compensation risk.</w:t>
      </w:r>
      <w:r>
        <w:rPr>
          <w:rFonts w:ascii="Calibri" w:cs="Calibri" w:eastAsia="Calibri" w:hAnsi="Calibri"/>
          <w:color w:val="1A1A1A"/>
          <w:sz w:val="20"/>
          <w:szCs w:val="20"/>
        </w:rPr>
        <w:t xml:space="preserve"> The XAUUSD.m delisting (Jul 2026, #SR-1036008) shows that product changes on the concentrated gold book require carefully sequenced flat-and-notify steps across PD/TR/Admin/RA; mishandling creates client-compensation claims on weekend positioning. High-frequency risk given metals dominance.</w:t>
      </w:r>
    </w:p>
    <w:p>
      <w:pPr>
        <w:pStyle w:val="ListParagraph"/>
        <w:numPr>
          <w:ilvl w:val="0"/>
          <w:numId w:val="2"/>
        </w:numPr>
        <w:spacing w:after="70" w:line="268"/>
      </w:pPr>
      <w:r>
        <w:rPr>
          <w:rFonts w:ascii="Calibri" w:cs="Calibri" w:eastAsia="Calibri" w:hAnsi="Calibri"/>
          <w:b/>
          <w:bCs/>
          <w:color w:val="1A1A1A"/>
          <w:sz w:val="20"/>
          <w:szCs w:val="20"/>
        </w:rPr>
        <w:t xml:space="preserve">Key-person / handover risk.</w:t>
      </w:r>
      <w:r>
        <w:rPr>
          <w:rFonts w:ascii="Calibri" w:cs="Calibri" w:eastAsia="Calibri" w:hAnsi="Calibri"/>
          <w:color w:val="1A1A1A"/>
          <w:sz w:val="20"/>
          <w:szCs w:val="20"/>
        </w:rPr>
        <w:t xml:space="preserve"> Core UM project knowledge sat with Cheong, who left 26 Jun 2026; continuity depends on the handover doc and Adam Foo's ramp-up. Several items (Top-22 scope, synthetic rebate %) still need boss/PD confirmation.</w:t>
      </w:r>
    </w:p>
    <w:p>
      <w:pPr>
        <w:pStyle w:val="Heading3"/>
        <w:spacing w:after="70" w:before="160"/>
      </w:pPr>
      <w:r>
        <w:rPr>
          <w:rFonts w:ascii="Calibri" w:cs="Calibri" w:eastAsia="Calibri" w:hAnsi="Calibri"/>
          <w:b/>
          <w:bCs/>
          <w:color w:val="1F4A3F"/>
          <w:sz w:val="21"/>
          <w:szCs w:val="21"/>
        </w:rPr>
        <w:t xml:space="preserve">Opportunities</w:t>
      </w:r>
    </w:p>
    <w:p>
      <w:pPr>
        <w:pStyle w:val="ListParagraph"/>
        <w:numPr>
          <w:ilvl w:val="0"/>
          <w:numId w:val="2"/>
        </w:numPr>
        <w:spacing w:after="70" w:line="268"/>
      </w:pPr>
      <w:r>
        <w:rPr>
          <w:rFonts w:ascii="Calibri" w:cs="Calibri" w:eastAsia="Calibri" w:hAnsi="Calibri"/>
          <w:b/>
          <w:bCs/>
          <w:color w:val="1A1A1A"/>
          <w:sz w:val="20"/>
          <w:szCs w:val="20"/>
        </w:rPr>
        <w:t xml:space="preserve">Crypto margin efficiency.</w:t>
      </w:r>
      <w:r>
        <w:rPr>
          <w:rFonts w:ascii="Calibri" w:cs="Calibri" w:eastAsia="Calibri" w:hAnsi="Calibri"/>
          <w:color w:val="1A1A1A"/>
          <w:sz w:val="20"/>
          <w:szCs w:val="20"/>
        </w:rPr>
        <w:t xml:space="preserve"> 3% of volume → 23% of PNL; scaling crypto flow could lift blended margin materially.</w:t>
      </w:r>
    </w:p>
    <w:p>
      <w:pPr>
        <w:pStyle w:val="ListParagraph"/>
        <w:numPr>
          <w:ilvl w:val="0"/>
          <w:numId w:val="2"/>
        </w:numPr>
        <w:spacing w:after="70" w:line="268"/>
      </w:pPr>
      <w:r>
        <w:rPr>
          <w:rFonts w:ascii="Calibri" w:cs="Calibri" w:eastAsia="Calibri" w:hAnsi="Calibri"/>
          <w:color w:val="1A1A1A"/>
          <w:sz w:val="20"/>
          <w:szCs w:val="20"/>
        </w:rPr>
        <w:t xml:space="preserve">Exness-ification as acquisition engine</w:t>
      </w:r>
      <w:r>
        <w:rPr>
          <w:rFonts w:ascii="Calibri" w:cs="Calibri" w:eastAsia="Calibri" w:hAnsi="Calibri"/>
          <w:color w:val="1A1A1A"/>
          <w:sz w:val="20"/>
          <w:szCs w:val="20"/>
        </w:rPr>
        <w:t xml:space="preserve"> if the UMJ-5 Ultimate rollout proves out and the Top-22 optimisation can be safely un-suspended and extended UM-wide.</w:t>
      </w:r>
    </w:p>
    <w:p>
      <w:pPr>
        <w:pStyle w:val="ListParagraph"/>
        <w:numPr>
          <w:ilvl w:val="0"/>
          <w:numId w:val="2"/>
        </w:numPr>
        <w:spacing w:after="70" w:line="268"/>
      </w:pPr>
      <w:r>
        <w:rPr>
          <w:rFonts w:ascii="Calibri" w:cs="Calibri" w:eastAsia="Calibri" w:hAnsi="Calibri"/>
          <w:color w:val="1A1A1A"/>
          <w:sz w:val="20"/>
          <w:szCs w:val="20"/>
        </w:rPr>
        <w:t xml:space="preserve">Finish Synthetic 1.0 (Deriv-style indices)</w:t>
      </w:r>
      <w:r>
        <w:rPr>
          <w:rFonts w:ascii="Calibri" w:cs="Calibri" w:eastAsia="Calibri" w:hAnsi="Calibri"/>
          <w:color w:val="1A1A1A"/>
          <w:sz w:val="20"/>
          <w:szCs w:val="20"/>
        </w:rPr>
        <w:t xml:space="preserve"> — high-margin, 24/7, swap-free, no LP cost; UM's most realistic near-term product win once the on-hold status lifts and the account-switch UX is fixed.</w:t>
      </w:r>
    </w:p>
    <w:p>
      <w:pPr>
        <w:pStyle w:val="ListParagraph"/>
        <w:numPr>
          <w:ilvl w:val="0"/>
          <w:numId w:val="2"/>
        </w:numPr>
        <w:spacing w:after="70" w:line="268"/>
      </w:pPr>
      <w:r>
        <w:rPr>
          <w:rFonts w:ascii="Calibri" w:cs="Calibri" w:eastAsia="Calibri" w:hAnsi="Calibri"/>
          <w:color w:val="1A1A1A"/>
          <w:sz w:val="20"/>
          <w:szCs w:val="20"/>
        </w:rPr>
        <w:t xml:space="preserve">Pilot a funded / prop-trader line</w:t>
      </w:r>
      <w:r>
        <w:rPr>
          <w:rFonts w:ascii="Calibri" w:cs="Calibri" w:eastAsia="Calibri" w:hAnsi="Calibri"/>
          <w:color w:val="1A1A1A"/>
          <w:sz w:val="20"/>
          <w:szCs w:val="20"/>
        </w:rPr>
        <w:t xml:space="preserve"> on existing MT rails — challenge-fee revenue plus volume, the fastest-growing 2026 retail model.</w:t>
      </w:r>
    </w:p>
    <w:p>
      <w:pPr>
        <w:pStyle w:val="ListParagraph"/>
        <w:numPr>
          <w:ilvl w:val="0"/>
          <w:numId w:val="2"/>
        </w:numPr>
        <w:spacing w:after="70" w:line="268"/>
      </w:pPr>
      <w:r>
        <w:rPr>
          <w:rFonts w:ascii="Calibri" w:cs="Calibri" w:eastAsia="Calibri" w:hAnsi="Calibri"/>
          <w:color w:val="1A1A1A"/>
          <w:sz w:val="20"/>
          <w:szCs w:val="20"/>
        </w:rPr>
        <w:t xml:space="preserve">Turbo warrants as a longer-term FCA/CySEC-only play</w:t>
      </w:r>
      <w:r>
        <w:rPr>
          <w:rFonts w:ascii="Calibri" w:cs="Calibri" w:eastAsia="Calibri" w:hAnsi="Calibri"/>
          <w:color w:val="1A1A1A"/>
          <w:sz w:val="20"/>
          <w:szCs w:val="20"/>
        </w:rPr>
        <w:t xml:space="preserve"> — compliant high-leverage exposure without CFD caps (IG Turbo24 precedent); lower priority given capped per-trade revenue.</w:t>
      </w:r>
    </w:p>
    <w:p>
      <w:r>
        <w:br w:type="page"/>
      </w:r>
    </w:p>
    <w:p>
      <w:pPr>
        <w:pStyle w:val="Heading1"/>
        <w:spacing w:after="140" w:before="320"/>
      </w:pPr>
      <w:r>
        <w:rPr>
          <w:rFonts w:ascii="Calibri" w:cs="Calibri" w:eastAsia="Calibri" w:hAnsi="Calibri"/>
          <w:b/>
          <w:bCs/>
          <w:color w:val="1F4A3F"/>
          <w:sz w:val="30"/>
          <w:szCs w:val="30"/>
        </w:rPr>
        <w:t xml:space="preserve">Appendix A — "Introducing Ultima to Karlos" (One-Pager)</w:t>
      </w:r>
    </w:p>
    <w:p>
      <w:pPr>
        <w:pStyle w:val="Heading3"/>
        <w:spacing w:after="70" w:before="160"/>
      </w:pPr>
      <w:r>
        <w:rPr>
          <w:rFonts w:ascii="Calibri" w:cs="Calibri" w:eastAsia="Calibri" w:hAnsi="Calibri"/>
          <w:b/>
          <w:bCs/>
          <w:color w:val="1F4A3F"/>
          <w:sz w:val="21"/>
          <w:szCs w:val="21"/>
        </w:rPr>
        <w:t xml:space="preserve">What it is</w:t>
      </w:r>
    </w:p>
    <w:p>
      <w:pPr>
        <w:spacing w:after="120" w:line="276"/>
      </w:pPr>
      <w:r>
        <w:rPr>
          <w:rFonts w:ascii="Calibri" w:cs="Calibri" w:eastAsia="Calibri" w:hAnsi="Calibri"/>
          <w:color w:val="1A1A1A"/>
          <w:sz w:val="20"/>
          <w:szCs w:val="20"/>
        </w:rPr>
        <w:t xml:space="preserve">Ultima Markets (UM): a multi-asset CFD broker (founded 2016) in the group's multi-brand portfolio, positioned externally on trust/ESG (first CFD broker in the UN Global Compact; Inter Milan Asia partner; "Fastest Growing Forex Broker 2025") and internally as the low-spread, IB-driven, Exness-challenger brand. Core regions Europe + SEA; Japan via UMJ.</w:t>
      </w:r>
    </w:p>
    <w:p>
      <w:pPr>
        <w:pStyle w:val="Heading3"/>
        <w:spacing w:after="70" w:before="160"/>
      </w:pPr>
      <w:r>
        <w:rPr>
          <w:rFonts w:ascii="Calibri" w:cs="Calibri" w:eastAsia="Calibri" w:hAnsi="Calibri"/>
          <w:b/>
          <w:bCs/>
          <w:color w:val="1F4A3F"/>
          <w:sz w:val="21"/>
          <w:szCs w:val="21"/>
        </w:rPr>
        <w:t xml:space="preserve">Where it operates</w:t>
      </w:r>
    </w:p>
    <w:p>
      <w:pPr>
        <w:spacing w:after="120" w:line="276"/>
      </w:pPr>
      <w:r>
        <w:rPr>
          <w:rFonts w:ascii="Calibri" w:cs="Calibri" w:eastAsia="Calibri" w:hAnsi="Calibri"/>
          <w:color w:val="1A1A1A"/>
          <w:sz w:val="20"/>
          <w:szCs w:val="20"/>
        </w:rPr>
        <w:t xml:space="preserve">Founded 2016; serves 170+ countries, 300k+ clients. Global book on FSC Mauritius (GB 23201593); EU via CySEC (426/23); South Africa via FSCA (52497); UK via FCA (Ultima Markets UK Ltd, ref 470325, obtained through Tiger Brokers' UK arm, licence approved July 2025, onboarding UK clients from 2026). US/Iran/DPRK excluded. Internal FCA setup live 22 June 2026 (30:1, no crypto/US-stock in Phase 1).</w:t>
      </w:r>
    </w:p>
    <w:p>
      <w:pPr>
        <w:pStyle w:val="Heading3"/>
        <w:spacing w:after="70" w:before="160"/>
      </w:pPr>
      <w:r>
        <w:rPr>
          <w:rFonts w:ascii="Calibri" w:cs="Calibri" w:eastAsia="Calibri" w:hAnsi="Calibri"/>
          <w:b/>
          <w:bCs/>
          <w:color w:val="1F4A3F"/>
          <w:sz w:val="21"/>
          <w:szCs w:val="21"/>
        </w:rPr>
        <w:t xml:space="preserve">Core edge</w:t>
      </w:r>
    </w:p>
    <w:p>
      <w:pPr>
        <w:spacing w:after="120" w:line="276"/>
      </w:pPr>
      <w:r>
        <w:rPr>
          <w:rFonts w:ascii="Calibri" w:cs="Calibri" w:eastAsia="Calibri" w:hAnsi="Calibri"/>
          <w:color w:val="1A1A1A"/>
          <w:sz w:val="20"/>
          <w:szCs w:val="20"/>
        </w:rPr>
        <w:t xml:space="preserve">Pricing and distribution, not proprietary product. Spreads run below V Brand; UMJ Ultimate cuts spreads 20% (up to 27% on Top-22) to attack Exness Pro.</w:t>
      </w:r>
    </w:p>
    <w:p>
      <w:pPr>
        <w:pStyle w:val="Heading3"/>
        <w:spacing w:after="70" w:before="160"/>
      </w:pPr>
      <w:r>
        <w:rPr>
          <w:rFonts w:ascii="Calibri" w:cs="Calibri" w:eastAsia="Calibri" w:hAnsi="Calibri"/>
          <w:b/>
          <w:bCs/>
          <w:color w:val="1F4A3F"/>
          <w:sz w:val="21"/>
          <w:szCs w:val="21"/>
        </w:rPr>
        <w:t xml:space="preserve">Customers</w:t>
      </w:r>
    </w:p>
    <w:p>
      <w:pPr>
        <w:spacing w:after="120" w:line="276"/>
      </w:pPr>
      <w:r>
        <w:rPr>
          <w:rFonts w:ascii="Calibri" w:cs="Calibri" w:eastAsia="Calibri" w:hAnsi="Calibri"/>
          <w:color w:val="1A1A1A"/>
          <w:sz w:val="20"/>
          <w:szCs w:val="20"/>
        </w:rPr>
        <w:t xml:space="preserve">Predominantly IB/partner-driven retail flow; heavy metals traders. Japan handled separately via UMJ.</w:t>
      </w:r>
    </w:p>
    <w:p>
      <w:pPr>
        <w:pStyle w:val="Heading3"/>
        <w:spacing w:after="70" w:before="160"/>
      </w:pPr>
      <w:r>
        <w:rPr>
          <w:rFonts w:ascii="Calibri" w:cs="Calibri" w:eastAsia="Calibri" w:hAnsi="Calibri"/>
          <w:b/>
          <w:bCs/>
          <w:color w:val="1F4A3F"/>
          <w:sz w:val="21"/>
          <w:szCs w:val="21"/>
        </w:rPr>
        <w:t xml:space="preserve">Economics (June 2026)</w:t>
      </w:r>
    </w:p>
    <w:p>
      <w:pPr>
        <w:spacing w:after="120" w:line="276"/>
      </w:pPr>
      <w:r>
        <w:rPr>
          <w:rFonts w:ascii="Calibri" w:cs="Calibri" w:eastAsia="Calibri" w:hAnsi="Calibri"/>
          <w:color w:val="1A1A1A"/>
          <w:sz w:val="20"/>
          <w:szCs w:val="20"/>
        </w:rPr>
        <w:t xml:space="preserve">Metals ~92% vol / ~93% PNL (gold spread monetisation, helped by RR turning positive in a $4,524→$4,007 gold downtrend); crypto 3% vol but 23% PNL (highest margin); forex the sole loss (RR-driven, concentrated in AUDCAD/EURUSD/GBPUSD). Total volume +3%, PNL +8% MoM. UM trails V Brand on total PNL growth (+8% vs +40%) and on Net RFR DPM (24 vs 31). Volume led by China 20% / Malaysia 17% / Italy 16%.</w:t>
      </w:r>
    </w:p>
    <w:p>
      <w:pPr>
        <w:pStyle w:val="Heading3"/>
        <w:spacing w:after="70" w:before="160"/>
      </w:pPr>
      <w:r>
        <w:rPr>
          <w:rFonts w:ascii="Calibri" w:cs="Calibri" w:eastAsia="Calibri" w:hAnsi="Calibri"/>
          <w:b/>
          <w:bCs/>
          <w:color w:val="1F4A3F"/>
          <w:sz w:val="21"/>
          <w:szCs w:val="21"/>
        </w:rPr>
        <w:t xml:space="preserve">Active projects</w:t>
      </w:r>
    </w:p>
    <w:p>
      <w:pPr>
        <w:spacing w:after="120" w:line="276"/>
      </w:pPr>
      <w:r>
        <w:rPr>
          <w:rFonts w:ascii="Calibri" w:cs="Calibri" w:eastAsia="Calibri" w:hAnsi="Calibri"/>
          <w:color w:val="1A1A1A"/>
          <w:sz w:val="20"/>
          <w:szCs w:val="20"/>
        </w:rPr>
        <w:t xml:space="preserve">FCA onshore (Phase 1 live 22 Jun via ISPrime UK LP; Phase 2 = FinPrime switch + toxic-customer RA); Exness-ification / account-types (Phase 1 UMJ-5 live, Ultimate Phase 2 in progress, Top-22 suspended, Phase 3 not open); Loyalty Program (3-tier, ~21 July); 5/24 &amp; 7/24 US-stock launch (22 / 27 July); UM Synthetic Indices (copying Vantage, MT5UM2 Asia-only, up to 50% rebate) — status to reconcile. Projects handed over from Cheong (left 26 Jun) to Adam Foo.</w:t>
      </w:r>
    </w:p>
    <w:p>
      <w:pPr>
        <w:pStyle w:val="Heading3"/>
        <w:spacing w:after="70" w:before="160"/>
      </w:pPr>
      <w:r>
        <w:rPr>
          <w:rFonts w:ascii="Calibri" w:cs="Calibri" w:eastAsia="Calibri" w:hAnsi="Calibri"/>
          <w:b/>
          <w:bCs/>
          <w:color w:val="1F4A3F"/>
          <w:sz w:val="21"/>
          <w:szCs w:val="21"/>
        </w:rPr>
        <w:t xml:space="preserve">Open questions</w:t>
      </w:r>
    </w:p>
    <w:p>
      <w:pPr>
        <w:pStyle w:val="ListParagraph"/>
        <w:numPr>
          <w:ilvl w:val="0"/>
          <w:numId w:val="2"/>
        </w:numPr>
        <w:spacing w:after="70" w:line="268"/>
      </w:pPr>
      <w:r>
        <w:rPr>
          <w:rFonts w:ascii="Calibri" w:cs="Calibri" w:eastAsia="Calibri" w:hAnsi="Calibri"/>
          <w:color w:val="1A1A1A"/>
          <w:sz w:val="20"/>
          <w:szCs w:val="20"/>
        </w:rPr>
        <w:t xml:space="preserve">Ultimate beneficial ownership / legal parent, and the Australia-vs-Mauritius HQ description (public sources conflict).</w:t>
      </w:r>
    </w:p>
    <w:p>
      <w:pPr>
        <w:pStyle w:val="ListParagraph"/>
        <w:numPr>
          <w:ilvl w:val="0"/>
          <w:numId w:val="2"/>
        </w:numPr>
        <w:spacing w:after="70" w:line="268"/>
      </w:pPr>
      <w:r>
        <w:rPr>
          <w:rFonts w:ascii="Calibri" w:cs="Calibri" w:eastAsia="Calibri" w:hAnsi="Calibri"/>
          <w:color w:val="1A1A1A"/>
          <w:sz w:val="20"/>
          <w:szCs w:val="20"/>
        </w:rPr>
        <w:t xml:space="preserve">How we are handling the BCS/"Ultima Markets" brand-impersonation issue and any WikiFX clone flag.</w:t>
      </w:r>
    </w:p>
    <w:p>
      <w:pPr>
        <w:pStyle w:val="ListParagraph"/>
        <w:numPr>
          <w:ilvl w:val="0"/>
          <w:numId w:val="2"/>
        </w:numPr>
        <w:spacing w:after="70" w:line="268"/>
      </w:pPr>
      <w:r>
        <w:rPr>
          <w:rFonts w:ascii="Calibri" w:cs="Calibri" w:eastAsia="Calibri" w:hAnsi="Calibri"/>
          <w:color w:val="1A1A1A"/>
          <w:sz w:val="20"/>
          <w:szCs w:val="20"/>
        </w:rPr>
        <w:t xml:space="preserve">Retail-vs-IB split and revenue (PNL) by country — we have volume by country, not revenue.</w:t>
      </w:r>
    </w:p>
    <w:p>
      <w:pPr>
        <w:pStyle w:val="ListParagraph"/>
        <w:numPr>
          <w:ilvl w:val="0"/>
          <w:numId w:val="2"/>
        </w:numPr>
        <w:spacing w:after="70" w:line="268"/>
      </w:pPr>
      <w:r>
        <w:rPr>
          <w:rFonts w:ascii="Calibri" w:cs="Calibri" w:eastAsia="Calibri" w:hAnsi="Calibri"/>
          <w:color w:val="1A1A1A"/>
          <w:sz w:val="20"/>
          <w:szCs w:val="20"/>
        </w:rPr>
        <w:t xml:space="preserve">Which June report is final (93%/+8% vs 94%/+7%), and confirmation of exact RR/RFR definitions behind the DPM table.</w:t>
      </w:r>
    </w:p>
    <w:p>
      <w:r>
        <w:br w:type="page"/>
      </w:r>
    </w:p>
    <w:p>
      <w:pPr>
        <w:pStyle w:val="Heading1"/>
        <w:spacing w:after="140" w:before="320"/>
      </w:pPr>
      <w:r>
        <w:rPr>
          <w:rFonts w:ascii="Calibri" w:cs="Calibri" w:eastAsia="Calibri" w:hAnsi="Calibri"/>
          <w:b/>
          <w:bCs/>
          <w:color w:val="1F4A3F"/>
          <w:sz w:val="30"/>
          <w:szCs w:val="30"/>
        </w:rPr>
        <w:t xml:space="preserve">Appendix B — Share &amp; Communication Plan (Karlos + Cathy)</w:t>
      </w:r>
    </w:p>
    <w:p>
      <w:pPr>
        <w:pStyle w:val="Heading3"/>
        <w:spacing w:after="70" w:before="160"/>
      </w:pPr>
      <w:r>
        <w:rPr>
          <w:rFonts w:ascii="Calibri" w:cs="Calibri" w:eastAsia="Calibri" w:hAnsi="Calibri"/>
          <w:b/>
          <w:bCs/>
          <w:color w:val="1F4A3F"/>
          <w:sz w:val="21"/>
          <w:szCs w:val="21"/>
        </w:rPr>
        <w:t xml:space="preserve">Key talking points (in order)</w:t>
      </w:r>
    </w:p>
    <w:p>
      <w:pPr>
        <w:pStyle w:val="ListParagraph"/>
        <w:numPr>
          <w:ilvl w:val="0"/>
          <w:numId w:val="2"/>
        </w:numPr>
        <w:spacing w:after="70" w:line="268"/>
      </w:pPr>
      <w:r>
        <w:rPr>
          <w:rFonts w:ascii="Calibri" w:cs="Calibri" w:eastAsia="Calibri" w:hAnsi="Calibri"/>
          <w:color w:val="1A1A1A"/>
          <w:sz w:val="20"/>
          <w:szCs w:val="20"/>
        </w:rPr>
        <w:t xml:space="preserve">What UM is and its group position (pricing-led Exness challenger).</w:t>
      </w:r>
    </w:p>
    <w:p>
      <w:pPr>
        <w:pStyle w:val="ListParagraph"/>
        <w:numPr>
          <w:ilvl w:val="0"/>
          <w:numId w:val="2"/>
        </w:numPr>
        <w:spacing w:after="70" w:line="268"/>
      </w:pPr>
      <w:r>
        <w:rPr>
          <w:rFonts w:ascii="Calibri" w:cs="Calibri" w:eastAsia="Calibri" w:hAnsi="Calibri"/>
          <w:color w:val="1A1A1A"/>
          <w:sz w:val="20"/>
          <w:szCs w:val="20"/>
        </w:rPr>
        <w:t xml:space="preserve">The metals concentration story and why crypto matters disproportionately.</w:t>
      </w:r>
    </w:p>
    <w:p>
      <w:pPr>
        <w:pStyle w:val="ListParagraph"/>
        <w:numPr>
          <w:ilvl w:val="0"/>
          <w:numId w:val="2"/>
        </w:numPr>
        <w:spacing w:after="70" w:line="268"/>
      </w:pPr>
      <w:r>
        <w:rPr>
          <w:rFonts w:ascii="Calibri" w:cs="Calibri" w:eastAsia="Calibri" w:hAnsi="Calibri"/>
          <w:color w:val="1A1A1A"/>
          <w:sz w:val="20"/>
          <w:szCs w:val="20"/>
        </w:rPr>
        <w:t xml:space="preserve">The four live projects and their business rationale.</w:t>
      </w:r>
    </w:p>
    <w:p>
      <w:pPr>
        <w:pStyle w:val="ListParagraph"/>
        <w:numPr>
          <w:ilvl w:val="0"/>
          <w:numId w:val="2"/>
        </w:numPr>
        <w:spacing w:after="70" w:line="268"/>
      </w:pPr>
      <w:r>
        <w:rPr>
          <w:rFonts w:ascii="Calibri" w:cs="Calibri" w:eastAsia="Calibri" w:hAnsi="Calibri"/>
          <w:color w:val="1A1A1A"/>
          <w:sz w:val="20"/>
          <w:szCs w:val="20"/>
        </w:rPr>
        <w:t xml:space="preserve">Internal overlap with Vantage/VT and how we manage cannibalisation.</w:t>
      </w:r>
    </w:p>
    <w:p>
      <w:pPr>
        <w:pStyle w:val="ListParagraph"/>
        <w:numPr>
          <w:ilvl w:val="0"/>
          <w:numId w:val="2"/>
        </w:numPr>
        <w:spacing w:after="70" w:line="268"/>
      </w:pPr>
      <w:r>
        <w:rPr>
          <w:rFonts w:ascii="Calibri" w:cs="Calibri" w:eastAsia="Calibri" w:hAnsi="Calibri"/>
          <w:color w:val="1A1A1A"/>
          <w:sz w:val="20"/>
          <w:szCs w:val="20"/>
        </w:rPr>
        <w:t xml:space="preserve">The explicit gap list and who owns closing each.</w:t>
      </w:r>
    </w:p>
    <w:p>
      <w:pPr>
        <w:pStyle w:val="Heading3"/>
        <w:spacing w:after="70" w:before="160"/>
      </w:pPr>
      <w:r>
        <w:rPr>
          <w:rFonts w:ascii="Calibri" w:cs="Calibri" w:eastAsia="Calibri" w:hAnsi="Calibri"/>
          <w:b/>
          <w:bCs/>
          <w:color w:val="1F4A3F"/>
          <w:sz w:val="21"/>
          <w:szCs w:val="21"/>
        </w:rPr>
        <w:t xml:space="preserve">Likely questions to prepare for</w:t>
      </w:r>
    </w:p>
    <w:p>
      <w:pPr>
        <w:pStyle w:val="ListParagraph"/>
        <w:numPr>
          <w:ilvl w:val="0"/>
          <w:numId w:val="2"/>
        </w:numPr>
        <w:spacing w:after="70" w:line="268"/>
      </w:pPr>
      <w:r>
        <w:rPr>
          <w:rFonts w:ascii="Calibri" w:cs="Calibri" w:eastAsia="Calibri" w:hAnsi="Calibri"/>
          <w:color w:val="1A1A1A"/>
          <w:sz w:val="20"/>
          <w:szCs w:val="20"/>
        </w:rPr>
        <w:t xml:space="preserve">"How exposed are we if gold goes quiet?" — have the metals/forex sensitivity ready.</w:t>
      </w:r>
    </w:p>
    <w:p>
      <w:pPr>
        <w:pStyle w:val="ListParagraph"/>
        <w:numPr>
          <w:ilvl w:val="0"/>
          <w:numId w:val="2"/>
        </w:numPr>
        <w:spacing w:after="70" w:line="268"/>
      </w:pPr>
      <w:r>
        <w:rPr>
          <w:rFonts w:ascii="Calibri" w:cs="Calibri" w:eastAsia="Calibri" w:hAnsi="Calibri"/>
          <w:color w:val="1A1A1A"/>
          <w:sz w:val="20"/>
          <w:szCs w:val="20"/>
        </w:rPr>
        <w:t xml:space="preserve">"Are we just re-selling Vantage's model?" — Synthetic 1.0 is a replication; be clear on where UM genuinely differentiates (pricing, region, FCA onshore).</w:t>
      </w:r>
    </w:p>
    <w:p>
      <w:pPr>
        <w:pStyle w:val="ListParagraph"/>
        <w:numPr>
          <w:ilvl w:val="0"/>
          <w:numId w:val="2"/>
        </w:numPr>
        <w:spacing w:after="70" w:line="268"/>
      </w:pPr>
      <w:r>
        <w:rPr>
          <w:rFonts w:ascii="Calibri" w:cs="Calibri" w:eastAsia="Calibri" w:hAnsi="Calibri"/>
          <w:color w:val="1A1A1A"/>
          <w:sz w:val="20"/>
          <w:szCs w:val="20"/>
        </w:rPr>
        <w:t xml:space="preserve">"What's the FCA Phase 2 risk?" — LP switch / FinPrime / regulator persuasion.</w:t>
      </w:r>
    </w:p>
    <w:p>
      <w:pPr>
        <w:pStyle w:val="ListParagraph"/>
        <w:numPr>
          <w:ilvl w:val="0"/>
          <w:numId w:val="2"/>
        </w:numPr>
        <w:spacing w:after="70" w:line="268"/>
      </w:pPr>
      <w:r>
        <w:rPr>
          <w:rFonts w:ascii="Calibri" w:cs="Calibri" w:eastAsia="Calibri" w:hAnsi="Calibri"/>
          <w:color w:val="1A1A1A"/>
          <w:sz w:val="20"/>
          <w:szCs w:val="20"/>
        </w:rPr>
        <w:t xml:space="preserve">"Is Exness-ification hurting margin?" — tie to DPM once confirmed.</w:t>
      </w:r>
    </w:p>
    <w:p>
      <w:pPr>
        <w:pStyle w:val="Heading3"/>
        <w:spacing w:after="70" w:before="160"/>
      </w:pPr>
      <w:r>
        <w:rPr>
          <w:rFonts w:ascii="Calibri" w:cs="Calibri" w:eastAsia="Calibri" w:hAnsi="Calibri"/>
          <w:b/>
          <w:bCs/>
          <w:color w:val="1F4A3F"/>
          <w:sz w:val="21"/>
          <w:szCs w:val="21"/>
        </w:rPr>
        <w:t xml:space="preserve">Owners to loop in for gap-filling</w:t>
      </w:r>
    </w:p>
    <w:tbl>
      <w:tblPr>
        <w:tblW w:type="dxa" w:w="9000"/>
        <w:tblBorders>
          <w:top w:val="single" w:color="D1D5DB" w:sz="2"/>
          <w:left w:val="single" w:color="D1D5DB" w:sz="2"/>
          <w:bottom w:val="single" w:color="D1D5DB" w:sz="2"/>
          <w:right w:val="single" w:color="D1D5DB" w:sz="2"/>
          <w:insideH w:val="single" w:color="E5E7EB" w:sz="1"/>
          <w:insideV w:val="single" w:color="E5E7EB" w:sz="1"/>
        </w:tblBorders>
      </w:tblPr>
      <w:tblGrid>
        <w:gridCol w:w="5400"/>
        <w:gridCol w:w="3600"/>
      </w:tblGrid>
      <w:tr>
        <w:trPr>
          <w:tblHeader/>
        </w:trPr>
        <w:tc>
          <w:tcPr>
            <w:tcW w:type="dxa" w:w="54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Gap</w:t>
            </w:r>
          </w:p>
        </w:tc>
        <w:tc>
          <w:tcPr>
            <w:tcW w:type="dxa" w:w="3600"/>
            <w:shd w:fill="1F4A3F" w:color="auto" w:val="clear"/>
            <w:tcMar>
              <w:top w:type="dxa" w:w="60"/>
              <w:left w:type="dxa" w:w="90"/>
              <w:bottom w:type="dxa" w:w="60"/>
              <w:right w:type="dxa" w:w="90"/>
            </w:tcMar>
          </w:tcPr>
          <w:p>
            <w:r>
              <w:rPr>
                <w:rFonts w:ascii="Calibri" w:cs="Calibri" w:eastAsia="Calibri" w:hAnsi="Calibri"/>
                <w:b/>
                <w:bCs/>
                <w:color w:val="FFFFFF"/>
                <w:sz w:val="18"/>
                <w:szCs w:val="18"/>
              </w:rPr>
              <w:t xml:space="preserve">Owner</w:t>
            </w:r>
          </w:p>
        </w:tc>
      </w:tr>
      <w:tr>
        <w:trPr>
          <w:cantSplit/>
        </w:trPr>
        <w:tc>
          <w:tcPr>
            <w:tcW w:type="dxa" w:w="5400"/>
            <w:tcMar>
              <w:top w:type="dxa" w:w="50"/>
              <w:left w:type="dxa" w:w="90"/>
              <w:bottom w:type="dxa" w:w="50"/>
              <w:right w:type="dxa" w:w="90"/>
            </w:tcMar>
          </w:tcPr>
          <w:p>
            <w:r>
              <w:rPr>
                <w:rFonts w:ascii="Calibri" w:cs="Calibri" w:eastAsia="Calibri" w:hAnsi="Calibri"/>
                <w:b/>
                <w:bCs/>
                <w:color w:val="1A1A1A"/>
                <w:sz w:val="17"/>
                <w:szCs w:val="17"/>
              </w:rPr>
              <w:t xml:space="preserve">Ownership / legal parent, HQ reconciliation</w:t>
            </w:r>
          </w:p>
        </w:tc>
        <w:tc>
          <w:tcPr>
            <w:tcW w:type="dxa" w:w="3600"/>
            <w:tcMar>
              <w:top w:type="dxa" w:w="50"/>
              <w:left w:type="dxa" w:w="90"/>
              <w:bottom w:type="dxa" w:w="50"/>
              <w:right w:type="dxa" w:w="90"/>
            </w:tcMar>
          </w:tcPr>
          <w:p>
            <w:r>
              <w:rPr>
                <w:rFonts w:ascii="Calibri" w:cs="Calibri" w:eastAsia="Calibri" w:hAnsi="Calibri"/>
                <w:b w:val="false"/>
                <w:bCs w:val="false"/>
                <w:color w:val="1A1A1A"/>
                <w:sz w:val="17"/>
                <w:szCs w:val="17"/>
              </w:rPr>
              <w:t xml:space="preserve">Finance / Group strategy</w:t>
            </w:r>
          </w:p>
        </w:tc>
      </w:tr>
      <w:tr>
        <w:trPr>
          <w:cantSplit/>
        </w:trPr>
        <w:tc>
          <w:tcPr>
            <w:tcW w:type="dxa" w:w="54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Brand-impersonation (BCS) response &amp; clone flag</w:t>
            </w:r>
          </w:p>
        </w:tc>
        <w:tc>
          <w:tcPr>
            <w:tcW w:type="dxa" w:w="36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Compliance — Ricky Hong</w:t>
            </w:r>
          </w:p>
        </w:tc>
      </w:tr>
      <w:tr>
        <w:trPr>
          <w:cantSplit/>
        </w:trPr>
        <w:tc>
          <w:tcPr>
            <w:tcW w:type="dxa" w:w="5400"/>
            <w:tcMar>
              <w:top w:type="dxa" w:w="50"/>
              <w:left w:type="dxa" w:w="90"/>
              <w:bottom w:type="dxa" w:w="50"/>
              <w:right w:type="dxa" w:w="90"/>
            </w:tcMar>
          </w:tcPr>
          <w:p>
            <w:r>
              <w:rPr>
                <w:rFonts w:ascii="Calibri" w:cs="Calibri" w:eastAsia="Calibri" w:hAnsi="Calibri"/>
                <w:b/>
                <w:bCs/>
                <w:color w:val="1A1A1A"/>
                <w:sz w:val="17"/>
                <w:szCs w:val="17"/>
              </w:rPr>
              <w:t xml:space="preserve">RR/RFR exact definitions; final report version</w:t>
            </w:r>
          </w:p>
        </w:tc>
        <w:tc>
          <w:tcPr>
            <w:tcW w:type="dxa" w:w="3600"/>
            <w:tcMar>
              <w:top w:type="dxa" w:w="50"/>
              <w:left w:type="dxa" w:w="90"/>
              <w:bottom w:type="dxa" w:w="50"/>
              <w:right w:type="dxa" w:w="90"/>
            </w:tcMar>
          </w:tcPr>
          <w:p>
            <w:r>
              <w:rPr>
                <w:rFonts w:ascii="Calibri" w:cs="Calibri" w:eastAsia="Calibri" w:hAnsi="Calibri"/>
                <w:b w:val="false"/>
                <w:bCs w:val="false"/>
                <w:color w:val="1A1A1A"/>
                <w:sz w:val="17"/>
                <w:szCs w:val="17"/>
              </w:rPr>
              <w:t xml:space="preserve">Product / Finance (DPM model owner)</w:t>
            </w:r>
          </w:p>
        </w:tc>
      </w:tr>
      <w:tr>
        <w:trPr>
          <w:cantSplit/>
        </w:trPr>
        <w:tc>
          <w:tcPr>
            <w:tcW w:type="dxa" w:w="54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Retail vs IB split; revenue (not volume) by country</w:t>
            </w:r>
          </w:p>
        </w:tc>
        <w:tc>
          <w:tcPr>
            <w:tcW w:type="dxa" w:w="36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Data — Beatrice Law</w:t>
            </w:r>
          </w:p>
        </w:tc>
      </w:tr>
      <w:tr>
        <w:trPr>
          <w:cantSplit/>
        </w:trPr>
        <w:tc>
          <w:tcPr>
            <w:tcW w:type="dxa" w:w="5400"/>
            <w:tcMar>
              <w:top w:type="dxa" w:w="50"/>
              <w:left w:type="dxa" w:w="90"/>
              <w:bottom w:type="dxa" w:w="50"/>
              <w:right w:type="dxa" w:w="90"/>
            </w:tcMar>
          </w:tcPr>
          <w:p>
            <w:r>
              <w:rPr>
                <w:rFonts w:ascii="Calibri" w:cs="Calibri" w:eastAsia="Calibri" w:hAnsi="Calibri"/>
                <w:b/>
                <w:bCs/>
                <w:color w:val="1A1A1A"/>
                <w:sz w:val="17"/>
                <w:szCs w:val="17"/>
              </w:rPr>
              <w:t xml:space="preserve">Marketing positioning, slogan, sponsorships</w:t>
            </w:r>
          </w:p>
        </w:tc>
        <w:tc>
          <w:tcPr>
            <w:tcW w:type="dxa" w:w="3600"/>
            <w:tcMar>
              <w:top w:type="dxa" w:w="50"/>
              <w:left w:type="dxa" w:w="90"/>
              <w:bottom w:type="dxa" w:w="50"/>
              <w:right w:type="dxa" w:w="90"/>
            </w:tcMar>
          </w:tcPr>
          <w:p>
            <w:r>
              <w:rPr>
                <w:rFonts w:ascii="Calibri" w:cs="Calibri" w:eastAsia="Calibri" w:hAnsi="Calibri"/>
                <w:b w:val="false"/>
                <w:bCs w:val="false"/>
                <w:color w:val="1A1A1A"/>
                <w:sz w:val="17"/>
                <w:szCs w:val="17"/>
              </w:rPr>
              <w:t xml:space="preserve">Marketing — Judy Lam</w:t>
            </w:r>
          </w:p>
        </w:tc>
      </w:tr>
      <w:tr>
        <w:trPr>
          <w:cantSplit/>
        </w:trPr>
        <w:tc>
          <w:tcPr>
            <w:tcW w:type="dxa" w:w="5400"/>
            <w:shd w:fill="F3F4F6" w:color="auto" w:val="clear"/>
            <w:tcMar>
              <w:top w:type="dxa" w:w="50"/>
              <w:left w:type="dxa" w:w="90"/>
              <w:bottom w:type="dxa" w:w="50"/>
              <w:right w:type="dxa" w:w="90"/>
            </w:tcMar>
          </w:tcPr>
          <w:p>
            <w:r>
              <w:rPr>
                <w:rFonts w:ascii="Calibri" w:cs="Calibri" w:eastAsia="Calibri" w:hAnsi="Calibri"/>
                <w:b/>
                <w:bCs/>
                <w:color w:val="1A1A1A"/>
                <w:sz w:val="17"/>
                <w:szCs w:val="17"/>
              </w:rPr>
              <w:t xml:space="preserve">Synthetic 1.0 staging / validation</w:t>
            </w:r>
          </w:p>
        </w:tc>
        <w:tc>
          <w:tcPr>
            <w:tcW w:type="dxa" w:w="3600"/>
            <w:shd w:fill="F3F4F6" w:color="auto" w:val="clear"/>
            <w:tcMar>
              <w:top w:type="dxa" w:w="50"/>
              <w:left w:type="dxa" w:w="90"/>
              <w:bottom w:type="dxa" w:w="50"/>
              <w:right w:type="dxa" w:w="90"/>
            </w:tcMar>
          </w:tcPr>
          <w:p>
            <w:r>
              <w:rPr>
                <w:rFonts w:ascii="Calibri" w:cs="Calibri" w:eastAsia="Calibri" w:hAnsi="Calibri"/>
                <w:b w:val="false"/>
                <w:bCs w:val="false"/>
                <w:color w:val="1A1A1A"/>
                <w:sz w:val="17"/>
                <w:szCs w:val="17"/>
              </w:rPr>
              <w:t xml:space="preserve">PE + Ching Zaaw Lim</w:t>
            </w:r>
          </w:p>
        </w:tc>
      </w:tr>
    </w:tbl>
    <w:p>
      <w:pPr>
        <w:spacing w:after="120"/>
      </w:pPr>
    </w:p>
    <w:p>
      <w:pPr>
        <w:spacing w:after="120" w:line="276"/>
        <w:jc w:val="center"/>
      </w:pPr>
      <w:r>
        <w:rPr>
          <w:rFonts w:ascii="Calibri" w:cs="Calibri" w:eastAsia="Calibri" w:hAnsi="Calibri"/>
          <w:i/>
          <w:iCs/>
          <w:color w:val="6B7280"/>
          <w:sz w:val="16"/>
          <w:szCs w:val="16"/>
        </w:rPr>
        <w:t xml:space="preserve">Prepared by Adam Foo (PD) · Draft v1.0 · Confidential — internal use only</w:t>
      </w:r>
    </w:p>
    <w:p>
      <w:r>
        <w:br w:type="page"/>
      </w:r>
    </w:p>
    <w:p>
      <w:pPr>
        <w:pStyle w:val="Heading1"/>
        <w:spacing w:after="140" w:before="320"/>
      </w:pPr>
      <w:r>
        <w:rPr>
          <w:rFonts w:ascii="Calibri" w:cs="Calibri" w:eastAsia="Calibri" w:hAnsi="Calibri"/>
          <w:b/>
          <w:bCs/>
          <w:color w:val="1F4A3F"/>
          <w:sz w:val="30"/>
          <w:szCs w:val="30"/>
        </w:rPr>
        <w:t xml:space="preserve">Appendix C — Sources</w:t>
      </w:r>
    </w:p>
    <w:p>
      <w:pPr>
        <w:spacing w:after="120" w:line="276"/>
      </w:pPr>
      <w:r>
        <w:rPr>
          <w:rFonts w:ascii="Calibri" w:cs="Calibri" w:eastAsia="Calibri" w:hAnsi="Calibri"/>
          <w:b/>
          <w:bCs/>
          <w:color w:val="1A1A1A"/>
          <w:sz w:val="20"/>
          <w:szCs w:val="20"/>
        </w:rPr>
        <w:t xml:space="preserve">Internal: </w:t>
      </w:r>
      <w:r>
        <w:rPr>
          <w:rFonts w:ascii="Calibri" w:cs="Calibri" w:eastAsia="Calibri" w:hAnsi="Calibri"/>
          <w:color w:val="1A1A1A"/>
          <w:sz w:val="20"/>
          <w:szCs w:val="20"/>
        </w:rPr>
        <w:t xml:space="preserve">UM June 2026 Monthly Report (both versions); Cheong Handover Document (account-types, FCA, Synthetic, INF ops, complaint templates, reporting SQL — source-of-record for Sections 3/6/7); UM brand-detail / group-config sheet; UMJ weekly meeting notes (2 Jul 2026); Synthetic Product VT-UM sync notes (2 Jul 2026); group front/back-end org structure; Star brand documentation (template reference).</w:t>
      </w:r>
    </w:p>
    <w:p>
      <w:pPr>
        <w:spacing w:after="120" w:line="276"/>
      </w:pPr>
      <w:r>
        <w:rPr>
          <w:rFonts w:ascii="Calibri" w:cs="Calibri" w:eastAsia="Calibri" w:hAnsi="Calibri"/>
          <w:b/>
          <w:bCs/>
          <w:color w:val="1A1A1A"/>
          <w:sz w:val="20"/>
          <w:szCs w:val="20"/>
        </w:rPr>
        <w:t xml:space="preserve">External (public), accessed July 2026: </w:t>
      </w:r>
      <w:r>
        <w:rPr>
          <w:rFonts w:ascii="Calibri" w:cs="Calibri" w:eastAsia="Calibri" w:hAnsi="Calibri"/>
          <w:color w:val="1A1A1A"/>
          <w:sz w:val="20"/>
          <w:szCs w:val="20"/>
        </w:rPr>
        <w:t xml:space="preserve">ultimamarkets.com (entity list, about, reviews, company news); ultima-markets.co.uk (UK); FCA register via WikiFX (ref 470325) and Myfxbook; FSCA (52497) and CySEC (426/23) references; FSC Mauritius licence GB 23201593; Finance Magnates (FCA licence / Tiger Brokers acquisition, Inter Milan sponsorship, BCS/Ultima impersonation); daytrading.com and BrokerListings reviews; Tracxn and WikiBit company profiles; PRNewswire / UN Global Compact (ESG).</w:t>
      </w:r>
    </w:p>
    <w:p>
      <w:pPr>
        <w:spacing w:after="120" w:line="276"/>
      </w:pPr>
      <w:r>
        <w:rPr>
          <w:rFonts w:ascii="Calibri" w:cs="Calibri" w:eastAsia="Calibri" w:hAnsi="Calibri"/>
          <w:b/>
          <w:bCs/>
          <w:color w:val="1A1A1A"/>
          <w:sz w:val="20"/>
          <w:szCs w:val="20"/>
        </w:rPr>
        <w:t xml:space="preserve">Reliability note: </w:t>
      </w:r>
      <w:r>
        <w:rPr>
          <w:rFonts w:ascii="Calibri" w:cs="Calibri" w:eastAsia="Calibri" w:hAnsi="Calibri"/>
          <w:i/>
          <w:iCs/>
          <w:color w:val="6B7280"/>
          <w:sz w:val="18"/>
          <w:szCs w:val="18"/>
        </w:rPr>
        <w:t xml:space="preserve">licence numbers and addresses are corroborated across the official site and at least one register/aggregator and are treated as reliable. Ownership and HQ location differ between sources and are treated as provisional. Employee/client counts and awards come from the company or aggregators and are indicative. All financial performance figures (volume, PNL, DPM) are internal and unverifiable externally.</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 Markets Brand In-Depth Understanding</dc:title>
  <dc:creator>PD - Product</dc:creator>
  <cp:lastModifiedBy>Un-named</cp:lastModifiedBy>
  <cp:revision>1</cp:revision>
  <dcterms:created xsi:type="dcterms:W3CDTF">2026-07-16T14:33:06.655Z</dcterms:created>
  <dcterms:modified xsi:type="dcterms:W3CDTF">2026-07-16T14:33:06.668Z</dcterms:modified>
</cp:coreProperties>
</file>

<file path=docProps/custom.xml><?xml version="1.0" encoding="utf-8"?>
<Properties xmlns="http://schemas.openxmlformats.org/officeDocument/2006/custom-properties" xmlns:vt="http://schemas.openxmlformats.org/officeDocument/2006/docPropsVTypes"/>
</file>