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F86B5F2" w14:textId="77777777" w:rsidR="00065465" w:rsidRPr="00065465" w:rsidRDefault="00065465" w:rsidP="00B7466C">
      <w:pPr>
        <w:spacing w:line="480" w:lineRule="auto"/>
      </w:pPr>
      <w:r>
        <w:rPr>
          <w:b/>
          <w:bCs/>
        </w:rPr>
        <w:t xml:space="preserve">Title: </w:t>
      </w:r>
      <w:r>
        <w:t>Amygdala Circuitry and Daily Affect in Aging: A Replication and Extension</w:t>
      </w:r>
    </w:p>
    <w:p w14:paraId="3DFEBCD0" w14:textId="77777777" w:rsidR="00065465" w:rsidRDefault="00091B9E" w:rsidP="00B7466C">
      <w:pPr>
        <w:spacing w:line="480" w:lineRule="auto"/>
      </w:pPr>
      <w:r>
        <w:rPr>
          <w:b/>
          <w:bCs/>
        </w:rPr>
        <w:t xml:space="preserve">Abbreviated title: </w:t>
      </w:r>
      <w:r>
        <w:t>Amygdala circuitry and affect in aging</w:t>
      </w:r>
    </w:p>
    <w:p w14:paraId="709E3E5E" w14:textId="77777777" w:rsidR="00091B9E" w:rsidRDefault="00B15FDA" w:rsidP="00B7466C">
      <w:pPr>
        <w:spacing w:line="480" w:lineRule="auto"/>
        <w:rPr>
          <w:vertAlign w:val="superscript"/>
        </w:rPr>
      </w:pPr>
      <w:r>
        <w:rPr>
          <w:b/>
          <w:bCs/>
        </w:rPr>
        <w:t xml:space="preserve">Author names and affiliations: </w:t>
      </w:r>
      <w:r w:rsidR="008B4ED1">
        <w:t>Adam Turnbull</w:t>
      </w:r>
      <w:r w:rsidR="00F15F92">
        <w:rPr>
          <w:vertAlign w:val="superscript"/>
        </w:rPr>
        <w:t>1</w:t>
      </w:r>
      <w:r w:rsidR="008B4ED1">
        <w:t>, Meishan Ai</w:t>
      </w:r>
      <w:r w:rsidR="00F15F92">
        <w:rPr>
          <w:vertAlign w:val="superscript"/>
        </w:rPr>
        <w:t>1</w:t>
      </w:r>
      <w:r w:rsidR="008B4ED1">
        <w:t>, James Gross</w:t>
      </w:r>
      <w:r w:rsidR="00F15F92">
        <w:rPr>
          <w:vertAlign w:val="superscript"/>
        </w:rPr>
        <w:t>2</w:t>
      </w:r>
      <w:r w:rsidR="008B4ED1">
        <w:t>, Feng Vankee-Lin</w:t>
      </w:r>
      <w:r w:rsidR="00F15F92">
        <w:rPr>
          <w:vertAlign w:val="superscript"/>
        </w:rPr>
        <w:t>1</w:t>
      </w:r>
    </w:p>
    <w:p w14:paraId="01CB8EF1" w14:textId="77777777" w:rsidR="00F15F92" w:rsidRDefault="00F15F92" w:rsidP="00B7466C">
      <w:pPr>
        <w:spacing w:line="480" w:lineRule="auto"/>
      </w:pPr>
      <w:r>
        <w:rPr>
          <w:vertAlign w:val="superscript"/>
        </w:rPr>
        <w:t>1</w:t>
      </w:r>
      <w:r>
        <w:t>Department of Psychiatry and Behavioral Sciences, Stanford University</w:t>
      </w:r>
    </w:p>
    <w:p w14:paraId="79377183" w14:textId="77777777" w:rsidR="00F15F92" w:rsidRPr="00F15F92" w:rsidRDefault="00F15F92" w:rsidP="00B7466C">
      <w:pPr>
        <w:spacing w:line="480" w:lineRule="auto"/>
      </w:pPr>
      <w:r>
        <w:rPr>
          <w:vertAlign w:val="superscript"/>
        </w:rPr>
        <w:t>2</w:t>
      </w:r>
      <w:r>
        <w:t>Department of Psychology, Stanford University</w:t>
      </w:r>
    </w:p>
    <w:p w14:paraId="5F0AB71C" w14:textId="77777777" w:rsidR="007256AC" w:rsidRDefault="007256AC" w:rsidP="00B7466C">
      <w:pPr>
        <w:spacing w:line="480" w:lineRule="auto"/>
      </w:pPr>
      <w:r>
        <w:rPr>
          <w:b/>
          <w:bCs/>
        </w:rPr>
        <w:t xml:space="preserve">Corresponding author email: </w:t>
      </w:r>
      <w:hyperlink r:id="rId4" w:history="1">
        <w:r w:rsidRPr="00B11F54">
          <w:rPr>
            <w:rStyle w:val="Hyperlink"/>
          </w:rPr>
          <w:t>aturnbu2@stanford.edu</w:t>
        </w:r>
      </w:hyperlink>
    </w:p>
    <w:p w14:paraId="391F9C24" w14:textId="77777777" w:rsidR="007256AC" w:rsidRPr="00B7466C" w:rsidRDefault="0084631C" w:rsidP="00B7466C">
      <w:pPr>
        <w:spacing w:line="480" w:lineRule="auto"/>
      </w:pPr>
      <w:r>
        <w:rPr>
          <w:b/>
          <w:bCs/>
        </w:rPr>
        <w:t>Number of pages:</w:t>
      </w:r>
      <w:r w:rsidR="00B7466C">
        <w:rPr>
          <w:b/>
          <w:bCs/>
        </w:rPr>
        <w:t xml:space="preserve"> </w:t>
      </w:r>
      <w:r w:rsidR="00B7466C">
        <w:t>34</w:t>
      </w:r>
    </w:p>
    <w:p w14:paraId="22CE8FD7" w14:textId="77777777" w:rsidR="00ED29D7" w:rsidRDefault="00ED29D7" w:rsidP="00B7466C">
      <w:pPr>
        <w:spacing w:line="480" w:lineRule="auto"/>
      </w:pPr>
      <w:r>
        <w:rPr>
          <w:b/>
          <w:bCs/>
        </w:rPr>
        <w:t xml:space="preserve">Conflicts of interest statement: </w:t>
      </w:r>
      <w:r>
        <w:t xml:space="preserve">The authors declare no conflicts of interest. </w:t>
      </w:r>
    </w:p>
    <w:p w14:paraId="6970FB34" w14:textId="77777777" w:rsidR="000B5C83" w:rsidRDefault="000B5C83" w:rsidP="00B7466C">
      <w:pPr>
        <w:spacing w:line="480" w:lineRule="auto"/>
      </w:pPr>
      <w:r>
        <w:rPr>
          <w:b/>
          <w:bCs/>
        </w:rPr>
        <w:t xml:space="preserve">Acknowledgements: </w:t>
      </w:r>
      <w:r>
        <w:t>The MIDUS study has been funded by the John D. and Catherine T. MacArthur Foundation Research Network and the National Institute on Aging (P01 AG020166 and U19 AG051426). MIDUS 3 neuroscience data collection was additionally supported by the Eunice Kennedy Shriver National Institute of Child Health and Human Development (P50 HD105353). This work was supported by the National Institute on Aging (K01 AG086665 to Adam Turnbull).</w:t>
      </w:r>
    </w:p>
    <w:p w14:paraId="2E61DA66" w14:textId="77777777" w:rsidR="00260681" w:rsidRDefault="00260681" w:rsidP="00B7466C">
      <w:pPr>
        <w:spacing w:line="480" w:lineRule="auto"/>
      </w:pPr>
    </w:p>
    <w:p w14:paraId="7B045318" w14:textId="77777777" w:rsidR="00260681" w:rsidRDefault="00260681" w:rsidP="00B7466C">
      <w:pPr>
        <w:spacing w:line="480" w:lineRule="auto"/>
      </w:pPr>
    </w:p>
    <w:p w14:paraId="6FF4A9F7" w14:textId="77777777" w:rsidR="00260681" w:rsidRDefault="00260681" w:rsidP="00B7466C">
      <w:pPr>
        <w:spacing w:line="480" w:lineRule="auto"/>
      </w:pPr>
    </w:p>
    <w:p w14:paraId="18295874" w14:textId="77777777" w:rsidR="00260681" w:rsidRDefault="00260681" w:rsidP="00B7466C">
      <w:pPr>
        <w:spacing w:line="480" w:lineRule="auto"/>
      </w:pPr>
    </w:p>
    <w:p w14:paraId="05330707" w14:textId="77777777" w:rsidR="00260681" w:rsidRDefault="00260681" w:rsidP="00B7466C">
      <w:pPr>
        <w:spacing w:line="480" w:lineRule="auto"/>
      </w:pPr>
    </w:p>
    <w:p w14:paraId="11A14374" w14:textId="77777777" w:rsidR="00260681" w:rsidRDefault="00260681" w:rsidP="00B7466C">
      <w:pPr>
        <w:spacing w:line="480" w:lineRule="auto"/>
      </w:pPr>
    </w:p>
    <w:p w14:paraId="72A57D8C" w14:textId="77777777" w:rsidR="00260681" w:rsidRDefault="00260681" w:rsidP="00B7466C">
      <w:pPr>
        <w:spacing w:line="480" w:lineRule="auto"/>
      </w:pPr>
    </w:p>
    <w:p w14:paraId="51CE5DD8" w14:textId="77777777" w:rsidR="00260681" w:rsidRDefault="00260681" w:rsidP="00B7466C">
      <w:pPr>
        <w:spacing w:line="480" w:lineRule="auto"/>
      </w:pPr>
    </w:p>
    <w:p w14:paraId="74F2F637" w14:textId="77777777" w:rsidR="00260681" w:rsidRDefault="00260681" w:rsidP="00B7466C">
      <w:pPr>
        <w:spacing w:line="480" w:lineRule="auto"/>
      </w:pPr>
    </w:p>
    <w:p w14:paraId="27DC9883" w14:textId="77777777" w:rsidR="00B7466C" w:rsidRDefault="00B7466C" w:rsidP="00B7466C">
      <w:pPr>
        <w:spacing w:line="480" w:lineRule="auto"/>
      </w:pPr>
    </w:p>
    <w:p w14:paraId="54D3AF3B" w14:textId="77777777" w:rsidR="00B7466C" w:rsidRDefault="00B7466C" w:rsidP="00B7466C">
      <w:pPr>
        <w:spacing w:line="480" w:lineRule="auto"/>
      </w:pPr>
    </w:p>
    <w:p w14:paraId="57F65BE0" w14:textId="77777777" w:rsidR="00B7466C" w:rsidRDefault="00B7466C" w:rsidP="00B7466C">
      <w:pPr>
        <w:spacing w:line="480" w:lineRule="auto"/>
      </w:pPr>
    </w:p>
    <w:p w14:paraId="212F7A5E" w14:textId="77777777" w:rsidR="00B7466C" w:rsidRDefault="00B7466C" w:rsidP="00B7466C">
      <w:pPr>
        <w:spacing w:line="480" w:lineRule="auto"/>
      </w:pPr>
    </w:p>
    <w:p w14:paraId="35762165" w14:textId="77777777" w:rsidR="00B7466C" w:rsidRDefault="00B7466C" w:rsidP="00B7466C">
      <w:pPr>
        <w:spacing w:line="480" w:lineRule="auto"/>
      </w:pPr>
    </w:p>
    <w:p w14:paraId="0FEBF0D8" w14:textId="77777777" w:rsidR="00B7466C" w:rsidRDefault="00B7466C" w:rsidP="00B7466C">
      <w:pPr>
        <w:spacing w:line="480" w:lineRule="auto"/>
      </w:pPr>
    </w:p>
    <w:p w14:paraId="69833714" w14:textId="77777777" w:rsidR="00B7466C" w:rsidRDefault="00B7466C" w:rsidP="00B7466C">
      <w:pPr>
        <w:spacing w:line="480" w:lineRule="auto"/>
      </w:pPr>
    </w:p>
    <w:p w14:paraId="69E4E556" w14:textId="77777777" w:rsidR="00260681" w:rsidRDefault="00260681" w:rsidP="00B7466C">
      <w:pPr>
        <w:spacing w:line="480" w:lineRule="auto"/>
        <w:rPr>
          <w:b/>
          <w:bCs/>
        </w:rPr>
      </w:pPr>
      <w:r>
        <w:rPr>
          <w:b/>
          <w:bCs/>
        </w:rPr>
        <w:lastRenderedPageBreak/>
        <w:t>Abstract</w:t>
      </w:r>
    </w:p>
    <w:p w14:paraId="0D3F03BD" w14:textId="77777777" w:rsidR="00260681" w:rsidRDefault="00774E27" w:rsidP="00B7466C">
      <w:pPr>
        <w:spacing w:line="480" w:lineRule="auto"/>
      </w:pPr>
      <w:r>
        <w:t>Age-related differences in affect are well established, but their neural mechanisms remain unclear. In a preregistered replication and extension of Puccetti et al. (2021), we tested associations among age, affect, left-amygdala negative persistence, and amygdala–ventromedial prefrontal cortex (vmPFC) connectivity using U.S. MIDUS 3 daily diary (2017–2019) and neuroscience (2017–2022) data. The joint diary–fMRI sample (N = 81; ages 48–95) was 61.7% female and 82.7% White. Older age was associated with higher positive affect (β = .010, p &lt; .001) and lower negative affect (β = −.00285, p &lt; .001) in the diary sample (N = 1,168). In the joint sample, greater persistence predicted higher raw negative affect (β = .278, p = .020), but not positive affect or log-transformed negative affect (ps ≥ .063). Older age predicted lower persistence in the fMRI sample (β = −.00260, p = .018; N = 127), but this association was attenuated in the joint sample (β = −.00132, p = .400), and all bootstrap CIs for indirect age–affect associations included zero. Greater left-amygdala–anterior vmPFC connectivity predicted lower raw and log-transformed negative affect (β = −.106, p = .039; β = −1.063, p = .014), but not persistence (p = .299). In MIDUS Refresher 1 (daily diary, 2012–2014; neuroscience, 2012–2016), affect estimates were directionally similar but nonsignificant (N = 48; ps ≥ .102), whereas the age–persistence estimate reversed direction. Findings partially replicated persistence–affect associations and identified distinct age–persistence and connectivity–affect associations, but small, selectively retained, predominantly White joint samples and mixed cross-cohort evidence limit generalizability.</w:t>
      </w:r>
    </w:p>
    <w:p w14:paraId="32DDD49C" w14:textId="77777777" w:rsidR="00115226" w:rsidRDefault="00115226" w:rsidP="00B7466C">
      <w:pPr>
        <w:spacing w:line="480" w:lineRule="auto"/>
      </w:pPr>
    </w:p>
    <w:p w14:paraId="0332427C" w14:textId="77777777" w:rsidR="00AA72AD" w:rsidRDefault="00AA72AD" w:rsidP="00B7466C">
      <w:pPr>
        <w:spacing w:line="480" w:lineRule="auto"/>
      </w:pPr>
    </w:p>
    <w:p w14:paraId="3A2D5268" w14:textId="77777777" w:rsidR="00AA72AD" w:rsidRDefault="00AA72AD" w:rsidP="00B7466C">
      <w:pPr>
        <w:spacing w:line="480" w:lineRule="auto"/>
      </w:pPr>
    </w:p>
    <w:p w14:paraId="77BF44EF" w14:textId="77777777" w:rsidR="00115226" w:rsidRPr="00F42358" w:rsidRDefault="00115226" w:rsidP="00B7466C">
      <w:pPr>
        <w:spacing w:line="480" w:lineRule="auto"/>
      </w:pPr>
    </w:p>
    <w:p w14:paraId="7FC47DE8" w14:textId="77777777" w:rsidR="0047593B" w:rsidRDefault="0047593B" w:rsidP="00B7466C">
      <w:pPr>
        <w:spacing w:line="480" w:lineRule="auto"/>
        <w:rPr>
          <w:b/>
          <w:bCs/>
        </w:rPr>
      </w:pPr>
      <w:r>
        <w:rPr>
          <w:b/>
          <w:bCs/>
        </w:rPr>
        <w:t>Introduction</w:t>
      </w:r>
    </w:p>
    <w:p w14:paraId="301F1B81" w14:textId="3D2D7199" w:rsidR="00B14F74" w:rsidRDefault="006B6757" w:rsidP="00B7466C">
      <w:pPr>
        <w:spacing w:line="480" w:lineRule="auto"/>
      </w:pPr>
      <w:r>
        <w:t xml:space="preserve">Older adults consistently report more positive affect and less negative affect </w:t>
      </w:r>
      <w:r w:rsidR="00BF79C2">
        <w:t>than</w:t>
      </w:r>
      <w:r>
        <w:t xml:space="preserve"> younger adults</w:t>
      </w:r>
      <w:r w:rsidR="008E0FC7">
        <w:t xml:space="preserve"> </w:t>
      </w:r>
      <w:r w:rsidR="008E0FC7">
        <w:fldChar w:fldCharType="begin"/>
      </w:r>
      <w:r w:rsidR="000C6F98">
        <w:instrText xml:space="preserve"> ADDIN EN.CITE &lt;EndNote&gt;&lt;Cite&gt;&lt;Author&gt;Mather&lt;/Author&gt;&lt;Year&gt;2012&lt;/Year&gt;&lt;IDText&gt;The emotion paradox in the aging brain&lt;/IDText&gt;&lt;DisplayText&gt;(Mather, 2012)&lt;/DisplayText&gt;&lt;record&gt;&lt;isbn&gt;1573318655&lt;/isbn&gt;&lt;titles&gt;&lt;title&gt;The emotion paradox in the aging brain&lt;/title&gt;&lt;short-title&gt;The emotion paradox in the aging brain&lt;/short-title&gt;&lt;/titles&gt;&lt;contributors&gt;&lt;authors&gt;&lt;author&gt;Mather, Mara&lt;/author&gt;&lt;/authors&gt;&lt;/contributors&gt;&lt;added-date format="utc"&gt;1683656469&lt;/added-date&gt;&lt;ref-type name="Journal Article"&gt;17&lt;/ref-type&gt;&lt;dates&gt;&lt;year&gt;2012&lt;/year&gt;&lt;/dates&gt;&lt;rec-number&gt;720&lt;/rec-number&gt;&lt;last-updated-date format="utc"&gt;1683656469&lt;/last-updated-date&gt;&lt;electronic-resource-num&gt;10.1111/j.1749-6632.2012.06471.x&lt;/electronic-resource-num&gt;&lt;/record&gt;&lt;/Cite&gt;&lt;/EndNote&gt;</w:instrText>
      </w:r>
      <w:r w:rsidR="008E0FC7">
        <w:fldChar w:fldCharType="separate"/>
      </w:r>
      <w:r w:rsidR="000C6F98">
        <w:rPr>
          <w:noProof/>
        </w:rPr>
        <w:t>(Mather, 2012)</w:t>
      </w:r>
      <w:r w:rsidR="008E0FC7">
        <w:fldChar w:fldCharType="end"/>
      </w:r>
      <w:r>
        <w:t xml:space="preserve">. </w:t>
      </w:r>
      <w:r w:rsidR="003475EC">
        <w:t>Despite this, there are significant individual differences in affective experience in older adults</w:t>
      </w:r>
      <w:r w:rsidR="00224247">
        <w:t>. P</w:t>
      </w:r>
      <w:r w:rsidR="001526A7">
        <w:t>ositive affective experience has been highlighted as a key resilience factor</w:t>
      </w:r>
      <w:r w:rsidR="00C61027">
        <w:t xml:space="preserve"> for promoting healthy aging </w:t>
      </w:r>
      <w:r w:rsidR="005B6EBB">
        <w:fldChar w:fldCharType="begin"/>
      </w:r>
      <w:r w:rsidR="000C6F98">
        <w:instrText xml:space="preserve"> ADDIN EN.CITE &lt;EndNote&gt;&lt;Cite&gt;&lt;Author&gt;Anthony&lt;/Author&gt;&lt;Year&gt;2024&lt;/Year&gt;&lt;IDText&gt;Positive affect disrupts neurodegeneration effects on cognitive training plasticity in older adults&lt;/IDText&gt;&lt;DisplayText&gt;(Anthony et al., 2024)&lt;/DisplayText&gt;&lt;record&gt;&lt;isbn&gt;1749-5016&lt;/isbn&gt;&lt;titles&gt;&lt;title&gt;Positive affect disrupts neurodegeneration effects on cognitive training plasticity in older adults&lt;/title&gt;&lt;secondary-title&gt;Social cognitive and affective neuroscience&lt;/secondary-title&gt;&lt;/titles&gt;&lt;pages&gt;nsae004&lt;/pages&gt;&lt;number&gt;1&lt;/number&gt;&lt;contributors&gt;&lt;authors&gt;&lt;author&gt;Anthony, Mia&lt;/author&gt;&lt;author&gt;Turnbull, Adam&lt;/author&gt;&lt;author&gt;Tadin, Duje&lt;/author&gt;&lt;author&gt;Lin, F Vankee&lt;/author&gt;&lt;/authors&gt;&lt;/contributors&gt;&lt;added-date format="utc"&gt;1743022352&lt;/added-date&gt;&lt;ref-type name="Journal Article"&gt;17&lt;/ref-type&gt;&lt;dates&gt;&lt;year&gt;2024&lt;/year&gt;&lt;/dates&gt;&lt;rec-number&gt;1849&lt;/rec-number&gt;&lt;last-updated-date format="utc"&gt;1743022352&lt;/last-updated-date&gt;&lt;volume&gt;19&lt;/volume&gt;&lt;/record&gt;&lt;/Cite&gt;&lt;/EndNote&gt;</w:instrText>
      </w:r>
      <w:r w:rsidR="005B6EBB">
        <w:fldChar w:fldCharType="separate"/>
      </w:r>
      <w:r w:rsidR="000C6F98">
        <w:rPr>
          <w:noProof/>
        </w:rPr>
        <w:t>(Anthony et al., 2024)</w:t>
      </w:r>
      <w:r w:rsidR="005B6EBB">
        <w:fldChar w:fldCharType="end"/>
      </w:r>
      <w:r w:rsidR="00C61027">
        <w:t xml:space="preserve"> while a shift toward negative affect is associated with the emergence of late-life psychiatric diagnoses </w:t>
      </w:r>
      <w:r w:rsidR="00C61027">
        <w:fldChar w:fldCharType="begin"/>
      </w:r>
      <w:r w:rsidR="000C6F98">
        <w:instrText xml:space="preserve"> ADDIN EN.CITE &lt;EndNote&gt;&lt;Cite&gt;&lt;Author&gt;Alexopoulos&lt;/Author&gt;&lt;Year&gt;2019&lt;/Year&gt;&lt;IDText&gt;Mechanisms and treatment of late-life depression&lt;/IDText&gt;&lt;DisplayText&gt;(Alexopoulos, 2019)&lt;/DisplayText&gt;&lt;record&gt;&lt;isbn&gt;2158-3188&lt;/isbn&gt;&lt;titles&gt;&lt;title&gt;Mechanisms and treatment of late-life depression&lt;/title&gt;&lt;secondary-title&gt;Translational psychiatry&lt;/secondary-title&gt;&lt;short-title&gt;Mechanisms and treatment of late-life depression&lt;/short-title&gt;&lt;/titles&gt;&lt;pages&gt;1-16&lt;/pages&gt;&lt;number&gt;1&lt;/number&gt;&lt;contributors&gt;&lt;authors&gt;&lt;author&gt;Alexopoulos, George S&lt;/author&gt;&lt;/authors&gt;&lt;/contributors&gt;&lt;added-date format="utc"&gt;1683656501&lt;/added-date&gt;&lt;ref-type name="Journal Article"&gt;17&lt;/ref-type&gt;&lt;dates&gt;&lt;year&gt;2019&lt;/year&gt;&lt;/dates&gt;&lt;rec-number&gt;1608&lt;/rec-number&gt;&lt;last-updated-date format="utc"&gt;1683656501&lt;/last-updated-date&gt;&lt;volume&gt;9&lt;/volume&gt;&lt;/record&gt;&lt;/Cite&gt;&lt;/EndNote&gt;</w:instrText>
      </w:r>
      <w:r w:rsidR="00C61027">
        <w:fldChar w:fldCharType="separate"/>
      </w:r>
      <w:r w:rsidR="000C6F98">
        <w:rPr>
          <w:noProof/>
        </w:rPr>
        <w:t>(Alexopoulos, 2019)</w:t>
      </w:r>
      <w:r w:rsidR="00C61027">
        <w:fldChar w:fldCharType="end"/>
      </w:r>
      <w:r w:rsidR="00C61027">
        <w:t xml:space="preserve"> as well as increased risk for dementia </w:t>
      </w:r>
      <w:r w:rsidR="00C61027">
        <w:fldChar w:fldCharType="begin"/>
      </w:r>
      <w:r w:rsidR="000C6F98">
        <w:instrText xml:space="preserve"> ADDIN EN.CITE &lt;EndNote&gt;&lt;Cite&gt;&lt;Author&gt;Hu&lt;/Author&gt;&lt;Year&gt;2020&lt;/Year&gt;&lt;IDText&gt;Neuropsychiatric symptoms as prognostic makers for the elderly with mild cognitive impairment: a meta-analysis&lt;/IDText&gt;&lt;DisplayText&gt;(Hu et al., 2020)&lt;/DisplayText&gt;&lt;record&gt;&lt;isbn&gt;0165-0327&lt;/isbn&gt;&lt;titles&gt;&lt;title&gt;Neuropsychiatric symptoms as prognostic makers for the elderly with mild cognitive impairment: a meta-analysis&lt;/title&gt;&lt;secondary-title&gt;Journal of Affective Disorders&lt;/secondary-title&gt;&lt;/titles&gt;&lt;pages&gt;185-192&lt;/pages&gt;&lt;contributors&gt;&lt;authors&gt;&lt;author&gt;Hu, Mingyue&lt;/author&gt;&lt;author&gt;Shu, Xinhui&lt;/author&gt;&lt;author&gt;Wu, Xinyin&lt;/author&gt;&lt;author&gt;Chen, Fenghui&lt;/author&gt;&lt;author&gt;Hu, Hengyu&lt;/author&gt;&lt;author&gt;Zhang, Junmei&lt;/author&gt;&lt;author&gt;Yan, Ping&lt;/author&gt;&lt;author&gt;Feng, Hui&lt;/author&gt;&lt;/authors&gt;&lt;/contributors&gt;&lt;added-date format="utc"&gt;1734733291&lt;/added-date&gt;&lt;ref-type name="Journal Article"&gt;17&lt;/ref-type&gt;&lt;dates&gt;&lt;year&gt;2020&lt;/year&gt;&lt;/dates&gt;&lt;rec-number&gt;1757&lt;/rec-number&gt;&lt;last-updated-date format="utc"&gt;1734733291&lt;/last-updated-date&gt;&lt;volume&gt;271&lt;/volume&gt;&lt;/record&gt;&lt;/Cite&gt;&lt;/EndNote&gt;</w:instrText>
      </w:r>
      <w:r w:rsidR="00C61027">
        <w:fldChar w:fldCharType="separate"/>
      </w:r>
      <w:r w:rsidR="000C6F98">
        <w:rPr>
          <w:noProof/>
        </w:rPr>
        <w:t>(Hu et al., 2020)</w:t>
      </w:r>
      <w:r w:rsidR="00C61027">
        <w:fldChar w:fldCharType="end"/>
      </w:r>
      <w:r w:rsidR="001526A7">
        <w:t xml:space="preserve">. </w:t>
      </w:r>
      <w:r w:rsidR="00EA49B9">
        <w:t xml:space="preserve">There is a need </w:t>
      </w:r>
      <w:r w:rsidR="00EA49B9">
        <w:lastRenderedPageBreak/>
        <w:t xml:space="preserve">to better characterize the </w:t>
      </w:r>
      <w:r w:rsidR="002836BB">
        <w:t xml:space="preserve">neurocognitive </w:t>
      </w:r>
      <w:r w:rsidR="00EA49B9">
        <w:t xml:space="preserve">circuit-level mechanisms of affective experience in healthy older adults to better understand </w:t>
      </w:r>
      <w:r w:rsidR="002836BB">
        <w:t>these individual differences</w:t>
      </w:r>
      <w:r w:rsidR="00EA49B9">
        <w:t xml:space="preserve">. </w:t>
      </w:r>
    </w:p>
    <w:p w14:paraId="1C676959" w14:textId="6AB7EA01" w:rsidR="005077D0" w:rsidRDefault="005F1444" w:rsidP="00B7466C">
      <w:pPr>
        <w:spacing w:line="480" w:lineRule="auto"/>
      </w:pPr>
      <w:r>
        <w:t>Task-based fMRI is a promising tool for understanding the circuit-level mechanisms underlying affective experience in healthy older adults. Recent perspectives suggest that task-based fMRI can better probe at-risk processes in older adults by highlighting key differences that only emerge when these processes are engaged</w:t>
      </w:r>
      <w:r w:rsidR="00CD4E31">
        <w:t xml:space="preserve"> </w:t>
      </w:r>
      <w:r w:rsidR="004B4C9A">
        <w:fldChar w:fldCharType="begin"/>
      </w:r>
      <w:r w:rsidR="000C6F98">
        <w:instrText xml:space="preserve"> ADDIN EN.CITE &lt;EndNote&gt;&lt;Cite&gt;&lt;Author&gt;Mooraj&lt;/Author&gt;&lt;Year&gt;2025&lt;/Year&gt;&lt;IDText&gt;Toward a functional future for the cognitive neuroscience of human aging&lt;/IDText&gt;&lt;DisplayText&gt;(Mooraj et al., 2025)&lt;/DisplayText&gt;&lt;record&gt;&lt;isbn&gt;0896-6273&lt;/isbn&gt;&lt;titles&gt;&lt;title&gt;Toward a functional future for the cognitive neuroscience of human aging&lt;/title&gt;&lt;secondary-title&gt;Neuron&lt;/secondary-title&gt;&lt;/titles&gt;&lt;pages&gt;154-183&lt;/pages&gt;&lt;number&gt;1&lt;/number&gt;&lt;contributors&gt;&lt;authors&gt;&lt;author&gt;Mooraj, Zoya&lt;/author&gt;&lt;author&gt;Salami, Alireza&lt;/author&gt;&lt;author&gt;Campbell, Karen L&lt;/author&gt;&lt;author&gt;Dahl, Martin J&lt;/author&gt;&lt;author&gt;Kosciessa, Julian Q&lt;/author&gt;&lt;author&gt;Nassar, Matthew R&lt;/author&gt;&lt;author&gt;Werkle-Bergner, Markus&lt;/author&gt;&lt;author&gt;Craik, Fergus IM&lt;/author&gt;&lt;author&gt;Lindenberger, Ulman&lt;/author&gt;&lt;author&gt;Mayr, Ulrich&lt;/author&gt;&lt;/authors&gt;&lt;/contributors&gt;&lt;added-date format="utc"&gt;1756931631&lt;/added-date&gt;&lt;ref-type name="Journal Article"&gt;17&lt;/ref-type&gt;&lt;dates&gt;&lt;year&gt;2025&lt;/year&gt;&lt;/dates&gt;&lt;rec-number&gt;2006&lt;/rec-number&gt;&lt;last-updated-date format="utc"&gt;1756931631&lt;/last-updated-date&gt;&lt;volume&gt;113&lt;/volume&gt;&lt;/record&gt;&lt;/Cite&gt;&lt;/EndNote&gt;</w:instrText>
      </w:r>
      <w:r w:rsidR="004B4C9A">
        <w:fldChar w:fldCharType="separate"/>
      </w:r>
      <w:r w:rsidR="000C6F98">
        <w:rPr>
          <w:noProof/>
        </w:rPr>
        <w:t>(Mooraj et al., 2025)</w:t>
      </w:r>
      <w:r w:rsidR="004B4C9A">
        <w:fldChar w:fldCharType="end"/>
      </w:r>
      <w:r>
        <w:t xml:space="preserve">. </w:t>
      </w:r>
      <w:r w:rsidR="00AC4BD8">
        <w:t>Previous research has highlighted that both the activity of the amygdala and vmPFC-amygdala connectivity in response to negative affective experiences are</w:t>
      </w:r>
      <w:r w:rsidR="006C26B9">
        <w:t xml:space="preserve"> important for adaptive emotional responding. Initially, this connectivity was conceptualized as a form of model-free or implicit emotion regulation</w:t>
      </w:r>
      <w:r w:rsidR="00BC467D">
        <w:t xml:space="preserve"> </w:t>
      </w:r>
      <w:r w:rsidR="009C23BC">
        <w:fldChar w:fldCharType="begin"/>
      </w:r>
      <w:r w:rsidR="000C6F98">
        <w:instrText xml:space="preserve"> ADDIN EN.CITE &lt;EndNote&gt;&lt;Cite&gt;&lt;Author&gt;Etkin&lt;/Author&gt;&lt;Year&gt;2015&lt;/Year&gt;&lt;IDText&gt;The neural bases of emotion regulation&lt;/IDText&gt;&lt;DisplayText&gt;(Etkin et al., 2015)&lt;/DisplayText&gt;&lt;record&gt;&lt;isbn&gt;1471-0048&lt;/isbn&gt;&lt;titles&gt;&lt;title&gt;The neural bases of emotion regulation&lt;/title&gt;&lt;secondary-title&gt;Nature reviews neuroscience&lt;/secondary-title&gt;&lt;/titles&gt;&lt;pages&gt;693-700&lt;/pages&gt;&lt;number&gt;11&lt;/number&gt;&lt;contributors&gt;&lt;authors&gt;&lt;author&gt;Etkin, Amit&lt;/author&gt;&lt;author&gt;Büchel, Christian&lt;/author&gt;&lt;author&gt;Gross, James J&lt;/author&gt;&lt;/authors&gt;&lt;/contributors&gt;&lt;added-date format="utc"&gt;1742931956&lt;/added-date&gt;&lt;ref-type name="Journal Article"&gt;17&lt;/ref-type&gt;&lt;dates&gt;&lt;year&gt;2015&lt;/year&gt;&lt;/dates&gt;&lt;rec-number&gt;1840&lt;/rec-number&gt;&lt;last-updated-date format="utc"&gt;1742931956&lt;/last-updated-date&gt;&lt;volume&gt;16&lt;/volume&gt;&lt;/record&gt;&lt;/Cite&gt;&lt;/EndNote&gt;</w:instrText>
      </w:r>
      <w:r w:rsidR="009C23BC">
        <w:fldChar w:fldCharType="separate"/>
      </w:r>
      <w:r w:rsidR="000C6F98">
        <w:rPr>
          <w:noProof/>
        </w:rPr>
        <w:t>(Etkin et al., 2015)</w:t>
      </w:r>
      <w:r w:rsidR="009C23BC">
        <w:fldChar w:fldCharType="end"/>
      </w:r>
      <w:r w:rsidR="006C26B9">
        <w:t xml:space="preserve">, although more recent models frame this in terms of adjusting </w:t>
      </w:r>
      <w:r w:rsidR="00A3004E">
        <w:t xml:space="preserve">or modulating </w:t>
      </w:r>
      <w:r w:rsidR="006C26B9">
        <w:t xml:space="preserve">affective valuations encoded in the amygdala </w:t>
      </w:r>
      <w:r w:rsidR="00E258E2">
        <w:fldChar w:fldCharType="begin"/>
      </w:r>
      <w:r w:rsidR="000C6F98">
        <w:instrText xml:space="preserve"> ADDIN EN.CITE &lt;EndNote&gt;&lt;Cite&gt;&lt;Author&gt;Zhang&lt;/Author&gt;&lt;Year&gt;2025&lt;/Year&gt;&lt;IDText&gt;The brain bases of emotion generation and emotion regulation&lt;/IDText&gt;&lt;DisplayText&gt;(Turnbull et al., 2026; Zhang et al., 2025)&lt;/DisplayText&gt;&lt;record&gt;&lt;isbn&gt;1364-6613&lt;/isbn&gt;&lt;titles&gt;&lt;title&gt;The brain bases of emotion generation and emotion regulation&lt;/title&gt;&lt;secondary-title&gt;Trends in Cognitive Sciences&lt;/secondary-title&gt;&lt;/titles&gt;&lt;contributors&gt;&lt;authors&gt;&lt;author&gt;Zhang, Jin-Xiao&lt;/author&gt;&lt;author&gt;Bo, Ke&lt;/author&gt;&lt;author&gt;Wager, Tor D&lt;/author&gt;&lt;author&gt;Gross, James J&lt;/author&gt;&lt;/authors&gt;&lt;/contributors&gt;&lt;added-date format="utc"&gt;1756239969&lt;/added-date&gt;&lt;ref-type name="Journal Article"&gt;17&lt;/ref-type&gt;&lt;dates&gt;&lt;year&gt;2025&lt;/year&gt;&lt;/dates&gt;&lt;rec-number&gt;1986&lt;/rec-number&gt;&lt;last-updated-date format="utc"&gt;1756239969&lt;/last-updated-date&gt;&lt;/record&gt;&lt;/Cite&gt;&lt;Cite&gt;&lt;Author&gt;Turnbull&lt;/Author&gt;&lt;Year&gt;2026&lt;/Year&gt;&lt;IDText&gt;The emergence of neuropsychiatric symptoms in preclinical Alzheimer’s disease: An emotion regulation perspective&lt;/IDText&gt;&lt;record&gt;&lt;isbn&gt;0896-6273&lt;/isbn&gt;&lt;titles&gt;&lt;title&gt;The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E258E2">
        <w:fldChar w:fldCharType="separate"/>
      </w:r>
      <w:r w:rsidR="000C6F98">
        <w:rPr>
          <w:noProof/>
        </w:rPr>
        <w:t>(Turnbull et al., 2026; Zhang et al., 2025)</w:t>
      </w:r>
      <w:r w:rsidR="00E258E2">
        <w:fldChar w:fldCharType="end"/>
      </w:r>
      <w:r w:rsidR="00035C2A">
        <w:t xml:space="preserve">, with </w:t>
      </w:r>
      <w:r w:rsidR="003B3D72">
        <w:t xml:space="preserve">anterior vmPFC </w:t>
      </w:r>
      <w:r w:rsidR="00035C2A">
        <w:t xml:space="preserve">hypothesized to </w:t>
      </w:r>
      <w:r w:rsidR="003B3D72">
        <w:t xml:space="preserve">preferentially </w:t>
      </w:r>
      <w:r w:rsidR="00035C2A">
        <w:t>adjust towards</w:t>
      </w:r>
      <w:r w:rsidR="003B3D72">
        <w:t xml:space="preserve"> safety while posterior vmPFC </w:t>
      </w:r>
      <w:r w:rsidR="00035C2A">
        <w:t>adjusts towards</w:t>
      </w:r>
      <w:r w:rsidR="003B3D72">
        <w:t xml:space="preserve"> threat </w:t>
      </w:r>
      <w:r w:rsidR="003B3D72">
        <w:fldChar w:fldCharType="begin"/>
      </w:r>
      <w:r w:rsidR="000C6F98">
        <w:instrText xml:space="preserve"> ADDIN EN.CITE &lt;EndNote&gt;&lt;Cite&gt;&lt;Author&gt;Tashjian&lt;/Author&gt;&lt;Year&gt;2021&lt;/Year&gt;&lt;IDText&gt;A decision architecture for safety computations&lt;/IDText&gt;&lt;DisplayText&gt;(Tashjian et al., 2021)&lt;/DisplayText&gt;&lt;record&gt;&lt;isbn&gt;1364-6613&lt;/isbn&gt;&lt;titles&gt;&lt;title&gt;A decision architecture for safety computations&lt;/title&gt;&lt;secondary-title&gt;Trends in Cognitive Sciences&lt;/secondary-title&gt;&lt;/titles&gt;&lt;pages&gt;342-354&lt;/pages&gt;&lt;number&gt;5&lt;/number&gt;&lt;contributors&gt;&lt;authors&gt;&lt;author&gt;Tashjian, Sarah M&lt;/author&gt;&lt;author&gt;Zbozinek, Tomislav D&lt;/author&gt;&lt;author&gt;Mobbs, Dean&lt;/author&gt;&lt;/authors&gt;&lt;/contributors&gt;&lt;added-date format="utc"&gt;1755106802&lt;/added-date&gt;&lt;ref-type name="Journal Article"&gt;17&lt;/ref-type&gt;&lt;dates&gt;&lt;year&gt;2021&lt;/year&gt;&lt;/dates&gt;&lt;rec-number&gt;1937&lt;/rec-number&gt;&lt;last-updated-date format="utc"&gt;1755106802&lt;/last-updated-date&gt;&lt;volume&gt;25&lt;/volume&gt;&lt;/record&gt;&lt;/Cite&gt;&lt;/EndNote&gt;</w:instrText>
      </w:r>
      <w:r w:rsidR="003B3D72">
        <w:fldChar w:fldCharType="separate"/>
      </w:r>
      <w:r w:rsidR="000C6F98">
        <w:rPr>
          <w:noProof/>
        </w:rPr>
        <w:t>(Tashjian et al., 2021)</w:t>
      </w:r>
      <w:r w:rsidR="003B3D72">
        <w:fldChar w:fldCharType="end"/>
      </w:r>
      <w:r w:rsidR="003B3D72">
        <w:t xml:space="preserve">. </w:t>
      </w:r>
    </w:p>
    <w:p w14:paraId="46413840" w14:textId="77777777" w:rsidR="00524DCC" w:rsidRDefault="000D2D25" w:rsidP="00B7466C">
      <w:pPr>
        <w:spacing w:line="480" w:lineRule="auto"/>
      </w:pPr>
      <w:r>
        <w:t xml:space="preserve">Although testing dlPFC-mediated model-based emotion regulation requires the use of specific emotion regulation paradigms that measure or experimentally manipulate the strategies being used, model-free emotion regulation hypothetically occurs during any emotional experience. </w:t>
      </w:r>
      <w:r w:rsidR="00B404F6">
        <w:t>To test whether the engagement of model-free emotion regulation circuitry was associated with 1) changes in amygdala-mediated affective valuations and 2) daily life affect we leveraged the recent release of the Midlife in the US (MIDUS) (</w:t>
      </w:r>
      <w:hyperlink r:id="rId7" w:history="1">
        <w:r w:rsidR="00B404F6" w:rsidRPr="00B11F54">
          <w:rPr>
            <w:rStyle w:val="Hyperlink"/>
          </w:rPr>
          <w:t>https://midus.wisc.edu/</w:t>
        </w:r>
      </w:hyperlink>
      <w:r w:rsidR="00B404F6">
        <w:t>) 3 Neuroscience project (MIDUS3; 2017-2022)</w:t>
      </w:r>
      <w:r w:rsidR="004C4C27">
        <w:t xml:space="preserve">. </w:t>
      </w:r>
    </w:p>
    <w:p w14:paraId="4F17BC93" w14:textId="7ACDADA0" w:rsidR="003F0CDC" w:rsidRDefault="00524DCC" w:rsidP="00B7466C">
      <w:pPr>
        <w:spacing w:line="480" w:lineRule="auto"/>
      </w:pPr>
      <w:r>
        <w:lastRenderedPageBreak/>
        <w:t>Specifically, w</w:t>
      </w:r>
      <w:r w:rsidR="004C4C27">
        <w:t>e</w:t>
      </w:r>
      <w:r w:rsidR="00B404F6">
        <w:t xml:space="preserve"> perform</w:t>
      </w:r>
      <w:r w:rsidR="004C4C27">
        <w:t xml:space="preserve">ed </w:t>
      </w:r>
      <w:r w:rsidR="00B404F6">
        <w:t>a pre-registered replication and extension of a study linking increased persistence in the voxel-wise pattern of left amygdala responses to negative images</w:t>
      </w:r>
      <w:r w:rsidR="00EE5B5D">
        <w:t xml:space="preserve"> (hypothesized to reflect affective valuation)</w:t>
      </w:r>
      <w:r w:rsidR="00B404F6">
        <w:t xml:space="preserve"> to daily life affect in the MIDUS 2 dataset </w:t>
      </w:r>
      <w:r w:rsidR="00B404F6">
        <w:fldChar w:fldCharType="begin"/>
      </w:r>
      <w:r w:rsidR="000C6F98">
        <w:instrText xml:space="preserve"> ADDIN EN.CITE &lt;EndNote&gt;&lt;Cite&gt;&lt;Author&gt;Puccetti&lt;/Author&gt;&lt;Year&gt;2021&lt;/Year&gt;&lt;IDText&gt;Linking amygdala persistence to real-world emotional experience and psychological well-being&lt;/IDText&gt;&lt;DisplayText&gt;(Puccetti et al., 2021)&lt;/DisplayText&gt;&lt;record&gt;&lt;isbn&gt;0270-6474&lt;/isbn&gt;&lt;titles&gt;&lt;title&gt;Linking amygdala persistence to real-world emotional experience and psychological well-being&lt;/title&gt;&lt;secondary-title&gt;Journal of Neuroscience&lt;/secondary-title&gt;&lt;/titles&gt;&lt;pages&gt;3721-3730&lt;/pages&gt;&lt;number&gt;16&lt;/number&gt;&lt;contributors&gt;&lt;authors&gt;&lt;author&gt;Puccetti, Nikki A&lt;/author&gt;&lt;author&gt;Schaefer, Stacey M&lt;/author&gt;&lt;author&gt;Van Reekum, Carien M&lt;/author&gt;&lt;author&gt;Ong, Anthony D&lt;/author&gt;&lt;author&gt;Almeida, David M&lt;/author&gt;&lt;author&gt;Ryff, Carol D&lt;/author&gt;&lt;author&gt;Davidson, Richard J&lt;/author&gt;&lt;author&gt;Heller, Aaron S&lt;/author&gt;&lt;/authors&gt;&lt;/contributors&gt;&lt;added-date format="utc"&gt;1775683526&lt;/added-date&gt;&lt;ref-type name="Journal Article"&gt;17&lt;/ref-type&gt;&lt;dates&gt;&lt;year&gt;2021&lt;/year&gt;&lt;/dates&gt;&lt;rec-number&gt;2047&lt;/rec-number&gt;&lt;last-updated-date format="utc"&gt;1775683526&lt;/last-updated-date&gt;&lt;volume&gt;41&lt;/volume&gt;&lt;/record&gt;&lt;/Cite&gt;&lt;/EndNote&gt;</w:instrText>
      </w:r>
      <w:r w:rsidR="00B404F6">
        <w:fldChar w:fldCharType="separate"/>
      </w:r>
      <w:r w:rsidR="000C6F98">
        <w:rPr>
          <w:noProof/>
        </w:rPr>
        <w:t>(Puccetti et al., 2021)</w:t>
      </w:r>
      <w:r w:rsidR="00B404F6">
        <w:fldChar w:fldCharType="end"/>
      </w:r>
      <w:r w:rsidR="00B404F6">
        <w:t>.</w:t>
      </w:r>
      <w:r w:rsidR="00D6193B">
        <w:t xml:space="preserve"> Pre-registration and replication are important strategies to reduce type 1 error, particularly in neuroimaging analyses in which there are increased researcher degrees of freedom</w:t>
      </w:r>
      <w:r w:rsidR="006A7487">
        <w:t xml:space="preserve"> </w:t>
      </w:r>
      <w:r w:rsidR="00BA7354">
        <w:fldChar w:fldCharType="begin"/>
      </w:r>
      <w:r w:rsidR="000C6F98">
        <w:instrText xml:space="preserve"> ADDIN EN.CITE &lt;EndNote&gt;&lt;Cite&gt;&lt;Author&gt;Botvinik-Nezer&lt;/Author&gt;&lt;Year&gt;2020&lt;/Year&gt;&lt;IDText&gt;Variability in the analysis of a single neuroimaging dataset by many teams&lt;/IDText&gt;&lt;DisplayText&gt;(Botvinik-Nezer et al., 2020; Carp, 2012)&lt;/DisplayText&gt;&lt;record&gt;&lt;isbn&gt;0028-0836&lt;/isbn&gt;&lt;titles&gt;&lt;title&gt;Variability in the analysis of a single neuroimaging dataset by many teams&lt;/title&gt;&lt;secondary-title&gt;Nature&lt;/secondary-title&gt;&lt;/titles&gt;&lt;pages&gt;84-88&lt;/pages&gt;&lt;number&gt;7810&lt;/number&gt;&lt;contributors&gt;&lt;authors&gt;&lt;author&gt;Botvinik-Nezer, Rotem&lt;/author&gt;&lt;author&gt;Holzmeister, Felix&lt;/author&gt;&lt;author&gt;Camerer, Colin F&lt;/author&gt;&lt;author&gt;Dreber, Anna&lt;/author&gt;&lt;author&gt;Huber, Juergen&lt;/author&gt;&lt;author&gt;Johannesson, Magnus&lt;/author&gt;&lt;author&gt;Kirchler, Michael&lt;/author&gt;&lt;author&gt;Iwanir, Roni&lt;/author&gt;&lt;author&gt;Mumford, Jeanette A&lt;/author&gt;&lt;author&gt;Adcock, R Alison&lt;/author&gt;&lt;/authors&gt;&lt;/contributors&gt;&lt;added-date format="utc"&gt;1776441175&lt;/added-date&gt;&lt;ref-type name="Journal Article"&gt;17&lt;/ref-type&gt;&lt;dates&gt;&lt;year&gt;2020&lt;/year&gt;&lt;/dates&gt;&lt;rec-number&gt;2061&lt;/rec-number&gt;&lt;last-updated-date format="utc"&gt;1776441175&lt;/last-updated-date&gt;&lt;volume&gt;582&lt;/volume&gt;&lt;/record&gt;&lt;/Cite&gt;&lt;Cite&gt;&lt;Author&gt;Carp&lt;/Author&gt;&lt;Year&gt;2012&lt;/Year&gt;&lt;IDText&gt;The secret lives of experiments: methods reporting in the fMRI literature&lt;/IDText&gt;&lt;record&gt;&lt;isbn&gt;1053-8119&lt;/isbn&gt;&lt;titles&gt;&lt;title&gt;The secret lives of experiments: methods reporting in the fMRI literature&lt;/title&gt;&lt;secondary-title&gt;Neuroimage&lt;/secondary-title&gt;&lt;/titles&gt;&lt;pages&gt;289-300&lt;/pages&gt;&lt;number&gt;1&lt;/number&gt;&lt;contributors&gt;&lt;authors&gt;&lt;author&gt;Carp, Joshua&lt;/author&gt;&lt;/authors&gt;&lt;/contributors&gt;&lt;added-date format="utc"&gt;1776441206&lt;/added-date&gt;&lt;ref-type name="Journal Article"&gt;17&lt;/ref-type&gt;&lt;dates&gt;&lt;year&gt;2012&lt;/year&gt;&lt;/dates&gt;&lt;rec-number&gt;2062&lt;/rec-number&gt;&lt;last-updated-date format="utc"&gt;1776441206&lt;/last-updated-date&gt;&lt;volume&gt;63&lt;/volume&gt;&lt;/record&gt;&lt;/Cite&gt;&lt;/EndNote&gt;</w:instrText>
      </w:r>
      <w:r w:rsidR="00BA7354">
        <w:fldChar w:fldCharType="separate"/>
      </w:r>
      <w:r w:rsidR="000C6F98">
        <w:rPr>
          <w:noProof/>
        </w:rPr>
        <w:t>(Botvinik-Nezer et al., 2020; Carp, 2012)</w:t>
      </w:r>
      <w:r w:rsidR="00BA7354">
        <w:fldChar w:fldCharType="end"/>
      </w:r>
      <w:r w:rsidR="00762F28">
        <w:t xml:space="preserve"> and </w:t>
      </w:r>
      <w:r w:rsidR="00D6193B">
        <w:t>known inflation of effect sizes</w:t>
      </w:r>
      <w:r w:rsidR="00FD74B9">
        <w:t xml:space="preserve"> </w:t>
      </w:r>
      <w:r w:rsidR="00FD74B9">
        <w:fldChar w:fldCharType="begin"/>
      </w:r>
      <w:r w:rsidR="000C6F98">
        <w:instrText xml:space="preserve"> ADDIN EN.CITE &lt;EndNote&gt;&lt;Cite&gt;&lt;Author&gt;Marek&lt;/Author&gt;&lt;Year&gt;2022&lt;/Year&gt;&lt;IDText&gt;Reproducible brain-wide association studies require thousands of individuals&lt;/IDText&gt;&lt;DisplayText&gt;(Marek et al., 2022)&lt;/DisplayText&gt;&lt;record&gt;&lt;isbn&gt;0028-0836&lt;/isbn&gt;&lt;titles&gt;&lt;title&gt;Reproducible brain-wide association studies require thousands of individuals&lt;/title&gt;&lt;secondary-title&gt;Nature&lt;/secondary-title&gt;&lt;/titles&gt;&lt;pages&gt;654-660&lt;/pages&gt;&lt;number&gt;7902&lt;/number&gt;&lt;contributors&gt;&lt;authors&gt;&lt;author&gt;Marek, Scott&lt;/author&gt;&lt;author&gt;Tervo-Clemmens, Brenden&lt;/author&gt;&lt;author&gt;Calabro, Finnegan J&lt;/author&gt;&lt;author&gt;Montez, David F&lt;/author&gt;&lt;author&gt;Kay, Benjamin P&lt;/author&gt;&lt;author&gt;Hatoum, Alexander S&lt;/author&gt;&lt;author&gt;Donohue, Meghan Rose&lt;/author&gt;&lt;author&gt;Foran, William&lt;/author&gt;&lt;author&gt;Miller, Ryland L&lt;/author&gt;&lt;author&gt;Hendrickson, Timothy J&lt;/author&gt;&lt;/authors&gt;&lt;/contributors&gt;&lt;added-date format="utc"&gt;1719594257&lt;/added-date&gt;&lt;ref-type name="Journal Article"&gt;17&lt;/ref-type&gt;&lt;dates&gt;&lt;year&gt;2022&lt;/year&gt;&lt;/dates&gt;&lt;rec-number&gt;1736&lt;/rec-number&gt;&lt;last-updated-date format="utc"&gt;1719594257&lt;/last-updated-date&gt;&lt;volume&gt;603&lt;/volume&gt;&lt;/record&gt;&lt;/Cite&gt;&lt;/EndNote&gt;</w:instrText>
      </w:r>
      <w:r w:rsidR="00FD74B9">
        <w:fldChar w:fldCharType="separate"/>
      </w:r>
      <w:r w:rsidR="000C6F98">
        <w:rPr>
          <w:noProof/>
        </w:rPr>
        <w:t>(Marek et al., 2022)</w:t>
      </w:r>
      <w:r w:rsidR="00FD74B9">
        <w:fldChar w:fldCharType="end"/>
      </w:r>
      <w:r w:rsidR="0023425F">
        <w:t xml:space="preserve">. </w:t>
      </w:r>
    </w:p>
    <w:p w14:paraId="5CAA3EA0" w14:textId="5BDDFED3" w:rsidR="000A0255" w:rsidRDefault="00A30D6D" w:rsidP="00B7466C">
      <w:pPr>
        <w:spacing w:line="480" w:lineRule="auto"/>
      </w:pPr>
      <w:r>
        <w:t>W</w:t>
      </w:r>
      <w:r w:rsidR="00732473">
        <w:t>e</w:t>
      </w:r>
      <w:r w:rsidR="00F639DB" w:rsidRPr="00F639DB">
        <w:t xml:space="preserve"> tested a set of pre-registered hypotheses</w:t>
      </w:r>
      <w:r w:rsidR="003605DE">
        <w:t xml:space="preserve"> (</w:t>
      </w:r>
      <w:r w:rsidR="003605DE">
        <w:rPr>
          <w:b/>
          <w:bCs/>
        </w:rPr>
        <w:t>Table 1</w:t>
      </w:r>
      <w:r w:rsidR="003605DE">
        <w:t>)</w:t>
      </w:r>
      <w:r w:rsidR="00DF0E0A">
        <w:t xml:space="preserve">. </w:t>
      </w:r>
      <w:r w:rsidR="00851943">
        <w:t>First, we</w:t>
      </w:r>
      <w:r w:rsidR="00F639DB">
        <w:t xml:space="preserve"> </w:t>
      </w:r>
      <w:r w:rsidR="00851943">
        <w:t>aimed to replicate</w:t>
      </w:r>
      <w:r w:rsidR="006260AD">
        <w:t xml:space="preserve"> the </w:t>
      </w:r>
      <w:r w:rsidR="00F639DB" w:rsidRPr="00F639DB">
        <w:t xml:space="preserve">established findings that </w:t>
      </w:r>
      <w:r w:rsidR="007025DE">
        <w:t>older adults report</w:t>
      </w:r>
      <w:r w:rsidR="00F639DB" w:rsidRPr="00F639DB">
        <w:t xml:space="preserve"> </w:t>
      </w:r>
      <w:r w:rsidR="00F37621">
        <w:t>improved</w:t>
      </w:r>
      <w:r w:rsidR="007025DE">
        <w:t xml:space="preserve"> </w:t>
      </w:r>
      <w:r w:rsidR="00F639DB" w:rsidRPr="00F639DB">
        <w:t>daily life affect</w:t>
      </w:r>
      <w:r w:rsidR="006260AD">
        <w:t xml:space="preserve"> </w:t>
      </w:r>
      <w:r w:rsidR="006260AD">
        <w:fldChar w:fldCharType="begin"/>
      </w:r>
      <w:r w:rsidR="000C6F98">
        <w:instrText xml:space="preserve"> ADDIN EN.CITE &lt;EndNote&gt;&lt;Cite&gt;&lt;Author&gt;Mather&lt;/Author&gt;&lt;Year&gt;2012&lt;/Year&gt;&lt;IDText&gt;The emotion paradox in the aging brain&lt;/IDText&gt;&lt;DisplayText&gt;(Mather, 2012)&lt;/DisplayText&gt;&lt;record&gt;&lt;isbn&gt;1573318655&lt;/isbn&gt;&lt;titles&gt;&lt;title&gt;The emotion paradox in the aging brain&lt;/title&gt;&lt;short-title&gt;The emotion paradox in the aging brain&lt;/short-title&gt;&lt;/titles&gt;&lt;contributors&gt;&lt;authors&gt;&lt;author&gt;Mather, Mara&lt;/author&gt;&lt;/authors&gt;&lt;/contributors&gt;&lt;added-date format="utc"&gt;1683656469&lt;/added-date&gt;&lt;ref-type name="Journal Article"&gt;17&lt;/ref-type&gt;&lt;dates&gt;&lt;year&gt;2012&lt;/year&gt;&lt;/dates&gt;&lt;rec-number&gt;720&lt;/rec-number&gt;&lt;last-updated-date format="utc"&gt;1683656469&lt;/last-updated-date&gt;&lt;electronic-resource-num&gt;10.1111/j.1749-6632.2012.06471.x&lt;/electronic-resource-num&gt;&lt;/record&gt;&lt;/Cite&gt;&lt;/EndNote&gt;</w:instrText>
      </w:r>
      <w:r w:rsidR="006260AD">
        <w:fldChar w:fldCharType="separate"/>
      </w:r>
      <w:r w:rsidR="000C6F98">
        <w:rPr>
          <w:noProof/>
        </w:rPr>
        <w:t>(Mather, 2012)</w:t>
      </w:r>
      <w:r w:rsidR="006260AD">
        <w:fldChar w:fldCharType="end"/>
      </w:r>
      <w:r w:rsidR="00F37621">
        <w:t xml:space="preserve"> and </w:t>
      </w:r>
      <w:r w:rsidR="00F639DB" w:rsidRPr="00F639DB">
        <w:t xml:space="preserve">greater amygdala persistence following negative images </w:t>
      </w:r>
      <w:r w:rsidR="007441BB">
        <w:t>relates to</w:t>
      </w:r>
      <w:r w:rsidR="00F639DB" w:rsidRPr="00F639DB">
        <w:t xml:space="preserve"> worse daily life affect</w:t>
      </w:r>
      <w:r w:rsidR="00851943">
        <w:t>, establishing a mechanism for affective valuation</w:t>
      </w:r>
      <w:r w:rsidR="007441BB">
        <w:t xml:space="preserve"> </w:t>
      </w:r>
      <w:r w:rsidR="007441BB">
        <w:fldChar w:fldCharType="begin"/>
      </w:r>
      <w:r w:rsidR="000C6F98">
        <w:instrText xml:space="preserve"> ADDIN EN.CITE &lt;EndNote&gt;&lt;Cite&gt;&lt;Author&gt;Puccetti&lt;/Author&gt;&lt;Year&gt;2021&lt;/Year&gt;&lt;IDText&gt;Linking amygdala persistence to real-world emotional experience and psychological well-being&lt;/IDText&gt;&lt;DisplayText&gt;(Puccetti et al., 2021)&lt;/DisplayText&gt;&lt;record&gt;&lt;isbn&gt;0270-6474&lt;/isbn&gt;&lt;titles&gt;&lt;title&gt;Linking amygdala persistence to real-world emotional experience and psychological well-being&lt;/title&gt;&lt;secondary-title&gt;Journal of Neuroscience&lt;/secondary-title&gt;&lt;/titles&gt;&lt;pages&gt;3721-3730&lt;/pages&gt;&lt;number&gt;16&lt;/number&gt;&lt;contributors&gt;&lt;authors&gt;&lt;author&gt;Puccetti, Nikki A&lt;/author&gt;&lt;author&gt;Schaefer, Stacey M&lt;/author&gt;&lt;author&gt;Van Reekum, Carien M&lt;/author&gt;&lt;author&gt;Ong, Anthony D&lt;/author&gt;&lt;author&gt;Almeida, David M&lt;/author&gt;&lt;author&gt;Ryff, Carol D&lt;/author&gt;&lt;author&gt;Davidson, Richard J&lt;/author&gt;&lt;author&gt;Heller, Aaron S&lt;/author&gt;&lt;/authors&gt;&lt;/contributors&gt;&lt;added-date format="utc"&gt;1775683526&lt;/added-date&gt;&lt;ref-type name="Journal Article"&gt;17&lt;/ref-type&gt;&lt;dates&gt;&lt;year&gt;2021&lt;/year&gt;&lt;/dates&gt;&lt;rec-number&gt;2047&lt;/rec-number&gt;&lt;last-updated-date format="utc"&gt;1775683526&lt;/last-updated-date&gt;&lt;volume&gt;41&lt;/volume&gt;&lt;/record&gt;&lt;/Cite&gt;&lt;/EndNote&gt;</w:instrText>
      </w:r>
      <w:r w:rsidR="007441BB">
        <w:fldChar w:fldCharType="separate"/>
      </w:r>
      <w:r w:rsidR="000C6F98">
        <w:rPr>
          <w:noProof/>
        </w:rPr>
        <w:t>(Puccetti et al., 2021)</w:t>
      </w:r>
      <w:r w:rsidR="007441BB">
        <w:fldChar w:fldCharType="end"/>
      </w:r>
      <w:r w:rsidR="00F639DB" w:rsidRPr="00F639DB">
        <w:t>. We then tested two confirmatory extensions: that amygdala persistence is reduced in older adults</w:t>
      </w:r>
      <w:r w:rsidR="00856618">
        <w:t xml:space="preserve"> </w:t>
      </w:r>
      <w:r w:rsidR="00F639DB" w:rsidRPr="00F639DB">
        <w:t xml:space="preserve">and that this reduced persistence statistically mediates age-related improvements in affect. </w:t>
      </w:r>
      <w:r w:rsidR="00A97665">
        <w:t>We then</w:t>
      </w:r>
      <w:r w:rsidR="00F639DB" w:rsidRPr="00F639DB">
        <w:t xml:space="preserve"> </w:t>
      </w:r>
      <w:r w:rsidR="00057624">
        <w:t>tested the pre-registered exploratory hypothesis that</w:t>
      </w:r>
      <w:r w:rsidR="00F639DB" w:rsidRPr="00F639DB">
        <w:t xml:space="preserve"> </w:t>
      </w:r>
      <w:r w:rsidR="00674B12">
        <w:t>the engagement of model-free emotion regulation circuit (vmPFC-amygdala task-based connectivity)</w:t>
      </w:r>
      <w:r w:rsidR="00F639DB" w:rsidRPr="00F639DB">
        <w:t xml:space="preserve"> predicts amygdala persistence and daily life affect</w:t>
      </w:r>
      <w:r w:rsidR="00006FCA">
        <w:t xml:space="preserve"> (see </w:t>
      </w:r>
      <w:r w:rsidR="00006FCA">
        <w:rPr>
          <w:b/>
          <w:bCs/>
        </w:rPr>
        <w:t>Figure 1</w:t>
      </w:r>
      <w:r w:rsidR="00006FCA">
        <w:t>)</w:t>
      </w:r>
      <w:r w:rsidR="00A97665">
        <w:t xml:space="preserve">. Finally, we explored </w:t>
      </w:r>
      <w:r w:rsidR="00F639DB" w:rsidRPr="00F639DB">
        <w:t xml:space="preserve">whether these relationships are </w:t>
      </w:r>
      <w:r w:rsidR="006A1CBD">
        <w:t>attenuated</w:t>
      </w:r>
      <w:r w:rsidR="00F639DB" w:rsidRPr="00F639DB">
        <w:t xml:space="preserve"> by habitual use of reappraisal or suppression</w:t>
      </w:r>
      <w:r w:rsidR="006A1CBD">
        <w:t xml:space="preserve"> (reflecting compensation via model-based emotion regulation)</w:t>
      </w:r>
      <w:r w:rsidR="00F639DB" w:rsidRPr="00F639DB">
        <w:t>.</w:t>
      </w:r>
    </w:p>
    <w:p w14:paraId="0A315732" w14:textId="68E3B656" w:rsidR="00070505" w:rsidRDefault="000C5E31" w:rsidP="00B7466C">
      <w:pPr>
        <w:keepNext/>
        <w:spacing w:line="480" w:lineRule="auto"/>
      </w:pPr>
      <w:r>
        <w:rPr>
          <w:noProof/>
        </w:rPr>
        <w:lastRenderedPageBreak/>
        <w:drawing>
          <wp:inline distT="0" distB="0" distL="0" distR="0" wp14:anchorId="02D6FBE7" wp14:editId="3E096775">
            <wp:extent cx="5943600" cy="4747895"/>
            <wp:effectExtent l="0" t="0" r="0" b="1905"/>
            <wp:docPr id="194693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34583" name="Picture 19469345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747895"/>
                    </a:xfrm>
                    <a:prstGeom prst="rect">
                      <a:avLst/>
                    </a:prstGeom>
                  </pic:spPr>
                </pic:pic>
              </a:graphicData>
            </a:graphic>
          </wp:inline>
        </w:drawing>
      </w:r>
    </w:p>
    <w:p w14:paraId="21EACF31" w14:textId="77777777" w:rsidR="00D9499B" w:rsidRPr="006B6757" w:rsidRDefault="00070505" w:rsidP="00B7466C">
      <w:pPr>
        <w:pStyle w:val="Caption"/>
        <w:spacing w:line="480" w:lineRule="auto"/>
      </w:pPr>
      <w:r>
        <w:rPr>
          <w:b/>
          <w:bCs/>
        </w:rPr>
        <w:t>Figure 1. Task design, neural measures, and hypothesized relationships.</w:t>
      </w:r>
      <w:r>
        <w:t xml:space="preserve"> (A) Negative, neutral, and positive images were each followed by a neutral face. (B) Left-amygdala negative persistence was the mean Fisher-z-transformed spatial correlation across six directional cross-run negative-image/following-neutral-face pattern pairs. (C) Least-squares-separate beta-series connectivity correlated trial-level amygdala and vmPFC responses within run and valence; negative-minus-neutral connectivity was the primary contrast. The inset shows bilateral amygdala and anterior/posterior vmPFC regions of interest. (D) Hypothesized directions relating persistence and left-amygdala–anterior vmPFC connectivity to daily positive and negative affect. Schematic values are illustrative.</w:t>
      </w:r>
    </w:p>
    <w:p w14:paraId="481B3CDA" w14:textId="77777777" w:rsidR="00042EFE" w:rsidRDefault="00042EFE" w:rsidP="00B7466C">
      <w:pPr>
        <w:spacing w:line="480" w:lineRule="auto"/>
        <w:rPr>
          <w:b/>
          <w:bCs/>
        </w:rPr>
      </w:pPr>
      <w:r>
        <w:rPr>
          <w:b/>
          <w:bCs/>
        </w:rPr>
        <w:t>Methods</w:t>
      </w:r>
    </w:p>
    <w:p w14:paraId="57FA5DEC" w14:textId="77777777" w:rsidR="00AD4E2B" w:rsidRDefault="00000000">
      <w:pPr>
        <w:keepNext/>
      </w:pPr>
      <w:r>
        <w:rPr>
          <w:b/>
        </w:rPr>
        <w:lastRenderedPageBreak/>
        <w:t>Design</w:t>
      </w:r>
    </w:p>
    <w:p w14:paraId="3AF201B3" w14:textId="77777777" w:rsidR="00AD4E2B" w:rsidRDefault="00000000">
      <w:r>
        <w:t>This study used a cross-sectional observational design to test preregistered hypotheses replicating associations between amygdala neural persistence and daily-life affect and extending these hypotheses to vmPFC–amygdala circuitry. The MIDUS 3 (M3) hypotheses and analysis plan were preregistered on the Open Science Framework (https://doi.org/10.17605/OSF.IO/85H2D) before analysis. M3 daily diary data were collected in 2017–2019 and neuroscience data in 2017–2022. Deviations from the preregistered plan are summarized in Table 1. A subsequent, analysis-plan-constrained evaluation in MIDUS Refresher 1 (MR1) examined the corresponding persistence, age, and functional-connectivity associations in an independent cohort; MR1 daily diary data were collected in 2012–2014 and neuroscience data in 2012–2016.</w:t>
      </w:r>
    </w:p>
    <w:p w14:paraId="7137F722" w14:textId="77777777" w:rsidR="009403C6" w:rsidRPr="009403C6" w:rsidRDefault="009403C6" w:rsidP="00B7466C">
      <w:pPr>
        <w:pStyle w:val="Caption"/>
        <w:keepNext/>
        <w:spacing w:line="480" w:lineRule="auto"/>
        <w:rPr>
          <w:b/>
          <w:bCs/>
        </w:rPr>
      </w:pPr>
      <w:r w:rsidRPr="009403C6">
        <w:rPr>
          <w:b/>
          <w:bCs/>
        </w:rPr>
        <w:t xml:space="preserve">Table </w:t>
      </w:r>
      <w:r w:rsidRPr="009403C6">
        <w:rPr>
          <w:b/>
          <w:bCs/>
        </w:rPr>
        <w:fldChar w:fldCharType="begin"/>
      </w:r>
      <w:r w:rsidRPr="009403C6">
        <w:rPr>
          <w:b/>
          <w:bCs/>
        </w:rPr>
        <w:instrText xml:space="preserve"> SEQ Table \* ARABIC </w:instrText>
      </w:r>
      <w:r w:rsidRPr="009403C6">
        <w:rPr>
          <w:b/>
          <w:bCs/>
        </w:rPr>
        <w:fldChar w:fldCharType="separate"/>
      </w:r>
      <w:r w:rsidRPr="009403C6">
        <w:rPr>
          <w:b/>
          <w:bCs/>
          <w:noProof/>
        </w:rPr>
        <w:t>1</w:t>
      </w:r>
      <w:r w:rsidRPr="009403C6">
        <w:rPr>
          <w:b/>
          <w:bCs/>
        </w:rPr>
        <w:fldChar w:fldCharType="end"/>
      </w:r>
      <w:r w:rsidRPr="009403C6">
        <w:rPr>
          <w:b/>
          <w:bCs/>
        </w:rPr>
        <w:t>. Description of pre-registered analyses, including hypotheses, deviations from pre-registration, and justifications.</w:t>
      </w:r>
    </w:p>
    <w:tbl>
      <w:tblPr>
        <w:tblStyle w:val="TableGrid"/>
        <w:tblW w:w="0" w:type="auto"/>
        <w:tblLook w:val="04A0" w:firstRow="1" w:lastRow="0" w:firstColumn="1" w:lastColumn="0" w:noHBand="0" w:noVBand="1"/>
      </w:tblPr>
      <w:tblGrid>
        <w:gridCol w:w="1794"/>
        <w:gridCol w:w="1868"/>
        <w:gridCol w:w="1961"/>
        <w:gridCol w:w="1998"/>
        <w:gridCol w:w="1729"/>
      </w:tblGrid>
      <w:tr w:rsidR="00586381" w14:paraId="1862B850" w14:textId="77777777" w:rsidTr="00C20527">
        <w:tc>
          <w:tcPr>
            <w:tcW w:w="1794" w:type="dxa"/>
          </w:tcPr>
          <w:p w14:paraId="0B10BBA8" w14:textId="77777777" w:rsidR="00586381" w:rsidRPr="00586381" w:rsidRDefault="00586381" w:rsidP="00B7466C">
            <w:pPr>
              <w:rPr>
                <w:b/>
                <w:bCs/>
              </w:rPr>
            </w:pPr>
            <w:r>
              <w:rPr>
                <w:b/>
                <w:bCs/>
              </w:rPr>
              <w:t>Analysis</w:t>
            </w:r>
          </w:p>
        </w:tc>
        <w:tc>
          <w:tcPr>
            <w:tcW w:w="1868" w:type="dxa"/>
          </w:tcPr>
          <w:p w14:paraId="1BFBC984" w14:textId="77777777" w:rsidR="00586381" w:rsidRPr="00586381" w:rsidRDefault="00586381" w:rsidP="00B7466C">
            <w:pPr>
              <w:rPr>
                <w:b/>
                <w:bCs/>
              </w:rPr>
            </w:pPr>
            <w:r>
              <w:rPr>
                <w:b/>
                <w:bCs/>
              </w:rPr>
              <w:t>Pre-registration</w:t>
            </w:r>
          </w:p>
        </w:tc>
        <w:tc>
          <w:tcPr>
            <w:tcW w:w="1961" w:type="dxa"/>
          </w:tcPr>
          <w:p w14:paraId="256E8A3F" w14:textId="77777777" w:rsidR="00586381" w:rsidRPr="00586381" w:rsidRDefault="00586381" w:rsidP="00B7466C">
            <w:pPr>
              <w:rPr>
                <w:b/>
                <w:bCs/>
              </w:rPr>
            </w:pPr>
            <w:r>
              <w:rPr>
                <w:b/>
                <w:bCs/>
              </w:rPr>
              <w:t>Hypothesis</w:t>
            </w:r>
          </w:p>
        </w:tc>
        <w:tc>
          <w:tcPr>
            <w:tcW w:w="1998" w:type="dxa"/>
          </w:tcPr>
          <w:p w14:paraId="1CBA5CB2" w14:textId="77777777" w:rsidR="00586381" w:rsidRPr="00586381" w:rsidRDefault="00586381" w:rsidP="00B7466C">
            <w:pPr>
              <w:rPr>
                <w:b/>
                <w:bCs/>
              </w:rPr>
            </w:pPr>
            <w:r>
              <w:rPr>
                <w:b/>
                <w:bCs/>
              </w:rPr>
              <w:t>Deviations</w:t>
            </w:r>
          </w:p>
        </w:tc>
        <w:tc>
          <w:tcPr>
            <w:tcW w:w="1729" w:type="dxa"/>
          </w:tcPr>
          <w:p w14:paraId="3482C8EB" w14:textId="77777777" w:rsidR="00586381" w:rsidRDefault="00586381" w:rsidP="00B7466C">
            <w:pPr>
              <w:rPr>
                <w:b/>
                <w:bCs/>
              </w:rPr>
            </w:pPr>
            <w:r>
              <w:rPr>
                <w:b/>
                <w:bCs/>
              </w:rPr>
              <w:t>Justification</w:t>
            </w:r>
          </w:p>
        </w:tc>
      </w:tr>
      <w:tr w:rsidR="004D22C1" w14:paraId="400ADC89" w14:textId="77777777" w:rsidTr="004D22C1">
        <w:trPr>
          <w:trHeight w:val="203"/>
        </w:trPr>
        <w:tc>
          <w:tcPr>
            <w:tcW w:w="1794" w:type="dxa"/>
            <w:vMerge w:val="restart"/>
          </w:tcPr>
          <w:p w14:paraId="1E459FD8" w14:textId="77777777" w:rsidR="004D22C1" w:rsidRDefault="004D22C1" w:rsidP="00B7466C">
            <w:r>
              <w:t>Statistical approach (cross-analysis)</w:t>
            </w:r>
          </w:p>
        </w:tc>
        <w:tc>
          <w:tcPr>
            <w:tcW w:w="1868" w:type="dxa"/>
            <w:vMerge w:val="restart"/>
          </w:tcPr>
          <w:p w14:paraId="7011DF95" w14:textId="77777777" w:rsidR="004D22C1" w:rsidRDefault="004D22C1" w:rsidP="00B7466C">
            <w:r>
              <w:t>OLS controlling for age x sex</w:t>
            </w:r>
          </w:p>
        </w:tc>
        <w:tc>
          <w:tcPr>
            <w:tcW w:w="1961" w:type="dxa"/>
            <w:vMerge w:val="restart"/>
          </w:tcPr>
          <w:p w14:paraId="78BB4738" w14:textId="77777777" w:rsidR="004D22C1" w:rsidRDefault="004D22C1" w:rsidP="00B7466C">
            <w:r>
              <w:t>Varied</w:t>
            </w:r>
          </w:p>
        </w:tc>
        <w:tc>
          <w:tcPr>
            <w:tcW w:w="1998" w:type="dxa"/>
          </w:tcPr>
          <w:p w14:paraId="43A8255B" w14:textId="77777777" w:rsidR="004D22C1" w:rsidRDefault="004D22C1" w:rsidP="00B7466C">
            <w:r>
              <w:t>MLM primary</w:t>
            </w:r>
          </w:p>
        </w:tc>
        <w:tc>
          <w:tcPr>
            <w:tcW w:w="1729" w:type="dxa"/>
          </w:tcPr>
          <w:p w14:paraId="24ADF132" w14:textId="77777777" w:rsidR="004D22C1" w:rsidRDefault="004D22C1" w:rsidP="00B7466C">
            <w:r>
              <w:t>Statistical correctness</w:t>
            </w:r>
          </w:p>
        </w:tc>
      </w:tr>
      <w:tr w:rsidR="004D22C1" w14:paraId="385623A2" w14:textId="77777777" w:rsidTr="004D22C1">
        <w:trPr>
          <w:trHeight w:val="202"/>
        </w:trPr>
        <w:tc>
          <w:tcPr>
            <w:tcW w:w="1794" w:type="dxa"/>
            <w:vMerge/>
          </w:tcPr>
          <w:p w14:paraId="7BBB57A5" w14:textId="77777777" w:rsidR="004D22C1" w:rsidRDefault="004D22C1" w:rsidP="00B7466C"/>
        </w:tc>
        <w:tc>
          <w:tcPr>
            <w:tcW w:w="1868" w:type="dxa"/>
            <w:vMerge/>
          </w:tcPr>
          <w:p w14:paraId="5D1E5A03" w14:textId="77777777" w:rsidR="004D22C1" w:rsidRDefault="004D22C1" w:rsidP="00B7466C"/>
        </w:tc>
        <w:tc>
          <w:tcPr>
            <w:tcW w:w="1961" w:type="dxa"/>
            <w:vMerge/>
          </w:tcPr>
          <w:p w14:paraId="707015B4" w14:textId="77777777" w:rsidR="004D22C1" w:rsidRDefault="004D22C1" w:rsidP="00B7466C"/>
        </w:tc>
        <w:tc>
          <w:tcPr>
            <w:tcW w:w="1998" w:type="dxa"/>
          </w:tcPr>
          <w:p w14:paraId="16FD9AD2" w14:textId="77777777" w:rsidR="004D22C1" w:rsidRDefault="004D22C1" w:rsidP="00B7466C">
            <w:r>
              <w:t>Additional covariates</w:t>
            </w:r>
          </w:p>
        </w:tc>
        <w:tc>
          <w:tcPr>
            <w:tcW w:w="1729" w:type="dxa"/>
          </w:tcPr>
          <w:p w14:paraId="1A292AA8" w14:textId="77777777" w:rsidR="004D22C1" w:rsidRDefault="004D22C1" w:rsidP="00B7466C">
            <w:r>
              <w:t>Statistical correctness</w:t>
            </w:r>
          </w:p>
        </w:tc>
      </w:tr>
      <w:tr w:rsidR="004D22C1" w14:paraId="640D0912" w14:textId="77777777" w:rsidTr="004D22C1">
        <w:trPr>
          <w:trHeight w:val="202"/>
        </w:trPr>
        <w:tc>
          <w:tcPr>
            <w:tcW w:w="1794" w:type="dxa"/>
            <w:vMerge/>
          </w:tcPr>
          <w:p w14:paraId="5BA1C4F5" w14:textId="77777777" w:rsidR="004D22C1" w:rsidRDefault="004D22C1" w:rsidP="00B7466C"/>
        </w:tc>
        <w:tc>
          <w:tcPr>
            <w:tcW w:w="1868" w:type="dxa"/>
            <w:vMerge/>
          </w:tcPr>
          <w:p w14:paraId="680DD34D" w14:textId="77777777" w:rsidR="004D22C1" w:rsidRDefault="004D22C1" w:rsidP="00B7466C"/>
        </w:tc>
        <w:tc>
          <w:tcPr>
            <w:tcW w:w="1961" w:type="dxa"/>
            <w:vMerge/>
          </w:tcPr>
          <w:p w14:paraId="75702B2E" w14:textId="77777777" w:rsidR="004D22C1" w:rsidRDefault="004D22C1" w:rsidP="00B7466C"/>
        </w:tc>
        <w:tc>
          <w:tcPr>
            <w:tcW w:w="1998" w:type="dxa"/>
          </w:tcPr>
          <w:p w14:paraId="6B35675D" w14:textId="77777777" w:rsidR="004D22C1" w:rsidRDefault="004D22C1" w:rsidP="00B7466C">
            <w:r>
              <w:t>No outlier sensitivity</w:t>
            </w:r>
          </w:p>
        </w:tc>
        <w:tc>
          <w:tcPr>
            <w:tcW w:w="1729" w:type="dxa"/>
          </w:tcPr>
          <w:p w14:paraId="7ACB4B19" w14:textId="77777777" w:rsidR="004D22C1" w:rsidRDefault="004D22C1" w:rsidP="00B7466C">
            <w:r>
              <w:t>Use of MLM</w:t>
            </w:r>
          </w:p>
        </w:tc>
      </w:tr>
      <w:tr w:rsidR="004D22C1" w14:paraId="4BB28686" w14:textId="77777777" w:rsidTr="00C20527">
        <w:trPr>
          <w:trHeight w:val="42"/>
        </w:trPr>
        <w:tc>
          <w:tcPr>
            <w:tcW w:w="1794" w:type="dxa"/>
          </w:tcPr>
          <w:p w14:paraId="6321F5A4" w14:textId="77777777" w:rsidR="004D22C1" w:rsidRDefault="004D22C1" w:rsidP="00B7466C">
            <w:r>
              <w:t>Age x affect</w:t>
            </w:r>
          </w:p>
        </w:tc>
        <w:tc>
          <w:tcPr>
            <w:tcW w:w="1868" w:type="dxa"/>
          </w:tcPr>
          <w:p w14:paraId="28D98951" w14:textId="77777777" w:rsidR="004D22C1" w:rsidRDefault="004D22C1" w:rsidP="00B7466C">
            <w:r>
              <w:t>Replication</w:t>
            </w:r>
          </w:p>
        </w:tc>
        <w:tc>
          <w:tcPr>
            <w:tcW w:w="1961" w:type="dxa"/>
          </w:tcPr>
          <w:p w14:paraId="3C75C21E" w14:textId="77777777" w:rsidR="004D22C1" w:rsidRPr="00A52AEE" w:rsidRDefault="004D22C1" w:rsidP="00B7466C">
            <w:pPr>
              <w:rPr>
                <w:rFonts w:ascii="Apple Color Emoji" w:hAnsi="Apple Color Emoji" w:cs="Arial"/>
              </w:rPr>
            </w:pPr>
            <w:r>
              <w:t xml:space="preserve">Age </w:t>
            </w:r>
            <w:r w:rsidRPr="00A52AEE">
              <w:t>↑</w:t>
            </w:r>
            <w:r>
              <w:t xml:space="preserve"> affect</w:t>
            </w:r>
          </w:p>
        </w:tc>
        <w:tc>
          <w:tcPr>
            <w:tcW w:w="1998" w:type="dxa"/>
          </w:tcPr>
          <w:p w14:paraId="0CA4BCA3" w14:textId="77777777" w:rsidR="004D22C1" w:rsidRDefault="004D22C1" w:rsidP="00B7466C">
            <w:r>
              <w:t>Diary affect primary</w:t>
            </w:r>
          </w:p>
        </w:tc>
        <w:tc>
          <w:tcPr>
            <w:tcW w:w="1729" w:type="dxa"/>
          </w:tcPr>
          <w:p w14:paraId="26E5747C" w14:textId="77777777" w:rsidR="004D22C1" w:rsidRDefault="004D22C1" w:rsidP="00B7466C">
            <w:r>
              <w:t>Match original paper</w:t>
            </w:r>
          </w:p>
        </w:tc>
      </w:tr>
      <w:tr w:rsidR="004D22C1" w14:paraId="072AF6EF" w14:textId="77777777" w:rsidTr="00C20527">
        <w:trPr>
          <w:trHeight w:val="123"/>
        </w:trPr>
        <w:tc>
          <w:tcPr>
            <w:tcW w:w="1794" w:type="dxa"/>
            <w:vMerge w:val="restart"/>
          </w:tcPr>
          <w:p w14:paraId="1ADF957A" w14:textId="77777777" w:rsidR="004D22C1" w:rsidRDefault="004D22C1" w:rsidP="00B7466C">
            <w:r>
              <w:t>Amygdala persistence x affect</w:t>
            </w:r>
          </w:p>
        </w:tc>
        <w:tc>
          <w:tcPr>
            <w:tcW w:w="1868" w:type="dxa"/>
            <w:vMerge w:val="restart"/>
          </w:tcPr>
          <w:p w14:paraId="0E763826" w14:textId="77777777" w:rsidR="004D22C1" w:rsidRDefault="004D22C1" w:rsidP="00B7466C">
            <w:r>
              <w:t>Replication</w:t>
            </w:r>
          </w:p>
        </w:tc>
        <w:tc>
          <w:tcPr>
            <w:tcW w:w="1961" w:type="dxa"/>
            <w:vMerge w:val="restart"/>
          </w:tcPr>
          <w:p w14:paraId="6854C093" w14:textId="77777777" w:rsidR="004D22C1" w:rsidRDefault="004D22C1" w:rsidP="00B7466C">
            <w:r>
              <w:t xml:space="preserve">Amygdala persistence </w:t>
            </w:r>
            <w:r w:rsidRPr="00A52AEE">
              <w:t>↓</w:t>
            </w:r>
            <w:r>
              <w:t xml:space="preserve"> affect</w:t>
            </w:r>
          </w:p>
        </w:tc>
        <w:tc>
          <w:tcPr>
            <w:tcW w:w="1998" w:type="dxa"/>
          </w:tcPr>
          <w:p w14:paraId="166CBF24" w14:textId="77777777" w:rsidR="004D22C1" w:rsidRDefault="004D22C1" w:rsidP="00B7466C">
            <w:r>
              <w:t>Diary affect primary</w:t>
            </w:r>
          </w:p>
        </w:tc>
        <w:tc>
          <w:tcPr>
            <w:tcW w:w="1729" w:type="dxa"/>
          </w:tcPr>
          <w:p w14:paraId="64ED8598" w14:textId="77777777" w:rsidR="004D22C1" w:rsidRDefault="004D22C1" w:rsidP="00B7466C">
            <w:r>
              <w:t>Match original paper</w:t>
            </w:r>
          </w:p>
        </w:tc>
      </w:tr>
      <w:tr w:rsidR="004D22C1" w14:paraId="39C0A5C0" w14:textId="77777777" w:rsidTr="00C20527">
        <w:trPr>
          <w:trHeight w:val="120"/>
        </w:trPr>
        <w:tc>
          <w:tcPr>
            <w:tcW w:w="1794" w:type="dxa"/>
            <w:vMerge/>
          </w:tcPr>
          <w:p w14:paraId="164FD2B8" w14:textId="77777777" w:rsidR="004D22C1" w:rsidRDefault="004D22C1" w:rsidP="00B7466C"/>
        </w:tc>
        <w:tc>
          <w:tcPr>
            <w:tcW w:w="1868" w:type="dxa"/>
            <w:vMerge/>
          </w:tcPr>
          <w:p w14:paraId="0F53908C" w14:textId="77777777" w:rsidR="004D22C1" w:rsidRDefault="004D22C1" w:rsidP="00B7466C"/>
        </w:tc>
        <w:tc>
          <w:tcPr>
            <w:tcW w:w="1961" w:type="dxa"/>
            <w:vMerge/>
          </w:tcPr>
          <w:p w14:paraId="13DD0B13" w14:textId="77777777" w:rsidR="004D22C1" w:rsidRDefault="004D22C1" w:rsidP="00B7466C"/>
        </w:tc>
        <w:tc>
          <w:tcPr>
            <w:tcW w:w="1998" w:type="dxa"/>
          </w:tcPr>
          <w:p w14:paraId="21FEA4EE" w14:textId="77777777" w:rsidR="004D22C1" w:rsidRDefault="004D22C1" w:rsidP="00B7466C">
            <w:r>
              <w:t>Left amygdala as primary primary</w:t>
            </w:r>
          </w:p>
        </w:tc>
        <w:tc>
          <w:tcPr>
            <w:tcW w:w="1729" w:type="dxa"/>
          </w:tcPr>
          <w:p w14:paraId="410A0DCF" w14:textId="77777777" w:rsidR="004D22C1" w:rsidRDefault="004D22C1" w:rsidP="00B7466C">
            <w:r>
              <w:t>Match original paper</w:t>
            </w:r>
          </w:p>
        </w:tc>
      </w:tr>
      <w:tr w:rsidR="00D85FDA" w14:paraId="3C315D90" w14:textId="77777777" w:rsidTr="00C20527">
        <w:trPr>
          <w:trHeight w:val="123"/>
        </w:trPr>
        <w:tc>
          <w:tcPr>
            <w:tcW w:w="1794" w:type="dxa"/>
            <w:vMerge w:val="restart"/>
          </w:tcPr>
          <w:p w14:paraId="2EA391A4" w14:textId="77777777" w:rsidR="00D85FDA" w:rsidRDefault="00D85FDA" w:rsidP="00B7466C">
            <w:r>
              <w:t>Amygdala persistence x age</w:t>
            </w:r>
          </w:p>
        </w:tc>
        <w:tc>
          <w:tcPr>
            <w:tcW w:w="1868" w:type="dxa"/>
            <w:vMerge w:val="restart"/>
          </w:tcPr>
          <w:p w14:paraId="541700B7" w14:textId="77777777" w:rsidR="00D85FDA" w:rsidRDefault="00D85FDA" w:rsidP="00B7466C">
            <w:r>
              <w:t>Confirmatory extension</w:t>
            </w:r>
          </w:p>
        </w:tc>
        <w:tc>
          <w:tcPr>
            <w:tcW w:w="1961" w:type="dxa"/>
            <w:vMerge w:val="restart"/>
          </w:tcPr>
          <w:p w14:paraId="118358E8" w14:textId="77777777" w:rsidR="00D85FDA" w:rsidRDefault="00D85FDA" w:rsidP="00B7466C">
            <w:r>
              <w:t xml:space="preserve">Age </w:t>
            </w:r>
            <w:r w:rsidRPr="00A52AEE">
              <w:t>↓</w:t>
            </w:r>
            <w:r>
              <w:t xml:space="preserve"> amygdala persistence</w:t>
            </w:r>
          </w:p>
        </w:tc>
        <w:tc>
          <w:tcPr>
            <w:tcW w:w="1998" w:type="dxa"/>
          </w:tcPr>
          <w:p w14:paraId="76F66963" w14:textId="77777777" w:rsidR="00D85FDA" w:rsidRDefault="00D85FDA" w:rsidP="00B7466C">
            <w:r>
              <w:t>Left amygdala as primary</w:t>
            </w:r>
          </w:p>
        </w:tc>
        <w:tc>
          <w:tcPr>
            <w:tcW w:w="1729" w:type="dxa"/>
          </w:tcPr>
          <w:p w14:paraId="6635E224" w14:textId="77777777" w:rsidR="00D85FDA" w:rsidRDefault="00D85FDA" w:rsidP="00B7466C">
            <w:r>
              <w:t>Match original paper</w:t>
            </w:r>
          </w:p>
        </w:tc>
      </w:tr>
      <w:tr w:rsidR="00D85FDA" w14:paraId="6A0130C5" w14:textId="77777777" w:rsidTr="00C20527">
        <w:trPr>
          <w:trHeight w:val="120"/>
        </w:trPr>
        <w:tc>
          <w:tcPr>
            <w:tcW w:w="1794" w:type="dxa"/>
            <w:vMerge/>
          </w:tcPr>
          <w:p w14:paraId="4CDF3906" w14:textId="77777777" w:rsidR="00D85FDA" w:rsidRDefault="00D85FDA" w:rsidP="00B7466C"/>
        </w:tc>
        <w:tc>
          <w:tcPr>
            <w:tcW w:w="1868" w:type="dxa"/>
            <w:vMerge/>
          </w:tcPr>
          <w:p w14:paraId="2A9B819C" w14:textId="77777777" w:rsidR="00D85FDA" w:rsidRDefault="00D85FDA" w:rsidP="00B7466C"/>
        </w:tc>
        <w:tc>
          <w:tcPr>
            <w:tcW w:w="1961" w:type="dxa"/>
            <w:vMerge/>
          </w:tcPr>
          <w:p w14:paraId="2AC7FCC3" w14:textId="77777777" w:rsidR="00D85FDA" w:rsidRDefault="00D85FDA" w:rsidP="00B7466C"/>
        </w:tc>
        <w:tc>
          <w:tcPr>
            <w:tcW w:w="1998" w:type="dxa"/>
          </w:tcPr>
          <w:p w14:paraId="55389C6E" w14:textId="77777777" w:rsidR="00D85FDA" w:rsidRDefault="00D85FDA" w:rsidP="00B7466C">
            <w:r>
              <w:t>No mediation</w:t>
            </w:r>
          </w:p>
        </w:tc>
        <w:tc>
          <w:tcPr>
            <w:tcW w:w="1729" w:type="dxa"/>
          </w:tcPr>
          <w:p w14:paraId="77D60EC2" w14:textId="77777777" w:rsidR="00D85FDA" w:rsidRDefault="00D85FDA" w:rsidP="00B7466C">
            <w:r>
              <w:t>Null result</w:t>
            </w:r>
          </w:p>
        </w:tc>
      </w:tr>
      <w:tr w:rsidR="00D85FDA" w14:paraId="768AB4D3" w14:textId="77777777" w:rsidTr="00C20527">
        <w:trPr>
          <w:trHeight w:val="68"/>
        </w:trPr>
        <w:tc>
          <w:tcPr>
            <w:tcW w:w="1794" w:type="dxa"/>
            <w:vMerge w:val="restart"/>
          </w:tcPr>
          <w:p w14:paraId="4AB8DEFD" w14:textId="77777777" w:rsidR="00D85FDA" w:rsidRDefault="00D85FDA" w:rsidP="00B7466C">
            <w:r>
              <w:t>vmPFC task FC x affect</w:t>
            </w:r>
          </w:p>
        </w:tc>
        <w:tc>
          <w:tcPr>
            <w:tcW w:w="1868" w:type="dxa"/>
            <w:vMerge w:val="restart"/>
          </w:tcPr>
          <w:p w14:paraId="314F7F8E" w14:textId="77777777" w:rsidR="00D85FDA" w:rsidRDefault="00D85FDA" w:rsidP="00B7466C">
            <w:r>
              <w:t>Exploratory extension</w:t>
            </w:r>
          </w:p>
        </w:tc>
        <w:tc>
          <w:tcPr>
            <w:tcW w:w="1961" w:type="dxa"/>
            <w:vMerge w:val="restart"/>
          </w:tcPr>
          <w:p w14:paraId="51DD36CA" w14:textId="77777777" w:rsidR="00D85FDA" w:rsidRDefault="00D85FDA" w:rsidP="00B7466C">
            <w:r>
              <w:t xml:space="preserve">vmPFC task FC </w:t>
            </w:r>
            <w:r w:rsidRPr="00A52AEE">
              <w:t>↑</w:t>
            </w:r>
            <w:r>
              <w:t xml:space="preserve"> affect</w:t>
            </w:r>
          </w:p>
        </w:tc>
        <w:tc>
          <w:tcPr>
            <w:tcW w:w="1998" w:type="dxa"/>
          </w:tcPr>
          <w:p w14:paraId="2E8BB2CF" w14:textId="77777777" w:rsidR="00D85FDA" w:rsidRDefault="00D85FDA" w:rsidP="00B7466C">
            <w:r>
              <w:t>Diary affect primary</w:t>
            </w:r>
          </w:p>
        </w:tc>
        <w:tc>
          <w:tcPr>
            <w:tcW w:w="1729" w:type="dxa"/>
          </w:tcPr>
          <w:p w14:paraId="4057775B" w14:textId="77777777" w:rsidR="00D85FDA" w:rsidRDefault="00D85FDA" w:rsidP="00B7466C">
            <w:r>
              <w:t>Match original paper</w:t>
            </w:r>
          </w:p>
        </w:tc>
      </w:tr>
      <w:tr w:rsidR="00D85FDA" w14:paraId="1795EEBF" w14:textId="77777777" w:rsidTr="00C20527">
        <w:trPr>
          <w:trHeight w:val="66"/>
        </w:trPr>
        <w:tc>
          <w:tcPr>
            <w:tcW w:w="1794" w:type="dxa"/>
            <w:vMerge/>
          </w:tcPr>
          <w:p w14:paraId="4247E987" w14:textId="77777777" w:rsidR="00D85FDA" w:rsidRDefault="00D85FDA" w:rsidP="00B7466C"/>
        </w:tc>
        <w:tc>
          <w:tcPr>
            <w:tcW w:w="1868" w:type="dxa"/>
            <w:vMerge/>
          </w:tcPr>
          <w:p w14:paraId="5BD6C904" w14:textId="77777777" w:rsidR="00D85FDA" w:rsidRDefault="00D85FDA" w:rsidP="00B7466C"/>
        </w:tc>
        <w:tc>
          <w:tcPr>
            <w:tcW w:w="1961" w:type="dxa"/>
            <w:vMerge/>
          </w:tcPr>
          <w:p w14:paraId="59EA8AA6" w14:textId="77777777" w:rsidR="00D85FDA" w:rsidRDefault="00D85FDA" w:rsidP="00B7466C"/>
        </w:tc>
        <w:tc>
          <w:tcPr>
            <w:tcW w:w="1998" w:type="dxa"/>
          </w:tcPr>
          <w:p w14:paraId="15D5E73C" w14:textId="77777777" w:rsidR="00D85FDA" w:rsidRDefault="00D85FDA" w:rsidP="00B7466C">
            <w:r>
              <w:t>Left amygdala as primary</w:t>
            </w:r>
          </w:p>
        </w:tc>
        <w:tc>
          <w:tcPr>
            <w:tcW w:w="1729" w:type="dxa"/>
          </w:tcPr>
          <w:p w14:paraId="4A14B5F9" w14:textId="77777777" w:rsidR="00D85FDA" w:rsidRDefault="00D85FDA" w:rsidP="00B7466C">
            <w:r>
              <w:t>Match original paper</w:t>
            </w:r>
          </w:p>
        </w:tc>
      </w:tr>
      <w:tr w:rsidR="00D85FDA" w14:paraId="3827B0FB" w14:textId="77777777" w:rsidTr="00C20527">
        <w:trPr>
          <w:trHeight w:val="66"/>
        </w:trPr>
        <w:tc>
          <w:tcPr>
            <w:tcW w:w="1794" w:type="dxa"/>
            <w:vMerge/>
          </w:tcPr>
          <w:p w14:paraId="6DF4CE54" w14:textId="77777777" w:rsidR="00D85FDA" w:rsidRDefault="00D85FDA" w:rsidP="00B7466C"/>
        </w:tc>
        <w:tc>
          <w:tcPr>
            <w:tcW w:w="1868" w:type="dxa"/>
            <w:vMerge/>
          </w:tcPr>
          <w:p w14:paraId="639C6E84" w14:textId="77777777" w:rsidR="00D85FDA" w:rsidRDefault="00D85FDA" w:rsidP="00B7466C"/>
        </w:tc>
        <w:tc>
          <w:tcPr>
            <w:tcW w:w="1961" w:type="dxa"/>
            <w:vMerge/>
          </w:tcPr>
          <w:p w14:paraId="03489D7E" w14:textId="77777777" w:rsidR="00D85FDA" w:rsidRDefault="00D85FDA" w:rsidP="00B7466C"/>
        </w:tc>
        <w:tc>
          <w:tcPr>
            <w:tcW w:w="1998" w:type="dxa"/>
          </w:tcPr>
          <w:p w14:paraId="13CE8E98" w14:textId="77777777" w:rsidR="00D85FDA" w:rsidRDefault="00D85FDA" w:rsidP="00B7466C">
            <w:r>
              <w:t xml:space="preserve">Seeds from </w:t>
            </w:r>
            <w:r>
              <w:rPr>
                <w:noProof/>
              </w:rPr>
              <w:t>Tashjian, Zbozinek et al. 2021, compared (no</w:t>
            </w:r>
            <w:r w:rsidR="00654AE2">
              <w:rPr>
                <w:noProof/>
              </w:rPr>
              <w:t xml:space="preserve"> sgACC, no</w:t>
            </w:r>
            <w:r>
              <w:rPr>
                <w:noProof/>
              </w:rPr>
              <w:t xml:space="preserve"> Bonferonni)</w:t>
            </w:r>
          </w:p>
        </w:tc>
        <w:tc>
          <w:tcPr>
            <w:tcW w:w="1729" w:type="dxa"/>
          </w:tcPr>
          <w:p w14:paraId="764109F3" w14:textId="77777777" w:rsidR="00D85FDA" w:rsidRDefault="00D85FDA" w:rsidP="00B7466C">
            <w:r>
              <w:t>Improved interpretability</w:t>
            </w:r>
          </w:p>
        </w:tc>
      </w:tr>
      <w:tr w:rsidR="00FF02DB" w14:paraId="7B336140" w14:textId="77777777" w:rsidTr="00FF02DB">
        <w:trPr>
          <w:trHeight w:val="302"/>
        </w:trPr>
        <w:tc>
          <w:tcPr>
            <w:tcW w:w="1794" w:type="dxa"/>
            <w:vMerge w:val="restart"/>
          </w:tcPr>
          <w:p w14:paraId="65BD50D8" w14:textId="77777777" w:rsidR="00FF02DB" w:rsidRDefault="00FF02DB" w:rsidP="00B7466C">
            <w:r>
              <w:lastRenderedPageBreak/>
              <w:t>vmPFC task FC x amydala persistence</w:t>
            </w:r>
          </w:p>
        </w:tc>
        <w:tc>
          <w:tcPr>
            <w:tcW w:w="1868" w:type="dxa"/>
            <w:vMerge w:val="restart"/>
          </w:tcPr>
          <w:p w14:paraId="2AD34922" w14:textId="77777777" w:rsidR="00FF02DB" w:rsidRDefault="00FF02DB" w:rsidP="00B7466C">
            <w:r>
              <w:t>Exploratory extension</w:t>
            </w:r>
          </w:p>
        </w:tc>
        <w:tc>
          <w:tcPr>
            <w:tcW w:w="1961" w:type="dxa"/>
            <w:vMerge w:val="restart"/>
          </w:tcPr>
          <w:p w14:paraId="06A96EF4" w14:textId="77777777" w:rsidR="00FF02DB" w:rsidRDefault="00FF02DB" w:rsidP="00B7466C">
            <w:r>
              <w:t xml:space="preserve">vmPFC task FC </w:t>
            </w:r>
            <w:r w:rsidRPr="00A52AEE">
              <w:t>↓</w:t>
            </w:r>
            <w:r>
              <w:t xml:space="preserve"> amygdala persistence</w:t>
            </w:r>
          </w:p>
        </w:tc>
        <w:tc>
          <w:tcPr>
            <w:tcW w:w="1998" w:type="dxa"/>
          </w:tcPr>
          <w:p w14:paraId="2D1232B3" w14:textId="77777777" w:rsidR="00FF02DB" w:rsidRDefault="00FF02DB" w:rsidP="00B7466C">
            <w:r>
              <w:t>Left amygdala as primary</w:t>
            </w:r>
          </w:p>
        </w:tc>
        <w:tc>
          <w:tcPr>
            <w:tcW w:w="1729" w:type="dxa"/>
          </w:tcPr>
          <w:p w14:paraId="2E2FCF60" w14:textId="77777777" w:rsidR="00FF02DB" w:rsidRDefault="00FF02DB" w:rsidP="00B7466C">
            <w:r>
              <w:t>Match original paper</w:t>
            </w:r>
          </w:p>
        </w:tc>
      </w:tr>
      <w:tr w:rsidR="00FF02DB" w14:paraId="1BF8EAE1" w14:textId="77777777" w:rsidTr="00FF02DB">
        <w:trPr>
          <w:trHeight w:val="301"/>
        </w:trPr>
        <w:tc>
          <w:tcPr>
            <w:tcW w:w="1794" w:type="dxa"/>
            <w:vMerge/>
          </w:tcPr>
          <w:p w14:paraId="7D26CA1C" w14:textId="77777777" w:rsidR="00FF02DB" w:rsidRDefault="00FF02DB" w:rsidP="00B7466C"/>
        </w:tc>
        <w:tc>
          <w:tcPr>
            <w:tcW w:w="1868" w:type="dxa"/>
            <w:vMerge/>
          </w:tcPr>
          <w:p w14:paraId="542489BC" w14:textId="77777777" w:rsidR="00FF02DB" w:rsidRDefault="00FF02DB" w:rsidP="00B7466C"/>
        </w:tc>
        <w:tc>
          <w:tcPr>
            <w:tcW w:w="1961" w:type="dxa"/>
            <w:vMerge/>
          </w:tcPr>
          <w:p w14:paraId="18C4CAFD" w14:textId="77777777" w:rsidR="00FF02DB" w:rsidRDefault="00FF02DB" w:rsidP="00B7466C"/>
        </w:tc>
        <w:tc>
          <w:tcPr>
            <w:tcW w:w="1998" w:type="dxa"/>
          </w:tcPr>
          <w:p w14:paraId="50AC0FA5" w14:textId="77777777" w:rsidR="00FF02DB" w:rsidRDefault="00FF02DB" w:rsidP="00B7466C">
            <w:r>
              <w:t xml:space="preserve">Seeds from </w:t>
            </w:r>
            <w:r>
              <w:rPr>
                <w:noProof/>
              </w:rPr>
              <w:t>Tashjian, Zbozinek et al. 2021, compared (no sgACC, no Bonferonni)</w:t>
            </w:r>
          </w:p>
        </w:tc>
        <w:tc>
          <w:tcPr>
            <w:tcW w:w="1729" w:type="dxa"/>
          </w:tcPr>
          <w:p w14:paraId="73E10E92" w14:textId="77777777" w:rsidR="00FF02DB" w:rsidRDefault="00FF02DB" w:rsidP="00B7466C">
            <w:r>
              <w:t>Improved interpretability</w:t>
            </w:r>
          </w:p>
        </w:tc>
      </w:tr>
      <w:tr w:rsidR="00FF02DB" w14:paraId="47A839A1" w14:textId="77777777" w:rsidTr="00C20527">
        <w:tc>
          <w:tcPr>
            <w:tcW w:w="1794" w:type="dxa"/>
          </w:tcPr>
          <w:p w14:paraId="37578CAF" w14:textId="77777777" w:rsidR="00FF02DB" w:rsidRDefault="00FF02DB" w:rsidP="00B7466C">
            <w:r>
              <w:t>vmPFC task FC x affect moderation (ERQ)</w:t>
            </w:r>
          </w:p>
        </w:tc>
        <w:tc>
          <w:tcPr>
            <w:tcW w:w="1868" w:type="dxa"/>
          </w:tcPr>
          <w:p w14:paraId="34BCF256" w14:textId="77777777" w:rsidR="00FF02DB" w:rsidRDefault="00FF02DB" w:rsidP="00B7466C">
            <w:r>
              <w:t>Exploratory extension</w:t>
            </w:r>
          </w:p>
        </w:tc>
        <w:tc>
          <w:tcPr>
            <w:tcW w:w="1961" w:type="dxa"/>
          </w:tcPr>
          <w:p w14:paraId="4FA9A223" w14:textId="77777777" w:rsidR="00FF02DB" w:rsidRDefault="00FF02DB" w:rsidP="00B7466C">
            <w:r>
              <w:t xml:space="preserve">ERQ attenuates vmPFC task FC </w:t>
            </w:r>
            <w:r w:rsidRPr="00A52AEE">
              <w:t>↑</w:t>
            </w:r>
            <w:r>
              <w:t xml:space="preserve"> affect </w:t>
            </w:r>
          </w:p>
        </w:tc>
        <w:tc>
          <w:tcPr>
            <w:tcW w:w="1998" w:type="dxa"/>
          </w:tcPr>
          <w:p w14:paraId="39BDEAD6" w14:textId="77777777" w:rsidR="00FF02DB" w:rsidRDefault="00F95473" w:rsidP="00B7466C">
            <w:r>
              <w:t>No directional hypothesis</w:t>
            </w:r>
          </w:p>
        </w:tc>
        <w:tc>
          <w:tcPr>
            <w:tcW w:w="1729" w:type="dxa"/>
          </w:tcPr>
          <w:p w14:paraId="45E6F094" w14:textId="77777777" w:rsidR="00FF02DB" w:rsidRDefault="00F95473" w:rsidP="00B7466C">
            <w:r>
              <w:t>Null preliminary ERQ-affect results</w:t>
            </w:r>
          </w:p>
        </w:tc>
      </w:tr>
      <w:tr w:rsidR="00FF02DB" w14:paraId="296C1472" w14:textId="77777777" w:rsidTr="00C20527">
        <w:tc>
          <w:tcPr>
            <w:tcW w:w="1794" w:type="dxa"/>
          </w:tcPr>
          <w:p w14:paraId="1BB7A37E" w14:textId="77777777" w:rsidR="00FF02DB" w:rsidRDefault="00FF02DB" w:rsidP="00B7466C">
            <w:r>
              <w:t>Age-dependence</w:t>
            </w:r>
          </w:p>
        </w:tc>
        <w:tc>
          <w:tcPr>
            <w:tcW w:w="1868" w:type="dxa"/>
          </w:tcPr>
          <w:p w14:paraId="6F07CF9E" w14:textId="77777777" w:rsidR="00FF02DB" w:rsidRDefault="00FF02DB" w:rsidP="00B7466C">
            <w:r>
              <w:t>Exploratory extension</w:t>
            </w:r>
          </w:p>
        </w:tc>
        <w:tc>
          <w:tcPr>
            <w:tcW w:w="1961" w:type="dxa"/>
          </w:tcPr>
          <w:p w14:paraId="19B4DF1B" w14:textId="77777777" w:rsidR="00FF02DB" w:rsidRDefault="00FF02DB" w:rsidP="00B7466C">
            <w:r>
              <w:t>Results hold in older adults</w:t>
            </w:r>
          </w:p>
        </w:tc>
        <w:tc>
          <w:tcPr>
            <w:tcW w:w="1998" w:type="dxa"/>
          </w:tcPr>
          <w:p w14:paraId="4ADFC847" w14:textId="77777777" w:rsidR="00FF02DB" w:rsidRDefault="00E1480D" w:rsidP="00B7466C">
            <w:r>
              <w:t>Not performed</w:t>
            </w:r>
          </w:p>
        </w:tc>
        <w:tc>
          <w:tcPr>
            <w:tcW w:w="1729" w:type="dxa"/>
          </w:tcPr>
          <w:p w14:paraId="061331D9" w14:textId="77777777" w:rsidR="00FF02DB" w:rsidRDefault="00E1480D" w:rsidP="00B7466C">
            <w:r>
              <w:t>Sample mostly older adults</w:t>
            </w:r>
          </w:p>
        </w:tc>
      </w:tr>
      <w:tr w:rsidR="001448A3" w14:paraId="501A5C29" w14:textId="77777777" w:rsidTr="00C20527">
        <w:tc>
          <w:tcPr>
            <w:tcW w:w="1794" w:type="dxa"/>
          </w:tcPr>
          <w:p w14:paraId="32591F40" w14:textId="77777777" w:rsidR="001448A3" w:rsidRDefault="001448A3" w:rsidP="00B7466C">
            <w:r>
              <w:t>Amygdala persistence x affect moderation (ERQ)</w:t>
            </w:r>
          </w:p>
        </w:tc>
        <w:tc>
          <w:tcPr>
            <w:tcW w:w="1868" w:type="dxa"/>
          </w:tcPr>
          <w:p w14:paraId="201098D1" w14:textId="77777777" w:rsidR="001448A3" w:rsidRDefault="001448A3" w:rsidP="00B7466C">
            <w:r>
              <w:t>Not pre-registered</w:t>
            </w:r>
          </w:p>
        </w:tc>
        <w:tc>
          <w:tcPr>
            <w:tcW w:w="1961" w:type="dxa"/>
          </w:tcPr>
          <w:p w14:paraId="37C3571A" w14:textId="77777777" w:rsidR="001448A3" w:rsidRDefault="001448A3" w:rsidP="00B7466C">
            <w:r>
              <w:t xml:space="preserve">ERQ attenuates amygdala persistence </w:t>
            </w:r>
            <w:r w:rsidRPr="00A52AEE">
              <w:t>↓</w:t>
            </w:r>
            <w:r>
              <w:t xml:space="preserve"> affect</w:t>
            </w:r>
          </w:p>
        </w:tc>
        <w:tc>
          <w:tcPr>
            <w:tcW w:w="1998" w:type="dxa"/>
          </w:tcPr>
          <w:p w14:paraId="5BF15DBB" w14:textId="77777777" w:rsidR="001448A3" w:rsidRDefault="001448A3" w:rsidP="00B7466C">
            <w:r>
              <w:t>No directional hypothesis</w:t>
            </w:r>
          </w:p>
        </w:tc>
        <w:tc>
          <w:tcPr>
            <w:tcW w:w="1729" w:type="dxa"/>
          </w:tcPr>
          <w:p w14:paraId="55A5AE3E" w14:textId="77777777" w:rsidR="001448A3" w:rsidRDefault="001448A3" w:rsidP="00B7466C">
            <w:r>
              <w:t>Null preliminary ERQ-affect results</w:t>
            </w:r>
          </w:p>
        </w:tc>
      </w:tr>
    </w:tbl>
    <w:p w14:paraId="1E4E705B" w14:textId="77777777" w:rsidR="00AD4E2B" w:rsidRDefault="00000000">
      <w:pPr>
        <w:keepNext/>
      </w:pPr>
      <w:r>
        <w:rPr>
          <w:b/>
        </w:rPr>
        <w:t>Participants</w:t>
      </w:r>
    </w:p>
    <w:p w14:paraId="42391645" w14:textId="77777777" w:rsidR="00AD4E2B" w:rsidRDefault="00000000">
      <w:r>
        <w:t>The primary sample was drawn from the M3 daily diary and neuroscience projects. The daily diary sample comprised 1,174 participants (mean age = 67.6 years, SD = 10.3, range = 47–94; 57.3% female). Race was available for 1,168 diary participants: 82.4% White, 10.6% Black, 1.4% Native American, 0.3% Asian, and 5.3% other race. Of these, 137 also had age data from the neuroscience visit. The conservative fMRI sample comprised 127 participants who met all imaging quality-control criteria (mean age = 65.7 years, SD = 9.5, range = 48–95; 59.8% female). This sample was 75.6% White, 18.9% Black, 0.8% Native American, 1.6% Asian, and 3.1% other race. The primary diary-plus-fMRI sample comprised 81 participants (mean age = 67.2 years, SD = 9.8, range = 48–95; 61.7% female; 82.7% White, 14.8% Black, 1.2% Native American, and 1.2% Asian), of whom 80 had complete emotion-regulation questionnaire data for moderation analyses. PANAS sensitivity analyses used the full conservative fMRI sample (N = 127), irrespective of diary participation.</w:t>
      </w:r>
    </w:p>
    <w:p w14:paraId="23182C49" w14:textId="77777777" w:rsidR="00AD4E2B" w:rsidRDefault="00000000">
      <w:r>
        <w:t>The MR1 validation sample contained 123 participants with reproduced imaging measures. Of these, 115 met the MR1 conservative quality-control criteria (mean age = 48.4 years, SD = 11.9, range = 26–76; 53.9% female), and 48 had both daily diary data and conservative-quality imaging data (mean age = 46.9 years, SD = 9.5, range = 29–70; 54.2% female; 93.8% White and 6.2% other race). The conservative MR1 sample was 64.3% White, 28.7% Black, 1.7% Native American, 0.9% Asian, and 4.3% other race.</w:t>
      </w:r>
    </w:p>
    <w:p w14:paraId="7167B07A" w14:textId="169329BE" w:rsidR="003A6C11" w:rsidRDefault="0033493D" w:rsidP="00B7466C">
      <w:pPr>
        <w:keepNext/>
        <w:spacing w:line="480" w:lineRule="auto"/>
      </w:pPr>
      <w:r>
        <w:rPr>
          <w:noProof/>
        </w:rPr>
        <w:lastRenderedPageBreak/>
        <w:drawing>
          <wp:inline distT="0" distB="0" distL="0" distR="0" wp14:anchorId="26B52894" wp14:editId="0B0E48BE">
            <wp:extent cx="5943600" cy="3973830"/>
            <wp:effectExtent l="0" t="0" r="0" b="1270"/>
            <wp:docPr id="33741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12763" name="Picture 3374127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73830"/>
                    </a:xfrm>
                    <a:prstGeom prst="rect">
                      <a:avLst/>
                    </a:prstGeom>
                  </pic:spPr>
                </pic:pic>
              </a:graphicData>
            </a:graphic>
          </wp:inline>
        </w:drawing>
      </w:r>
    </w:p>
    <w:p w14:paraId="31EA2EDC" w14:textId="79522880" w:rsidR="003A6C11" w:rsidRPr="003A6C11" w:rsidRDefault="003A6C11" w:rsidP="00B7466C">
      <w:pPr>
        <w:pStyle w:val="Caption"/>
        <w:spacing w:line="480" w:lineRule="auto"/>
        <w:rPr>
          <w:b/>
          <w:bCs/>
        </w:rPr>
      </w:pPr>
      <w:r>
        <w:rPr>
          <w:b/>
          <w:bCs/>
        </w:rPr>
        <w:t>Figure 2. Analytic sample derivation and demographics.</w:t>
      </w:r>
      <w:r>
        <w:t xml:space="preserve"> (A) MIDUS 3 Project 2 diary and Project 5 neuroscience samples and their intersections. Solid arrows indicate subsets; dashed lines indicate intersections. (B) Demographic characteristics of the principal analytic samples.</w:t>
      </w:r>
    </w:p>
    <w:p w14:paraId="00146F30" w14:textId="77777777" w:rsidR="00AD4E2B" w:rsidRDefault="00000000">
      <w:pPr>
        <w:keepNext/>
      </w:pPr>
      <w:r>
        <w:rPr>
          <w:b/>
        </w:rPr>
        <w:t>Behavioral Preprocessing</w:t>
      </w:r>
    </w:p>
    <w:p w14:paraId="2AFA3FEF" w14:textId="77777777" w:rsidR="00AD4E2B" w:rsidRDefault="00000000">
      <w:r>
        <w:rPr>
          <w:b/>
        </w:rPr>
        <w:t>Daily diary affect.</w:t>
      </w:r>
      <w:r>
        <w:t xml:space="preserve"> Daily affect was assessed for approximately eight consecutive days. The 27 affect items were rated on a 1–5 scale. Positive affect (PA) was calculated as the mean of 13 positive-mood items, and negative affect (NA) as the mean of 14 negative-mood items. Days with missing responses on any affect item were excluded, and participant-level PA and NA scores were calculated by averaging across complete diary days. Because NA was positively skewed, a secondary log-transformed score was calculated as log(NA + c), where c was half the minimum nonzero NA value. Raw NA was the primary negative-affect outcome; log-transformed NA was treated as a robustness outcome. Corresponding MR1 diary items were scored using the same procedure.</w:t>
      </w:r>
    </w:p>
    <w:p w14:paraId="5D736FD7" w14:textId="77777777" w:rsidR="00AD4E2B" w:rsidRDefault="00000000">
      <w:r>
        <w:rPr>
          <w:b/>
        </w:rPr>
        <w:t>PANAS.</w:t>
      </w:r>
      <w:r>
        <w:t xml:space="preserve"> Positive and negative affect assessed with the PANAS at the neuroscience visit were examined as convergent-validity sensitivity outcomes. Values coded as 8, 98, or 99 were treated as missing before distributional summaries or transformations were </w:t>
      </w:r>
      <w:r>
        <w:lastRenderedPageBreak/>
        <w:t>calculated. PANAS negative affect was also log transformed using the offset procedure described above.</w:t>
      </w:r>
    </w:p>
    <w:p w14:paraId="3096858A" w14:textId="77777777" w:rsidR="00AD4E2B" w:rsidRDefault="00000000">
      <w:r>
        <w:rPr>
          <w:b/>
        </w:rPr>
        <w:t>Emotion regulation and demographic variables.</w:t>
      </w:r>
      <w:r>
        <w:t xml:space="preserve"> Reappraisal and suppression were assessed with the Emotion Regulation Questionnaire at the neuroscience visit. Age at the diary wave was used for diary-only age analyses, whereas age at the neuroscience visit was used in analyses involving neuroscience measures. Biological sex retained the original MIDUS coding (1 = male, 2 = female). Race was represented by five dummy variables with White as the reference category. The interval between the diary and neuroscience visits was calculated in months.</w:t>
      </w:r>
    </w:p>
    <w:p w14:paraId="198DD155" w14:textId="77777777" w:rsidR="00AD4E2B" w:rsidRDefault="00000000">
      <w:pPr>
        <w:keepNext/>
      </w:pPr>
      <w:r>
        <w:rPr>
          <w:b/>
        </w:rPr>
        <w:t>fMRI Task and Acquisition</w:t>
      </w:r>
    </w:p>
    <w:p w14:paraId="70A46751" w14:textId="77777777" w:rsidR="00AD4E2B" w:rsidRDefault="00000000">
      <w:r>
        <w:t>Participants completed three runs of an emotional image-viewing task. Each run included 10 negative, 10 neutral, and 10 positive images, followed by neutral face probes. Images were presented for 4 s, followed by a 2-s fixation interval and a 0.5-s face probe. Participants categorized the gender of each face. Negative and positive images were matched on normative arousal, and images within each valence category were matched on luminosity, visual complexity, and social content.</w:t>
      </w:r>
    </w:p>
    <w:p w14:paraId="6E1C8C87" w14:textId="77777777" w:rsidR="00AD4E2B" w:rsidRDefault="00000000">
      <w:r>
        <w:t>M3 data were acquired on a 3T GE MR750 scanner using a 32-channel head coil. Each of the three functional runs contained 231 volumes (TR = 2,000 ms; TE = 20 ms; flip angle = 60°; field of view = 220 mm; matrix = 96 × 64; 40 interleaved sagittal slices, 3-mm thickness with a 1-mm gap). A T1-weighted BRAVO anatomical image was also acquired (TR = 8.2 ms; TE = 3.2 ms; flip angle = 12°; field of view = 256 mm; matrix = 256 × 256; 160 axial slices; inversion time = 450 ms).</w:t>
      </w:r>
    </w:p>
    <w:p w14:paraId="58480BDB" w14:textId="77777777" w:rsidR="00AD4E2B" w:rsidRDefault="00000000">
      <w:pPr>
        <w:keepNext/>
      </w:pPr>
      <w:r>
        <w:rPr>
          <w:b/>
        </w:rPr>
        <w:t>fMRI Preprocessing and Quality Control</w:t>
      </w:r>
    </w:p>
    <w:p w14:paraId="5EFBB14A" w14:textId="77777777" w:rsidR="00AD4E2B" w:rsidRDefault="00000000">
      <w:r>
        <w:t>For M3, the analyses reported here used a corrected preprocessing run initiated from untouched raw BOLD images. Because the raw images had a nonstandard spatial-axis layout, images were reoriented and the axes temporarily exchanged before slice-timing correction. Slice-timing correction was performed in FSL 6.0.7.10 using the 1-based interleaved acquisition order derived from the imaging metadata; the axes and original geometry were then restored. Structural and functional data were processed with fMRIPrep 24.1.0, with fMRIPrep slice-timing correction disabled so that slice-timing correction was applied exactly once. Preprocessing included anatomical reconstruction, motion correction, functional-to-anatomical registration, and normalization to MNI152NLin2009cAsym space. Framewise displacement (FD) was derived from the resulting fMRIPrep confound time series.</w:t>
      </w:r>
    </w:p>
    <w:p w14:paraId="78CD50D3" w14:textId="77777777" w:rsidR="00AD4E2B" w:rsidRDefault="00000000">
      <w:r>
        <w:lastRenderedPageBreak/>
        <w:t>The conservative M3 sample required all three functional runs to pass visual quality control, mean FD across task runs to be less than 0.5 mm, and all six directional cross-run pairs needed for the primary left-amygdala persistence measure to be available. Visual ratings were evaluated separately from quantitative FD. MR1 imaging data were reproduced using fMRIPrep 24.1.0 with standard BIDS slice-timing handling. Historical visual quality-control ratings were retained, whereas FD was recalculated from the reproduced confound time series. The conservative MR1 sample additionally required all three task runs to contain exactly 231 volumes.</w:t>
      </w:r>
    </w:p>
    <w:p w14:paraId="77A2B2E6" w14:textId="77777777" w:rsidR="00AD4E2B" w:rsidRDefault="00000000">
      <w:pPr>
        <w:keepNext/>
      </w:pPr>
      <w:r>
        <w:rPr>
          <w:b/>
        </w:rPr>
        <w:t>fMRI Analysis</w:t>
      </w:r>
    </w:p>
    <w:p w14:paraId="37B61253" w14:textId="77777777" w:rsidR="00AD4E2B" w:rsidRDefault="00000000">
      <w:r>
        <w:rPr>
          <w:b/>
        </w:rPr>
        <w:t>First-level general linear model.</w:t>
      </w:r>
      <w:r>
        <w:t xml:space="preserve"> A first-level general linear model was estimated separately for each run using nilearn. Six task regressors modeled negative, neutral, and positive images and the neutral face probes that followed images in each of those three valence conditions. Thus, the face regressors indexed the valence of the preceding image rather than the valence of the face itself. Each regressor was convolved with the Glover hemodynamic response function. Models included a 24-parameter motion model, cosine drift terms with a 1/128-Hz high-pass cutoff, and an AR(1) noise model. The first four volumes and corresponding confound rows were discarded.</w:t>
      </w:r>
    </w:p>
    <w:p w14:paraId="5EE9BBDD" w14:textId="77777777" w:rsidR="00AD4E2B" w:rsidRDefault="00000000">
      <w:r>
        <w:rPr>
          <w:b/>
        </w:rPr>
        <w:t>Amygdala neural persistence.</w:t>
      </w:r>
      <w:r>
        <w:t xml:space="preserve"> Left and right amygdala regions were defined from the Harvard–Oxford atlas at a 50% probability threshold. For each hemisphere, persistence was calculated as the spatial Pearson correlation between the voxelwise beta pattern for negative images in run </w:t>
      </w:r>
      <w:r>
        <w:rPr>
          <w:i/>
        </w:rPr>
        <w:t>i</w:t>
      </w:r>
      <w:r>
        <w:t xml:space="preserve"> and the pattern for neutral faces following negative images in run </w:t>
      </w:r>
      <w:r>
        <w:rPr>
          <w:i/>
        </w:rPr>
        <w:t>j</w:t>
      </w:r>
      <w:r>
        <w:t xml:space="preserve">, where </w:t>
      </w:r>
      <w:r>
        <w:rPr>
          <w:i/>
        </w:rPr>
        <w:t>i</w:t>
      </w:r>
      <w:r>
        <w:t xml:space="preserve"> ≠ </w:t>
      </w:r>
      <w:r>
        <w:rPr>
          <w:i/>
        </w:rPr>
        <w:t>j</w:t>
      </w:r>
      <w:r>
        <w:t xml:space="preserve">. Correlations were transformed to Fisher </w:t>
      </w:r>
      <w:r>
        <w:rPr>
          <w:i/>
        </w:rPr>
        <w:t>z</w:t>
      </w:r>
      <w:r>
        <w:t xml:space="preserve"> values and averaged across the six directional cross-run pairs. Left-amygdala negative persistence was the primary measure; right-amygdala and positive-image persistence were examined in sensitivity analyses.</w:t>
      </w:r>
    </w:p>
    <w:p w14:paraId="47D8F297" w14:textId="77777777" w:rsidR="00AD4E2B" w:rsidRDefault="00000000">
      <w:r>
        <w:rPr>
          <w:b/>
        </w:rPr>
        <w:t>Task-based functional connectivity.</w:t>
      </w:r>
      <w:r>
        <w:t xml:space="preserve"> Amygdala–vmPFC functional connectivity was estimated with a least-squares-separate beta-series procedure. For each image trial, the trial of interest was modeled separately, other trials of the same valence were combined in a second regressor, and trials from each remaining condition were combined into condition-specific regressors. Each image event was modeled for 6 s, encompassing the 4-s image and subsequent 2-s fixation interval; the following face was not included. Trial-specific beta estimates were extracted from left and right amygdala and from 10-mm-radius anterior (MNI coordinates: −2, 46, −10) and posterior (0, 26, −12) vmPFC spheres. Beta-series correlations were calculated separately for each connection, condition, and run, transformed to Fisher </w:t>
      </w:r>
      <w:r>
        <w:rPr>
          <w:i/>
        </w:rPr>
        <w:t>z</w:t>
      </w:r>
      <w:r>
        <w:t xml:space="preserve">, and averaged across runs. Negative-minus-neutral connectivity was the primary contrast. Analyses focused on left-amygdala connections, </w:t>
      </w:r>
      <w:r>
        <w:lastRenderedPageBreak/>
        <w:t>with right-amygdala, positive-minus-neutral, and negative-condition-only measures examined as sensitivity analyses.</w:t>
      </w:r>
    </w:p>
    <w:p w14:paraId="68DF5482" w14:textId="77777777" w:rsidR="00AD4E2B" w:rsidRDefault="00000000">
      <w:pPr>
        <w:keepNext/>
      </w:pPr>
      <w:r>
        <w:rPr>
          <w:b/>
        </w:rPr>
        <w:t>Statistical Analyses</w:t>
      </w:r>
    </w:p>
    <w:p w14:paraId="5AB9EE45" w14:textId="77777777" w:rsidR="00AD4E2B" w:rsidRDefault="00000000">
      <w:r>
        <w:t>For M3, linear mixed-effects models with a random intercept for family were the primary adjusted analyses. Paired twins shared a family grouping identifier; participants without an observed co-twin were assigned individual identifiers. Models were estimated with restricted maximum likelihood. Supplementary analyses included zero-order Pearson correlations and ordinary least-squares (OLS) regression; OLS models included twin-pair indicators instead of the family random intercept.</w:t>
      </w:r>
    </w:p>
    <w:p w14:paraId="29F6AE40" w14:textId="77777777" w:rsidR="00AD4E2B" w:rsidRDefault="00000000">
      <w:r>
        <w:t xml:space="preserve">Adjusted models included age at the neuroscience visit, biological sex, and race dummy variables. Models with diary outcomes additionally included the interval between the diary and neuroscience visits and the number of complete diary days. Age was omitted from the covariate set when it was the predictor. Prespecified directional hypotheses were evaluated with one-tailed tests, calculated from the corresponding two-tailed probability according to the observed direction. Raw NA was the primary negative-affect outcome, with log-transformed NA used to assess robustness. Right-hemisphere and other specificity analyses used two-tailed tests unless an explicit directional prediction had been specified. Exploratory moderation tests were two-tailed. Predictor and moderator variables were mean centered before interaction terms were calculated. Sensitivity and exploratory analyses were reported with nominal </w:t>
      </w:r>
      <w:r>
        <w:rPr>
          <w:i/>
        </w:rPr>
        <w:t>p</w:t>
      </w:r>
      <w:r>
        <w:t xml:space="preserve"> values without multiplicity adjustment and were not used to redefine the primary hypotheses.</w:t>
      </w:r>
    </w:p>
    <w:p w14:paraId="7A31B9C1" w14:textId="77777777" w:rsidR="00AD4E2B" w:rsidRDefault="00000000">
      <w:r>
        <w:t>The prespecified statistical indirect association between age and daily affect through left-amygdala negative persistence was evaluated in the primary diary-plus-fMRI sample. Separate mixed-effects models estimated the age–persistence path (a), the persistence–affect path adjusted for age (b), the direct age–affect path (c′), and the total age–affect path (c) using a common complete-case sample and the covariates described above. Indirect effects (a × b) were evaluated using two-sided 95% percentile confidence intervals from 2,000 family-level cluster-bootstrap resamples. Age at the diary assessment and log-transformed negative affect were examined as sensitivity analyses. Because daily affect preceded the neuroimaging assessment, these models were interpreted as statistical indirect associations rather than causal mediation.</w:t>
      </w:r>
    </w:p>
    <w:p w14:paraId="77879747" w14:textId="77777777" w:rsidR="00AD4E2B" w:rsidRDefault="00000000">
      <w:r>
        <w:t xml:space="preserve">For MR1, corresponding participant-level OLS models were used because the available analytic inputs contained no usable family, household, sibling, or twin-pair grouping identifier. Models included the same available covariates and directional tests as the corresponding M3 analyses. The conservative MR1 analysis was primary, and models </w:t>
      </w:r>
      <w:r>
        <w:lastRenderedPageBreak/>
        <w:t>without conservative QC restriction were retained as secondary analyses. Direct results were classified as supported when significant in the predicted direction, directionally consistent when nonsignificant but in the predicted direction, and not supported when the estimate was in the opposite direction. MR1 sensitivity analyses were interpreted as robustness or specificity checks and did not alter the direct-replication classification.</w:t>
      </w:r>
    </w:p>
    <w:p>
      <w:pPr>
        <w:keepNext/>
      </w:pPr>
      <w:r>
        <w:rPr>
          <w:b/>
        </w:rPr>
        <w:t>Transparency and Openness</w:t>
      </w:r>
    </w:p>
    <w:p>
      <w:r>
        <w:t>This study used existing MIDUS data. Sample sizes were determined by the availability of the required diary, demographic, and neuroimaging variables and by the quality-control and complete-case criteria described above; no a priori power analysis was used. We report how we determined our sample size, all data exclusions (if any), all manipulations, and all measures in the study. The M3 hypotheses and analysis plan were preregistered before analysis (https://doi.org/10.17605/OSF.IO/85H2D), deviations are reported in Table 1, and the subsequent MR1 evaluation followed the finalized M3 analysis plan.</w:t>
      </w:r>
    </w:p>
    <w:p>
      <w:r>
        <w:t>MIDUS participant-level data are not redistributed by the authors under the applicable data-use agreements. Public-use data and documentation are available through NACDA/ICPSR, and restricted neuroimaging data may be requested through the MIDUS Neuroscience Repository (https://midus.wisc.edu/midus-neuroscience-repository/). Analysis code is available at https://github.com/adamgeorgeturnbull/MIDUS_AMYGDALA_PERSISTENCE. Study documentation and materials supplied by MIDUS are available through the MIDUS and ICPSR project pages, subject to their applicable access conditions.</w:t>
      </w:r>
    </w:p>
    <w:p>
      <w:r>
        <w:t>Generative artificial intelligence tools, Claude (Anthropic, 2026) and Codex (OpenAI, 2026), were used through iterative prompting to assist with analysis-code development and review, visualization-code development, and drafting and editing portions of the manuscript. The tools received only code, synthetic data, aggregate statistical outputs, and nonidentifiable manuscript materials; no MIDUS participant-level data were shared. All AI-assisted outputs were reviewed, verified, and finalized by the human authors, who take responsibility for the content.</w:t>
      </w:r>
    </w:p>
    <w:p w14:paraId="27C36A51" w14:textId="77777777" w:rsidR="00D01271" w:rsidRDefault="00320DE9" w:rsidP="00B7466C">
      <w:pPr>
        <w:spacing w:line="480" w:lineRule="auto"/>
        <w:rPr>
          <w:b/>
          <w:bCs/>
        </w:rPr>
      </w:pPr>
      <w:r>
        <w:rPr>
          <w:b/>
          <w:bCs/>
        </w:rPr>
        <w:t>Results</w:t>
      </w:r>
    </w:p>
    <w:p w14:paraId="0ED27215" w14:textId="77777777" w:rsidR="00AD4E2B" w:rsidRDefault="00000000">
      <w:pPr>
        <w:keepNext/>
      </w:pPr>
      <w:r>
        <w:rPr>
          <w:b/>
        </w:rPr>
        <w:t>Convergence of Affect Measures</w:t>
      </w:r>
    </w:p>
    <w:p w14:paraId="3A6F3C23" w14:textId="77777777" w:rsidR="00AD4E2B" w:rsidRDefault="00000000">
      <w:r>
        <w:t xml:space="preserve">Daily diary and PANAS affect scores were positively associated in the 136 participants with both measures: diary PA with PANAS positive affect, diary NA with PANAS negative affect, and log-transformed diary NA with log-transformed PANAS negative affect (all </w:t>
      </w:r>
      <w:r>
        <w:rPr>
          <w:i/>
        </w:rPr>
        <w:t>p</w:t>
      </w:r>
      <w:r>
        <w:t>s &lt; .001). These associations support convergence while also indicating substantial measure-specific variance.</w:t>
      </w:r>
    </w:p>
    <w:p w14:paraId="5862E082" w14:textId="77777777" w:rsidR="00AD4E2B" w:rsidRDefault="00000000">
      <w:pPr>
        <w:keepNext/>
      </w:pPr>
      <w:r>
        <w:rPr>
          <w:b/>
        </w:rPr>
        <w:t>Task-Related Activation and Functional Connectivity</w:t>
      </w:r>
    </w:p>
    <w:p w14:paraId="644BB43D" w14:textId="77777777" w:rsidR="00AD4E2B" w:rsidRDefault="00000000">
      <w:r>
        <w:t xml:space="preserve">In the conservative M3 fMRI sample, left-amygdala activation was greater than zero for negative, </w:t>
      </w:r>
      <w:r>
        <w:rPr>
          <w:i/>
        </w:rPr>
        <w:t>t</w:t>
      </w:r>
      <w:r>
        <w:t xml:space="preserve">(126) = 5.63, </w:t>
      </w:r>
      <w:r>
        <w:rPr>
          <w:i/>
        </w:rPr>
        <w:t>p</w:t>
      </w:r>
      <w:r>
        <w:t xml:space="preserve"> &lt; .001, and positive images, </w:t>
      </w:r>
      <w:r>
        <w:rPr>
          <w:i/>
        </w:rPr>
        <w:t>t</w:t>
      </w:r>
      <w:r>
        <w:t xml:space="preserve">(126) = 4.99, </w:t>
      </w:r>
      <w:r>
        <w:rPr>
          <w:i/>
        </w:rPr>
        <w:t>p</w:t>
      </w:r>
      <w:r>
        <w:t xml:space="preserve"> &lt; .001, but not for neutral images, </w:t>
      </w:r>
      <w:r>
        <w:rPr>
          <w:i/>
        </w:rPr>
        <w:t>t</w:t>
      </w:r>
      <w:r>
        <w:t xml:space="preserve">(126) = 1.82, </w:t>
      </w:r>
      <w:r>
        <w:rPr>
          <w:i/>
        </w:rPr>
        <w:t>p</w:t>
      </w:r>
      <w:r>
        <w:t xml:space="preserve"> = .070. Right-amygdala activation was positive in all three conditions (all </w:t>
      </w:r>
      <w:r>
        <w:rPr>
          <w:i/>
        </w:rPr>
        <w:t>t</w:t>
      </w:r>
      <w:r>
        <w:t xml:space="preserve">s ≥ 5.30, all </w:t>
      </w:r>
      <w:r>
        <w:rPr>
          <w:i/>
        </w:rPr>
        <w:t>p</w:t>
      </w:r>
      <w:r>
        <w:t xml:space="preserve">s &lt; .001). Both amygdalae responded more strongly to negative than neutral images (left: </w:t>
      </w:r>
      <w:r>
        <w:rPr>
          <w:i/>
        </w:rPr>
        <w:t>t</w:t>
      </w:r>
      <w:r>
        <w:t xml:space="preserve">(126) = 3.77, </w:t>
      </w:r>
      <w:r>
        <w:rPr>
          <w:i/>
        </w:rPr>
        <w:t>p</w:t>
      </w:r>
      <w:r>
        <w:t xml:space="preserve"> &lt; .001; right: </w:t>
      </w:r>
      <w:r>
        <w:rPr>
          <w:i/>
        </w:rPr>
        <w:t>t</w:t>
      </w:r>
      <w:r>
        <w:t xml:space="preserve">(126) = 3.17, </w:t>
      </w:r>
      <w:r>
        <w:rPr>
          <w:i/>
        </w:rPr>
        <w:t>p</w:t>
      </w:r>
      <w:r>
        <w:t xml:space="preserve"> = .002), whereas negative and positive responses did not differ significantly (both </w:t>
      </w:r>
      <w:r>
        <w:rPr>
          <w:i/>
        </w:rPr>
        <w:t>p</w:t>
      </w:r>
      <w:r>
        <w:t>s ≥ .074).</w:t>
      </w:r>
    </w:p>
    <w:p w14:paraId="474E8045" w14:textId="77777777" w:rsidR="00AD4E2B" w:rsidRDefault="00000000">
      <w:r>
        <w:t xml:space="preserve">Anterior vmPFC showed significant deactivation during negative, </w:t>
      </w:r>
      <w:r>
        <w:rPr>
          <w:i/>
        </w:rPr>
        <w:t>t</w:t>
      </w:r>
      <w:r>
        <w:t xml:space="preserve">(126) = −3.54, </w:t>
      </w:r>
      <w:r>
        <w:rPr>
          <w:i/>
        </w:rPr>
        <w:t>p</w:t>
      </w:r>
      <w:r>
        <w:t xml:space="preserve"> &lt; .001, and neutral images, </w:t>
      </w:r>
      <w:r>
        <w:rPr>
          <w:i/>
        </w:rPr>
        <w:t>t</w:t>
      </w:r>
      <w:r>
        <w:t xml:space="preserve">(126) = −2.99, </w:t>
      </w:r>
      <w:r>
        <w:rPr>
          <w:i/>
        </w:rPr>
        <w:t>p</w:t>
      </w:r>
      <w:r>
        <w:t xml:space="preserve"> = .003, but not positive images, </w:t>
      </w:r>
      <w:r>
        <w:rPr>
          <w:i/>
        </w:rPr>
        <w:t>t</w:t>
      </w:r>
      <w:r>
        <w:t xml:space="preserve">(126) = −1.28, </w:t>
      </w:r>
      <w:r>
        <w:rPr>
          <w:i/>
        </w:rPr>
        <w:t>p</w:t>
      </w:r>
      <w:r>
        <w:t xml:space="preserve"> = .204. Deactivation was greater during negative than positive images, </w:t>
      </w:r>
      <w:r>
        <w:rPr>
          <w:i/>
        </w:rPr>
        <w:t>t</w:t>
      </w:r>
      <w:r>
        <w:t xml:space="preserve">(126) = −2.98, </w:t>
      </w:r>
      <w:r>
        <w:rPr>
          <w:i/>
        </w:rPr>
        <w:t>p</w:t>
      </w:r>
      <w:r>
        <w:t xml:space="preserve"> = .003. Posterior vmPFC activation did not differ from zero or between conditions (smallest </w:t>
      </w:r>
      <w:r>
        <w:rPr>
          <w:i/>
        </w:rPr>
        <w:t>p</w:t>
      </w:r>
      <w:r>
        <w:t xml:space="preserve"> = .114).</w:t>
      </w:r>
    </w:p>
    <w:p w14:paraId="299BB76D" w14:textId="77777777" w:rsidR="00AD4E2B" w:rsidRDefault="00000000">
      <w:r>
        <w:t xml:space="preserve">All 12 amygdala–vmPFC connection-by-condition estimates were positive (all </w:t>
      </w:r>
      <w:r>
        <w:rPr>
          <w:i/>
        </w:rPr>
        <w:t>p</w:t>
      </w:r>
      <w:r>
        <w:t xml:space="preserve">s ≤ .003), indicating reliable task-related coupling. However, no connection differed significantly between negative and neutral or between negative and positive conditions (all </w:t>
      </w:r>
      <w:r>
        <w:rPr>
          <w:i/>
        </w:rPr>
        <w:t>p</w:t>
      </w:r>
      <w:r>
        <w:t xml:space="preserve">s ≥ .097). Across activation, persistence, and beta-series connectivity measures, anterior and posterior vmPFC estimates showed moderate-to-strong correspondence (all </w:t>
      </w:r>
      <w:r>
        <w:rPr>
          <w:i/>
        </w:rPr>
        <w:t>p</w:t>
      </w:r>
      <w:r>
        <w:t>s &lt; .001), while retaining substantial nonshared variance.</w:t>
      </w:r>
    </w:p>
    <w:p w14:paraId="55D89AB3" w14:textId="77777777" w:rsidR="00AD4E2B" w:rsidRDefault="00000000">
      <w:pPr>
        <w:keepNext/>
      </w:pPr>
      <w:r>
        <w:rPr>
          <w:b/>
        </w:rPr>
        <w:t>Age and Affect</w:t>
      </w:r>
    </w:p>
    <w:p w14:paraId="71B3B784" w14:textId="77777777" w:rsidR="00AD4E2B" w:rsidRDefault="00000000">
      <w:r>
        <w:t xml:space="preserve">In the full diary sample, older age was associated with higher PA (β = .010, </w:t>
      </w:r>
      <w:r>
        <w:rPr>
          <w:i/>
        </w:rPr>
        <w:t>z</w:t>
      </w:r>
      <w:r>
        <w:t xml:space="preserve"> = 4.91, </w:t>
      </w:r>
      <w:r>
        <w:rPr>
          <w:i/>
        </w:rPr>
        <w:t>p</w:t>
      </w:r>
      <w:r>
        <w:t xml:space="preserve"> &lt; .001), lower raw NA (β = −.00285, </w:t>
      </w:r>
      <w:r>
        <w:rPr>
          <w:i/>
        </w:rPr>
        <w:t>z</w:t>
      </w:r>
      <w:r>
        <w:t xml:space="preserve"> = −4.07, </w:t>
      </w:r>
      <w:r>
        <w:rPr>
          <w:i/>
        </w:rPr>
        <w:t>p</w:t>
      </w:r>
      <w:r>
        <w:t xml:space="preserve"> &lt; .001), and lower log-transformed NA (β = </w:t>
      </w:r>
      <w:r>
        <w:lastRenderedPageBreak/>
        <w:t xml:space="preserve">−.0222, </w:t>
      </w:r>
      <w:r>
        <w:rPr>
          <w:i/>
        </w:rPr>
        <w:t>z</w:t>
      </w:r>
      <w:r>
        <w:t xml:space="preserve"> = −5.28, </w:t>
      </w:r>
      <w:r>
        <w:rPr>
          <w:i/>
        </w:rPr>
        <w:t>p</w:t>
      </w:r>
      <w:r>
        <w:t xml:space="preserve"> &lt; .001) in the primary adjusted models (N = 1,168 after covariate-complete-case restriction). In the smaller diary-plus-neuroscience sample (N = 137), age was not significantly associated with PA (</w:t>
      </w:r>
      <w:r>
        <w:rPr>
          <w:i/>
        </w:rPr>
        <w:t>z</w:t>
      </w:r>
      <w:r>
        <w:t xml:space="preserve"> = 1.23, </w:t>
      </w:r>
      <w:r>
        <w:rPr>
          <w:i/>
        </w:rPr>
        <w:t>p</w:t>
      </w:r>
      <w:r>
        <w:t xml:space="preserve"> = .110) or raw NA (</w:t>
      </w:r>
      <w:r>
        <w:rPr>
          <w:i/>
        </w:rPr>
        <w:t>z</w:t>
      </w:r>
      <w:r>
        <w:t xml:space="preserve"> = −.82, </w:t>
      </w:r>
      <w:r>
        <w:rPr>
          <w:i/>
        </w:rPr>
        <w:t>p</w:t>
      </w:r>
      <w:r>
        <w:t xml:space="preserve"> = .205), but was associated with lower log-transformed NA (</w:t>
      </w:r>
      <w:r>
        <w:rPr>
          <w:i/>
        </w:rPr>
        <w:t>z</w:t>
      </w:r>
      <w:r>
        <w:t xml:space="preserve"> = −2.22, </w:t>
      </w:r>
      <w:r>
        <w:rPr>
          <w:i/>
        </w:rPr>
        <w:t>p</w:t>
      </w:r>
      <w:r>
        <w:t xml:space="preserve"> = .013). In the PANAS sample (N = 230), age was not associated with positive affect (</w:t>
      </w:r>
      <w:r>
        <w:rPr>
          <w:i/>
        </w:rPr>
        <w:t>p</w:t>
      </w:r>
      <w:r>
        <w:t xml:space="preserve"> = .406) or raw negative affect (</w:t>
      </w:r>
      <w:r>
        <w:rPr>
          <w:i/>
        </w:rPr>
        <w:t>p</w:t>
      </w:r>
      <w:r>
        <w:t xml:space="preserve"> = .054), but was associated with lower log-transformed negative affect (β = −.00284, </w:t>
      </w:r>
      <w:r>
        <w:rPr>
          <w:i/>
        </w:rPr>
        <w:t>z</w:t>
      </w:r>
      <w:r>
        <w:t xml:space="preserve"> = −1.98, </w:t>
      </w:r>
      <w:r>
        <w:rPr>
          <w:i/>
        </w:rPr>
        <w:t>p</w:t>
      </w:r>
      <w:r>
        <w:t xml:space="preserve"> = .024).</w:t>
      </w:r>
    </w:p>
    <w:p w14:paraId="169431C6" w14:textId="584F0ABB" w:rsidR="00DF3919" w:rsidRDefault="000C5E31" w:rsidP="00B7466C">
      <w:pPr>
        <w:keepNext/>
        <w:spacing w:line="480" w:lineRule="auto"/>
      </w:pPr>
      <w:r>
        <w:rPr>
          <w:noProof/>
        </w:rPr>
        <w:drawing>
          <wp:inline distT="0" distB="0" distL="0" distR="0" wp14:anchorId="6B5B933B" wp14:editId="3190620D">
            <wp:extent cx="5943600" cy="2539365"/>
            <wp:effectExtent l="0" t="0" r="0" b="635"/>
            <wp:docPr id="331162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62109" name="Picture 3311621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39365"/>
                    </a:xfrm>
                    <a:prstGeom prst="rect">
                      <a:avLst/>
                    </a:prstGeom>
                  </pic:spPr>
                </pic:pic>
              </a:graphicData>
            </a:graphic>
          </wp:inline>
        </w:drawing>
      </w:r>
    </w:p>
    <w:p w14:paraId="4E464548" w14:textId="0579E015" w:rsidR="00641AD4" w:rsidRPr="009146EB" w:rsidRDefault="00DF3919" w:rsidP="00B7466C">
      <w:pPr>
        <w:pStyle w:val="Caption"/>
        <w:spacing w:line="480" w:lineRule="auto"/>
      </w:pPr>
      <w:r>
        <w:rPr>
          <w:b/>
          <w:bCs/>
        </w:rPr>
        <w:t>Figure 3. Left-amygdala negative persistence and daily affect.</w:t>
      </w:r>
      <w:r>
        <w:t xml:space="preserve"> Mixed-effects partial residuals show adjusted associations with (A) positive affect and (B) raw negative affect in the primary diary-plus-fMRI sample (N = 81). Lines show fitted fixed-effect associations.</w:t>
      </w:r>
    </w:p>
    <w:p w14:paraId="78DCB884" w14:textId="77777777" w:rsidR="00AD4E2B" w:rsidRDefault="00000000">
      <w:pPr>
        <w:keepNext/>
      </w:pPr>
      <w:r>
        <w:rPr>
          <w:b/>
        </w:rPr>
        <w:t>Amygdala Persistence and Affect</w:t>
      </w:r>
    </w:p>
    <w:p w14:paraId="469F863B" w14:textId="77777777" w:rsidR="00AD4E2B" w:rsidRDefault="00000000">
      <w:r>
        <w:t xml:space="preserve">In the primary diary-plus-fMRI sample (N = 81), greater left-amygdala negative persistence was associated with higher raw NA in the primary mixed-effects model (β = .278, SE = .136, </w:t>
      </w:r>
      <w:r>
        <w:rPr>
          <w:i/>
        </w:rPr>
        <w:t>z</w:t>
      </w:r>
      <w:r>
        <w:t xml:space="preserve"> = 2.05, one-tailed </w:t>
      </w:r>
      <w:r>
        <w:rPr>
          <w:i/>
        </w:rPr>
        <w:t>p</w:t>
      </w:r>
      <w:r>
        <w:t xml:space="preserve"> = .020). Associations with PA (β = −.700, SE = .476, </w:t>
      </w:r>
      <w:r>
        <w:rPr>
          <w:i/>
        </w:rPr>
        <w:t>z</w:t>
      </w:r>
      <w:r>
        <w:t xml:space="preserve"> = −1.47, </w:t>
      </w:r>
      <w:r>
        <w:rPr>
          <w:i/>
        </w:rPr>
        <w:t>p</w:t>
      </w:r>
      <w:r>
        <w:t xml:space="preserve"> = .071) and log-transformed NA (β = 1.950, SE = 1.273, </w:t>
      </w:r>
      <w:r>
        <w:rPr>
          <w:i/>
        </w:rPr>
        <w:t>z</w:t>
      </w:r>
      <w:r>
        <w:t xml:space="preserve"> = 1.53, </w:t>
      </w:r>
      <w:r>
        <w:rPr>
          <w:i/>
        </w:rPr>
        <w:t>p</w:t>
      </w:r>
      <w:r>
        <w:t xml:space="preserve"> = .063) were in the predicted directions but were not significant.</w:t>
      </w:r>
    </w:p>
    <w:p w14:paraId="70ED5D06" w14:textId="0AFFD79D" w:rsidR="00AD4E2B" w:rsidRDefault="00000000">
      <w:r>
        <w:t xml:space="preserve">In the 54-person subsample with no participant overlap with the original MIDUS 2 study, the mixed-effects association remained significant for raw NA (β = .314, </w:t>
      </w:r>
      <w:r>
        <w:rPr>
          <w:i/>
        </w:rPr>
        <w:t>z</w:t>
      </w:r>
      <w:r>
        <w:t xml:space="preserve"> = 1.95, </w:t>
      </w:r>
      <w:r>
        <w:rPr>
          <w:i/>
        </w:rPr>
        <w:t>p</w:t>
      </w:r>
      <w:r>
        <w:t xml:space="preserve"> = .025), but not for PA or log-transformed NA (both </w:t>
      </w:r>
      <w:r>
        <w:rPr>
          <w:i/>
        </w:rPr>
        <w:t>p</w:t>
      </w:r>
      <w:r>
        <w:t>s ≥ .143).</w:t>
      </w:r>
    </w:p>
    <w:p w14:paraId="5D1695FB" w14:textId="4522AD8B" w:rsidR="00AD4E2B" w:rsidRDefault="00000000">
      <w:r>
        <w:t xml:space="preserve">Right-amygdala negative persistence did not significantly predict diary PA or NA in the primary M3 sensitivity models (two-tailed </w:t>
      </w:r>
      <w:r>
        <w:rPr>
          <w:i/>
        </w:rPr>
        <w:t>p</w:t>
      </w:r>
      <w:r>
        <w:t xml:space="preserve">s ≥ .084). Left-amygdala persistence also did </w:t>
      </w:r>
      <w:r>
        <w:lastRenderedPageBreak/>
        <w:t xml:space="preserve">not significantly predict PANAS affect in the full conservative fMRI sample (one-tailed </w:t>
      </w:r>
      <w:r>
        <w:rPr>
          <w:i/>
        </w:rPr>
        <w:t>p</w:t>
      </w:r>
      <w:r>
        <w:t xml:space="preserve">s ≥ .088). Positive persistence, vmPFC persistence, and regional activation measures were not </w:t>
      </w:r>
      <w:r w:rsidR="00CC42EF">
        <w:rPr>
          <w:noProof/>
        </w:rPr>
        <w:drawing>
          <wp:anchor distT="0" distB="0" distL="114300" distR="114300" simplePos="0" relativeHeight="251661312" behindDoc="0" locked="0" layoutInCell="1" allowOverlap="1" wp14:anchorId="16F53455" wp14:editId="7C6B0AF5">
            <wp:simplePos x="0" y="0"/>
            <wp:positionH relativeFrom="column">
              <wp:posOffset>3007360</wp:posOffset>
            </wp:positionH>
            <wp:positionV relativeFrom="paragraph">
              <wp:posOffset>0</wp:posOffset>
            </wp:positionV>
            <wp:extent cx="3200400" cy="2971800"/>
            <wp:effectExtent l="0" t="0" r="0" b="0"/>
            <wp:wrapSquare wrapText="bothSides"/>
            <wp:docPr id="271702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02158" name="Picture 2717021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00400" cy="2971800"/>
                    </a:xfrm>
                    <a:prstGeom prst="rect">
                      <a:avLst/>
                    </a:prstGeom>
                  </pic:spPr>
                </pic:pic>
              </a:graphicData>
            </a:graphic>
            <wp14:sizeRelH relativeFrom="page">
              <wp14:pctWidth>0</wp14:pctWidth>
            </wp14:sizeRelH>
            <wp14:sizeRelV relativeFrom="page">
              <wp14:pctHeight>0</wp14:pctHeight>
            </wp14:sizeRelV>
          </wp:anchor>
        </w:drawing>
      </w:r>
      <w:r>
        <w:t xml:space="preserve">significantly associated with diary affect in the corresponding two-tailed sensitivity analyses (all </w:t>
      </w:r>
      <w:r>
        <w:rPr>
          <w:i/>
        </w:rPr>
        <w:t>p</w:t>
      </w:r>
      <w:r>
        <w:t>s ≥ .084).</w:t>
      </w:r>
    </w:p>
    <w:p w14:paraId="4684A01D" w14:textId="77777777" w:rsidR="00AD4E2B" w:rsidRDefault="00000000">
      <w:pPr>
        <w:keepNext/>
      </w:pPr>
      <w:r>
        <w:rPr>
          <w:b/>
        </w:rPr>
        <w:t>Age and Amygdala Persistence</w:t>
      </w:r>
    </w:p>
    <w:p w14:paraId="68FF61E2" w14:textId="73CB93A9" w:rsidR="00AD4E2B" w:rsidRDefault="00CC42EF">
      <w:r>
        <w:rPr>
          <w:noProof/>
        </w:rPr>
        <mc:AlternateContent>
          <mc:Choice Requires="wps">
            <w:drawing>
              <wp:anchor distT="0" distB="0" distL="114300" distR="114300" simplePos="0" relativeHeight="251663360" behindDoc="0" locked="0" layoutInCell="1" allowOverlap="1" wp14:anchorId="7C99933E" wp14:editId="2093DDF6">
                <wp:simplePos x="0" y="0"/>
                <wp:positionH relativeFrom="column">
                  <wp:posOffset>2964021</wp:posOffset>
                </wp:positionH>
                <wp:positionV relativeFrom="paragraph">
                  <wp:posOffset>1894046</wp:posOffset>
                </wp:positionV>
                <wp:extent cx="3300095" cy="635"/>
                <wp:effectExtent l="0" t="0" r="1905" b="635"/>
                <wp:wrapSquare wrapText="bothSides"/>
                <wp:docPr id="2032819743" name="Text Box 1"/>
                <wp:cNvGraphicFramePr/>
                <a:graphic xmlns:a="http://schemas.openxmlformats.org/drawingml/2006/main">
                  <a:graphicData uri="http://schemas.microsoft.com/office/word/2010/wordprocessingShape">
                    <wps:wsp>
                      <wps:cNvSpPr txBox="1"/>
                      <wps:spPr>
                        <a:xfrm>
                          <a:off x="0" y="0"/>
                          <a:ext cx="3300095" cy="635"/>
                        </a:xfrm>
                        <a:prstGeom prst="rect">
                          <a:avLst/>
                        </a:prstGeom>
                        <a:solidFill>
                          <a:prstClr val="white"/>
                        </a:solidFill>
                        <a:ln>
                          <a:noFill/>
                        </a:ln>
                      </wps:spPr>
                      <wps:txbx>
                        <w:txbxContent>
                          <w:p w14:paraId="36651B26" w14:textId="4AF70D17" w:rsidR="00DB276D" w:rsidRPr="002729D0" w:rsidRDefault="00DB276D" w:rsidP="00DB276D">
                            <w:pPr>
                              <w:pStyle w:val="Caption"/>
                              <w:spacing w:line="480" w:lineRule="auto"/>
                            </w:pPr>
                            <w:r>
                              <w:rPr>
                                <w:b/>
                                <w:bCs/>
                              </w:rPr>
                              <w:t>Figure 4. Age and left-amygdala negative persistence.</w:t>
                            </w:r>
                            <w:r>
                              <w:t xml:space="preserve"> Mixed-effects partial residuals show the adjusted association between age at the neuroscience visit and persistence in the conservative fMRI sample (N = 127); the line shows the fitted fixed-effect association.</w:t>
                            </w:r>
                          </w:p>
                          <w:p w14:paraId="194A35B4" w14:textId="26F59515" w:rsidR="00DB276D" w:rsidRPr="00356EEA" w:rsidRDefault="00DB276D" w:rsidP="00DB276D">
                            <w:pPr>
                              <w:pStyle w:val="Caption"/>
                              <w:rPr>
                                <w:noProof/>
                              </w:rPr>
                            </w:pPr>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7C99933E" id="_x0000_t202" coordsize="21600,21600" o:spt="202" path="m,l,21600r21600,l21600,xe">
                <v:stroke joinstyle="miter"/>
                <v:path gradientshapeok="t" o:connecttype="rect"/>
              </v:shapetype>
              <v:shape id="Text Box 1" o:spid="_x0000_s1026" type="#_x0000_t202" style="position:absolute;margin-left:233.4pt;margin-top:149.15pt;width:259.85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" stroked="f">
                <v:textbox style="mso-fit-shape-to-text:t" inset="0,0,0,0">
                  <w:txbxContent>
                    <w:p w14:paraId="36651B26" w14:textId="4AF70D17" w:rsidR="00DB276D" w:rsidRPr="002729D0" w:rsidRDefault="00DB276D" w:rsidP="00DB276D">
                      <w:pPr>
                        <w:pStyle w:val="Caption"/>
                        <w:spacing w:line="480" w:lineRule="auto"/>
                      </w:pPr>
                      <w:r>
                        <w:rPr>
                          <w:b/>
                          <w:bCs/>
                        </w:rPr>
                        <w:t>Figure 4. Age and left-amygdala negative persistence.</w:t>
                      </w:r>
                      <w:r>
                        <w:t xml:space="preserve"> Mixed-effects partial residuals show the adjusted association between age at the neuroscience visit and persistence in the conservative fMRI sample (N = 127); the line shows the fitted fixed-effect association.</w:t>
                      </w:r>
                    </w:p>
                    <w:p w14:paraId="194A35B4" w14:textId="26F59515" w:rsidR="00DB276D" w:rsidRPr="00356EEA" w:rsidRDefault="00DB276D" w:rsidP="00DB276D">
                      <w:pPr>
                        <w:pStyle w:val="Caption"/>
                        <w:rPr>
                          <w:noProof/>
                        </w:rPr>
                      </w:pPr>
                      <w:r>
                        <w:t xml:space="preserve"> </w:t>
                      </w:r>
                    </w:p>
                  </w:txbxContent>
                </v:textbox>
                <w10:wrap type="square"/>
              </v:shape>
            </w:pict>
          </mc:Fallback>
        </mc:AlternateContent>
      </w:r>
      <w:r>
        <w:t xml:space="preserve">Older age was associated with lower left-amygdala negative persistence in the primary mixed-effects model (β = −.00260, SE = .00124, </w:t>
      </w:r>
      <w:r>
        <w:rPr>
          <w:i/>
        </w:rPr>
        <w:t>z</w:t>
      </w:r>
      <w:r>
        <w:t xml:space="preserve"> = −2.09, one-tailed </w:t>
      </w:r>
      <w:r>
        <w:rPr>
          <w:i/>
        </w:rPr>
        <w:t>p</w:t>
      </w:r>
      <w:r>
        <w:t xml:space="preserve"> = .018; N = 127). Associations between age and right-amygdala negative persistence, bilateral positive persistence, and anterior or posterior vmPFC persistence were not significant in two-tailed sensitivity analyses (all </w:t>
      </w:r>
      <w:r>
        <w:rPr>
          <w:i/>
        </w:rPr>
        <w:t>p</w:t>
      </w:r>
      <w:r>
        <w:t>s ≥ .159).</w:t>
      </w:r>
    </w:p>
    <w:p w14:paraId="285B03C7" w14:textId="3B5F60D1" w:rsidR="00283811" w:rsidRDefault="00283811" w:rsidP="00B7466C">
      <w:pPr>
        <w:keepNext/>
        <w:spacing w:line="480" w:lineRule="auto"/>
      </w:pPr>
    </w:p>
    <w:p w14:paraId="7A31B9C2" w14:textId="77777777" w:rsidR="00AD4E2B" w:rsidRDefault="00000000">
      <w:pPr>
        <w:keepNext/>
      </w:pPr>
      <w:r>
        <w:rPr>
          <w:b/>
        </w:rPr>
        <w:t>Persistence mediation of age and affect</w:t>
      </w:r>
    </w:p>
    <w:p w14:paraId="7A31B9C3" w14:textId="77777777" w:rsidR="00AD4E2B" w:rsidRDefault="00000000">
      <w:r>
        <w:t>We next tested the prespecified statistical indirect association between age and daily affect through left-amygdala negative persistence. Although age was associated with lower persistence in the larger neuroimaging sample, the age–persistence path was weaker in the diary–fMRI subsample, β = −0.00132, SE = 0.00157, z = −0.84, p = .400, N = 81. There was no evidence of an indirect association with positive affect, ab = 0.00093, 95% bootstrap CI [−0.00137, 0.00510], negative affect, ab = −0.00037, 95% bootstrap CI [−0.00110, 0.00037], or log-transformed negative affect, ab = −0.00258, 95% bootstrap CI [−0.01043, 0.00242]. Age remained associated with negative affect after persistence was included, β = −0.00434, p = .022, and with log-transformed negative affect, β = −0.05760, p &lt; .001. Results were unchanged when age at the diary assessment was used instead: the age–persistence path was β = −0.00115, SE = 0.00157, z = −0.73, p = .465, and all bootstrap confidence intervals for the indirect associations included zero.</w:t>
      </w:r>
    </w:p>
    <w:p w14:paraId="6B59B172" w14:textId="1C2B5898" w:rsidR="00AD4E2B" w:rsidRDefault="00000000">
      <w:pPr>
        <w:keepNext/>
      </w:pPr>
      <w:r>
        <w:rPr>
          <w:b/>
        </w:rPr>
        <w:lastRenderedPageBreak/>
        <w:t>Amygdala–vmPFC Functional Connectivity and Affect</w:t>
      </w:r>
    </w:p>
    <w:p w14:paraId="6AF95474" w14:textId="2A6EB2BC" w:rsidR="00AD4E2B" w:rsidRDefault="00000000">
      <w:r>
        <w:t xml:space="preserve">In the primary diary-plus-fMRI sample (N = 81), greater left-amygdala–anterior vmPFC connectivity for negative relative to neutral images was associated with lower raw NA (β = −.106, SE = .060, </w:t>
      </w:r>
      <w:r>
        <w:rPr>
          <w:i/>
        </w:rPr>
        <w:t>z</w:t>
      </w:r>
      <w:r>
        <w:t xml:space="preserve"> = −1.76, one-tailed </w:t>
      </w:r>
      <w:r>
        <w:rPr>
          <w:i/>
        </w:rPr>
        <w:t>p</w:t>
      </w:r>
      <w:r>
        <w:t xml:space="preserve"> = .039) and lower log-transformed NA (β = −1.063, SE = .485, </w:t>
      </w:r>
      <w:r>
        <w:rPr>
          <w:i/>
        </w:rPr>
        <w:t>z</w:t>
      </w:r>
      <w:r>
        <w:t xml:space="preserve"> = −2.19, one-tailed </w:t>
      </w:r>
      <w:r>
        <w:rPr>
          <w:i/>
        </w:rPr>
        <w:t>p</w:t>
      </w:r>
      <w:r>
        <w:t xml:space="preserve"> = .014) in the primary mixed-effects models. It was not associated with PA (β = −.018, </w:t>
      </w:r>
      <w:r>
        <w:rPr>
          <w:i/>
        </w:rPr>
        <w:t>z</w:t>
      </w:r>
      <w:r>
        <w:t xml:space="preserve"> = −.08, </w:t>
      </w:r>
      <w:r>
        <w:rPr>
          <w:i/>
        </w:rPr>
        <w:t>p</w:t>
      </w:r>
      <w:r>
        <w:t xml:space="preserve"> = .532).</w:t>
      </w:r>
    </w:p>
    <w:p w14:paraId="7A29D1A9" w14:textId="3D9E2A58" w:rsidR="00AD4E2B" w:rsidRDefault="00000000">
      <w:r>
        <w:t xml:space="preserve">Posterior vmPFC connectivity did not significantly predict any outcome in the prespecified direction (all one-tailed </w:t>
      </w:r>
      <w:r>
        <w:rPr>
          <w:i/>
        </w:rPr>
        <w:t>p</w:t>
      </w:r>
      <w:r>
        <w:t xml:space="preserve">s ≥ .132). Its mixed-effects association with PA was negative (β = −.353, </w:t>
      </w:r>
      <w:r>
        <w:rPr>
          <w:i/>
        </w:rPr>
        <w:t>z</w:t>
      </w:r>
      <w:r>
        <w:t xml:space="preserve"> = −2.33), opposite the predicted positive direction; accordingly, the prespecified one-tailed </w:t>
      </w:r>
      <w:r>
        <w:rPr>
          <w:i/>
        </w:rPr>
        <w:t>p</w:t>
      </w:r>
      <w:r>
        <w:t xml:space="preserve"> was .990 (two-tailed </w:t>
      </w:r>
      <w:r>
        <w:rPr>
          <w:i/>
        </w:rPr>
        <w:t>p</w:t>
      </w:r>
      <w:r>
        <w:t xml:space="preserve"> = .020). Posterior connectivity was not significantly associated with either raw or log-transformed NA (one-tailed </w:t>
      </w:r>
      <w:r>
        <w:rPr>
          <w:i/>
        </w:rPr>
        <w:t>p</w:t>
      </w:r>
      <w:r>
        <w:t>s ≥ .132).</w:t>
      </w:r>
    </w:p>
    <w:p w14:paraId="315D3369" w14:textId="52C164A9" w:rsidR="00AD4E2B" w:rsidRDefault="00CC42EF">
      <w:r>
        <w:rPr>
          <w:noProof/>
        </w:rPr>
        <w:drawing>
          <wp:anchor distT="0" distB="0" distL="114300" distR="114300" simplePos="0" relativeHeight="251658240" behindDoc="0" locked="0" layoutInCell="1" allowOverlap="1" wp14:anchorId="511AD411" wp14:editId="66FC6993">
            <wp:simplePos x="0" y="0"/>
            <wp:positionH relativeFrom="column">
              <wp:posOffset>78105</wp:posOffset>
            </wp:positionH>
            <wp:positionV relativeFrom="paragraph">
              <wp:posOffset>113030</wp:posOffset>
            </wp:positionV>
            <wp:extent cx="5943600" cy="2539365"/>
            <wp:effectExtent l="0" t="0" r="0" b="635"/>
            <wp:wrapSquare wrapText="bothSides"/>
            <wp:docPr id="626061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61006" name="Picture 6260610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53936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0288" behindDoc="0" locked="0" layoutInCell="1" allowOverlap="1" wp14:anchorId="6EE21768" wp14:editId="2A5E1122">
                <wp:simplePos x="0" y="0"/>
                <wp:positionH relativeFrom="column">
                  <wp:posOffset>78581</wp:posOffset>
                </wp:positionH>
                <wp:positionV relativeFrom="paragraph">
                  <wp:posOffset>2624137</wp:posOffset>
                </wp:positionV>
                <wp:extent cx="5943600" cy="635"/>
                <wp:effectExtent l="0" t="0" r="0" b="635"/>
                <wp:wrapSquare wrapText="bothSides"/>
                <wp:docPr id="152199513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5C7DA50" w14:textId="1467FC85" w:rsidR="002D1C91" w:rsidRPr="002729D0" w:rsidRDefault="002D1C91" w:rsidP="002D1C91">
                            <w:pPr>
                              <w:pStyle w:val="Caption"/>
                              <w:spacing w:line="480" w:lineRule="auto"/>
                            </w:pPr>
                            <w:r>
                              <w:rPr>
                                <w:b/>
                                <w:bCs/>
                              </w:rPr>
                              <w:t>Figure 5. Left-amygdala–anterior vmPFC connectivity and daily affect.</w:t>
                            </w:r>
                            <w:r>
                              <w:t xml:space="preserve"> Mixed-effects partial residuals show adjusted associations for negative-minus-neutral connectivity with (A) positive affect and (B) raw negative affect in the primary diary-plus-fMRI sample (N = 81). Lines show fitted fixed-effect associations.</w:t>
                            </w:r>
                          </w:p>
                          <w:p w14:paraId="75615329" w14:textId="3A5C6628" w:rsidR="002D1C91" w:rsidRPr="0061307B" w:rsidRDefault="002D1C91" w:rsidP="002D1C91">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E21768" id="_x0000_s1027" type="#_x0000_t202" style="position:absolute;margin-left:6.2pt;margin-top:206.6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" stroked="f">
                <v:textbox style="mso-fit-shape-to-text:t" inset="0,0,0,0">
                  <w:txbxContent>
                    <w:p w14:paraId="05C7DA50" w14:textId="1467FC85" w:rsidR="002D1C91" w:rsidRPr="002729D0" w:rsidRDefault="002D1C91" w:rsidP="002D1C91">
                      <w:pPr>
                        <w:pStyle w:val="Caption"/>
                        <w:spacing w:line="480" w:lineRule="auto"/>
                      </w:pPr>
                      <w:r>
                        <w:rPr>
                          <w:b/>
                          <w:bCs/>
                        </w:rPr>
                        <w:t>Figure 5. Left-amygdala–anterior vmPFC connectivity and daily affect.</w:t>
                      </w:r>
                      <w:r>
                        <w:t xml:space="preserve"> Mixed-effects partial residuals show adjusted associations for negative-minus-neutral connectivity with (A) positive affect and (B) raw negative affect in the primary diary-plus-fMRI sample (N = 81). Lines show fitted fixed-effect associations.</w:t>
                      </w:r>
                    </w:p>
                    <w:p w14:paraId="75615329" w14:textId="3A5C6628" w:rsidR="002D1C91" w:rsidRPr="0061307B" w:rsidRDefault="002D1C91" w:rsidP="002D1C91">
                      <w:pPr>
                        <w:pStyle w:val="Caption"/>
                      </w:pPr>
                    </w:p>
                  </w:txbxContent>
                </v:textbox>
                <w10:wrap type="square"/>
              </v:shape>
            </w:pict>
          </mc:Fallback>
        </mc:AlternateContent>
      </w:r>
      <w:r>
        <w:t xml:space="preserve">In PANAS sensitivity analyses (N = 127), both anterior and posterior left-amygdala–vmPFC connectivity were associated with lower PANAS negative affect in the primary models (raw: βs = −.251 and −.249, one-tailed </w:t>
      </w:r>
      <w:r>
        <w:rPr>
          <w:i/>
        </w:rPr>
        <w:t>p</w:t>
      </w:r>
      <w:r>
        <w:t xml:space="preserve">s = .011; log transformed: βs = −.106 and −.099, </w:t>
      </w:r>
      <w:r>
        <w:rPr>
          <w:i/>
        </w:rPr>
        <w:t>p</w:t>
      </w:r>
      <w:r>
        <w:t xml:space="preserve">s = .014 and .020). Neither connection predicted PANAS positive affect (one-tailed </w:t>
      </w:r>
      <w:r>
        <w:rPr>
          <w:i/>
        </w:rPr>
        <w:t>p</w:t>
      </w:r>
      <w:r>
        <w:t xml:space="preserve">s ≥ .329). Right-amygdala and positive-minus-neutral connectivity did not significantly predict diary affect (two-tailed </w:t>
      </w:r>
      <w:r>
        <w:rPr>
          <w:i/>
        </w:rPr>
        <w:t>p</w:t>
      </w:r>
      <w:r>
        <w:t xml:space="preserve">s ≥ .353). In an exploratory analysis of relative anterior versus posterior connectivity, the left anterior-minus-posterior index predicted higher PA in the mixed-effects model (β = .471, </w:t>
      </w:r>
      <w:r>
        <w:rPr>
          <w:i/>
        </w:rPr>
        <w:t>z</w:t>
      </w:r>
      <w:r>
        <w:t xml:space="preserve"> = 2.51, one-tailed </w:t>
      </w:r>
      <w:r>
        <w:rPr>
          <w:i/>
        </w:rPr>
        <w:t>p</w:t>
      </w:r>
      <w:r>
        <w:t xml:space="preserve"> = .006).</w:t>
      </w:r>
    </w:p>
    <w:p w14:paraId="5F8A1617" w14:textId="77777777" w:rsidR="00AD4E2B" w:rsidRDefault="00000000">
      <w:pPr>
        <w:keepNext/>
      </w:pPr>
      <w:r>
        <w:rPr>
          <w:b/>
        </w:rPr>
        <w:lastRenderedPageBreak/>
        <w:t>Functional Connectivity and Amygdala Persistence</w:t>
      </w:r>
    </w:p>
    <w:p w14:paraId="4F7E4D1E" w14:textId="77777777" w:rsidR="00AD4E2B" w:rsidRDefault="00000000">
      <w:r>
        <w:t xml:space="preserve">Neither left anterior nor left posterior amygdala–vmPFC connectivity for negative relative to neutral images predicted left-amygdala negative persistence in the primary mixed-effects models (anterior: β = −.018, </w:t>
      </w:r>
      <w:r>
        <w:rPr>
          <w:i/>
        </w:rPr>
        <w:t>z</w:t>
      </w:r>
      <w:r>
        <w:t xml:space="preserve"> = −.53, one-tailed </w:t>
      </w:r>
      <w:r>
        <w:rPr>
          <w:i/>
        </w:rPr>
        <w:t>p</w:t>
      </w:r>
      <w:r>
        <w:t xml:space="preserve"> = .299; posterior: β = .011, </w:t>
      </w:r>
      <w:r>
        <w:rPr>
          <w:i/>
        </w:rPr>
        <w:t>z</w:t>
      </w:r>
      <w:r>
        <w:t xml:space="preserve"> = .32, </w:t>
      </w:r>
      <w:r>
        <w:rPr>
          <w:i/>
        </w:rPr>
        <w:t>p</w:t>
      </w:r>
      <w:r>
        <w:t xml:space="preserve"> = .626; N = 127). With both </w:t>
      </w:r>
      <w:r>
        <w:rPr>
          <w:i/>
        </w:rPr>
        <w:t>p</w:t>
      </w:r>
      <w:r>
        <w:t>s ≥ .299, these findings provided no evidence that individual differences in the connectivity contrast were associated with amygdala persistence.</w:t>
      </w:r>
    </w:p>
    <w:p w14:paraId="3B614CCB" w14:textId="77777777" w:rsidR="00AD4E2B" w:rsidRDefault="00000000">
      <w:pPr>
        <w:keepNext/>
      </w:pPr>
      <w:r>
        <w:rPr>
          <w:b/>
        </w:rPr>
        <w:t>Assessment of Head Motion</w:t>
      </w:r>
    </w:p>
    <w:p w14:paraId="1ECBD9DF" w14:textId="77777777" w:rsidR="00AD4E2B" w:rsidRDefault="00000000">
      <w:r>
        <w:t xml:space="preserve">Neither mean FD across runs nor mean FD during negative-condition trials was associated with left-amygdala persistence or left-amygdala–vmPFC connectivity in mixed-effects models (all two-tailed </w:t>
      </w:r>
      <w:r>
        <w:rPr>
          <w:i/>
        </w:rPr>
        <w:t>p</w:t>
      </w:r>
      <w:r>
        <w:t>s ≥ .129). In motion-adjusted follow-ups, all significant primary mixed-effects findings remained significant after controlling separately for each motion measure: persistence with raw NA (</w:t>
      </w:r>
      <w:r>
        <w:rPr>
          <w:i/>
        </w:rPr>
        <w:t>p</w:t>
      </w:r>
      <w:r>
        <w:t>s = .038 and .026), age with persistence (</w:t>
      </w:r>
      <w:r>
        <w:rPr>
          <w:i/>
        </w:rPr>
        <w:t>p</w:t>
      </w:r>
      <w:r>
        <w:t>s = .019 and .019), and anterior connectivity with raw NA (</w:t>
      </w:r>
      <w:r>
        <w:rPr>
          <w:i/>
        </w:rPr>
        <w:t>p</w:t>
      </w:r>
      <w:r>
        <w:t>s = .048 and .040) and log-transformed NA (</w:t>
      </w:r>
      <w:r>
        <w:rPr>
          <w:i/>
        </w:rPr>
        <w:t>p</w:t>
      </w:r>
      <w:r>
        <w:t>s = .018 and .015). These results reduce concern that those tested associations were attributable to head motion.</w:t>
      </w:r>
    </w:p>
    <w:p w14:paraId="0D71F67D" w14:textId="77777777" w:rsidR="00AD4E2B" w:rsidRDefault="00000000">
      <w:pPr>
        <w:keepNext/>
      </w:pPr>
      <w:r>
        <w:rPr>
          <w:b/>
        </w:rPr>
        <w:t>Emotion Regulation and Affect</w:t>
      </w:r>
    </w:p>
    <w:p w14:paraId="6809CEE8" w14:textId="77777777" w:rsidR="00AD4E2B" w:rsidRDefault="00000000">
      <w:r>
        <w:t>Reappraisal and suppression were not significantly associated (</w:t>
      </w:r>
      <w:r>
        <w:rPr>
          <w:i/>
        </w:rPr>
        <w:t>p</w:t>
      </w:r>
      <w:r>
        <w:t xml:space="preserve"> = .638). Neither strategy significantly predicted diary PA, raw NA, or log-transformed NA in the primary adjusted models (all </w:t>
      </w:r>
      <w:r>
        <w:rPr>
          <w:i/>
        </w:rPr>
        <w:t>p</w:t>
      </w:r>
      <w:r>
        <w:t xml:space="preserve">s ≥ .065). In contrast, reappraisal predicted higher PANAS positive affect (β = .178, </w:t>
      </w:r>
      <w:r>
        <w:rPr>
          <w:i/>
        </w:rPr>
        <w:t>z</w:t>
      </w:r>
      <w:r>
        <w:t xml:space="preserve"> = 4.16, </w:t>
      </w:r>
      <w:r>
        <w:rPr>
          <w:i/>
        </w:rPr>
        <w:t>p</w:t>
      </w:r>
      <w:r>
        <w:t xml:space="preserve"> &lt; .001), whereas suppression predicted lower PANAS positive affect (β = −.102, </w:t>
      </w:r>
      <w:r>
        <w:rPr>
          <w:i/>
        </w:rPr>
        <w:t>z</w:t>
      </w:r>
      <w:r>
        <w:t xml:space="preserve"> = −2.63, </w:t>
      </w:r>
      <w:r>
        <w:rPr>
          <w:i/>
        </w:rPr>
        <w:t>p</w:t>
      </w:r>
      <w:r>
        <w:t xml:space="preserve"> = .009) and higher PANAS negative affect (raw: β = .059, </w:t>
      </w:r>
      <w:r>
        <w:rPr>
          <w:i/>
        </w:rPr>
        <w:t>z</w:t>
      </w:r>
      <w:r>
        <w:t xml:space="preserve"> = 2.51, </w:t>
      </w:r>
      <w:r>
        <w:rPr>
          <w:i/>
        </w:rPr>
        <w:t>p</w:t>
      </w:r>
      <w:r>
        <w:t xml:space="preserve"> = .012; log transformed: β = .027, </w:t>
      </w:r>
      <w:r>
        <w:rPr>
          <w:i/>
        </w:rPr>
        <w:t>z</w:t>
      </w:r>
      <w:r>
        <w:t xml:space="preserve"> = 2.48, </w:t>
      </w:r>
      <w:r>
        <w:rPr>
          <w:i/>
        </w:rPr>
        <w:t>p</w:t>
      </w:r>
      <w:r>
        <w:t xml:space="preserve"> = .013). Age was not significantly associated with either strategy (both </w:t>
      </w:r>
      <w:r>
        <w:rPr>
          <w:i/>
        </w:rPr>
        <w:t>p</w:t>
      </w:r>
      <w:r>
        <w:t>s ≥ .204).</w:t>
      </w:r>
    </w:p>
    <w:p w14:paraId="5B538EA5" w14:textId="77777777" w:rsidR="00AD4E2B" w:rsidRDefault="00000000">
      <w:pPr>
        <w:keepNext/>
      </w:pPr>
      <w:r>
        <w:rPr>
          <w:b/>
        </w:rPr>
        <w:t>Exploratory Moderation by Emotion Regulation</w:t>
      </w:r>
    </w:p>
    <w:p w14:paraId="2F942D27" w14:textId="77777777" w:rsidR="00AD4E2B" w:rsidRDefault="00000000">
      <w:r>
        <w:t xml:space="preserve">All moderation analyses were exploratory and used nominal two-tailed tests. In the primary mixed-effects models (N = 80), reappraisal moderated the association between left-amygdala negative persistence and PA (βinteraction = 1.000, SE = .496, </w:t>
      </w:r>
      <w:r>
        <w:rPr>
          <w:i/>
        </w:rPr>
        <w:t>p</w:t>
      </w:r>
      <w:r>
        <w:t xml:space="preserve"> = .044), and suppression moderated the same persistence–PA association (βinteraction = .586, SE = .151, </w:t>
      </w:r>
      <w:r>
        <w:rPr>
          <w:i/>
        </w:rPr>
        <w:t>p</w:t>
      </w:r>
      <w:r>
        <w:t xml:space="preserve"> &lt; .001). No persistence interaction significantly predicted either raw or log-transformed NA (all </w:t>
      </w:r>
      <w:r>
        <w:rPr>
          <w:i/>
        </w:rPr>
        <w:t>p</w:t>
      </w:r>
      <w:r>
        <w:t>s ≥ .120).</w:t>
      </w:r>
    </w:p>
    <w:p w14:paraId="62950982" w14:textId="77777777" w:rsidR="00AD4E2B" w:rsidRDefault="00000000">
      <w:r>
        <w:t xml:space="preserve">For connectivity, suppression moderated the association between left-amygdala–posterior vmPFC connectivity and raw diary NA in the primary mixed-effects model (βinteraction = .097, SE = .049, </w:t>
      </w:r>
      <w:r>
        <w:rPr>
          <w:i/>
        </w:rPr>
        <w:t>p</w:t>
      </w:r>
      <w:r>
        <w:t xml:space="preserve"> = .047). No other diary FC interaction was significant (all </w:t>
      </w:r>
      <w:r>
        <w:rPr>
          <w:i/>
        </w:rPr>
        <w:t>p</w:t>
      </w:r>
      <w:r>
        <w:t xml:space="preserve">s ≥ .151). In the PANAS sensitivity analysis, suppression moderated the association between posterior </w:t>
      </w:r>
      <w:r>
        <w:lastRenderedPageBreak/>
        <w:t xml:space="preserve">connectivity and negative affect in the mixed-effects models (raw: βinteraction = −.246, </w:t>
      </w:r>
      <w:r>
        <w:rPr>
          <w:i/>
        </w:rPr>
        <w:t>p</w:t>
      </w:r>
      <w:r>
        <w:t xml:space="preserve"> = .014; log transformed: βinteraction = −.098, </w:t>
      </w:r>
      <w:r>
        <w:rPr>
          <w:i/>
        </w:rPr>
        <w:t>p</w:t>
      </w:r>
      <w:r>
        <w:t xml:space="preserve"> = .026). Given the number of exploratory tests, these moderation results require replication.</w:t>
      </w:r>
    </w:p>
    <w:p w14:paraId="0A9A9FFD" w14:textId="77777777" w:rsidR="00AD4E2B" w:rsidRDefault="00000000">
      <w:pPr>
        <w:keepNext/>
      </w:pPr>
      <w:r>
        <w:rPr>
          <w:b/>
        </w:rPr>
        <w:t>Replication in MIDUS Refresher 1</w:t>
      </w:r>
    </w:p>
    <w:p w14:paraId="68F865A1" w14:textId="77777777" w:rsidR="00AD4E2B" w:rsidRDefault="00000000">
      <w:r>
        <w:t xml:space="preserve">None of the four direct MR1 tests reached the prespecified significance threshold (all one-tailed </w:t>
      </w:r>
      <w:r>
        <w:rPr>
          <w:i/>
        </w:rPr>
        <w:t>p</w:t>
      </w:r>
      <w:r>
        <w:t xml:space="preserve">s ≥ .102). In the conservative diary-plus-fMRI sample (N = 48), left-amygdala negative persistence was negatively associated with PA (β = −.232, SE = .582, </w:t>
      </w:r>
      <w:r>
        <w:rPr>
          <w:i/>
        </w:rPr>
        <w:t>t</w:t>
      </w:r>
      <w:r>
        <w:t xml:space="preserve">(41) = −.40, one-tailed </w:t>
      </w:r>
      <w:r>
        <w:rPr>
          <w:i/>
        </w:rPr>
        <w:t>p</w:t>
      </w:r>
      <w:r>
        <w:t xml:space="preserve"> = .346) and positively associated with raw NA (β = .282, SE = .218, </w:t>
      </w:r>
      <w:r>
        <w:rPr>
          <w:i/>
        </w:rPr>
        <w:t>t</w:t>
      </w:r>
      <w:r>
        <w:t xml:space="preserve">(41) = 1.29, one-tailed </w:t>
      </w:r>
      <w:r>
        <w:rPr>
          <w:i/>
        </w:rPr>
        <w:t>p</w:t>
      </w:r>
      <w:r>
        <w:t xml:space="preserve"> = .102), matching the predicted directions but not reaching significance. The log-NA estimate was also positive and nonsignificant (β = 1.352, </w:t>
      </w:r>
      <w:r>
        <w:rPr>
          <w:i/>
        </w:rPr>
        <w:t>t</w:t>
      </w:r>
      <w:r>
        <w:t xml:space="preserve">(41) = 1.06, </w:t>
      </w:r>
      <w:r>
        <w:rPr>
          <w:i/>
        </w:rPr>
        <w:t>p</w:t>
      </w:r>
      <w:r>
        <w:t xml:space="preserve"> = .148). Age was positively rather than negatively associated with left-amygdala persistence in the conservative fMRI sample (N = 115; β = .00134, SE = .00147, </w:t>
      </w:r>
      <w:r>
        <w:rPr>
          <w:i/>
        </w:rPr>
        <w:t>t</w:t>
      </w:r>
      <w:r>
        <w:t xml:space="preserve">(108) = .91, one-tailed </w:t>
      </w:r>
      <w:r>
        <w:rPr>
          <w:i/>
        </w:rPr>
        <w:t>p</w:t>
      </w:r>
      <w:r>
        <w:t xml:space="preserve"> = .818). Left-amygdala–anterior vmPFC connectivity was negatively but nonsignificantly associated with raw NA (N = 48; β = −.078, SE = .100, </w:t>
      </w:r>
      <w:r>
        <w:rPr>
          <w:i/>
        </w:rPr>
        <w:t>t</w:t>
      </w:r>
      <w:r>
        <w:t xml:space="preserve">(41) = −.78, one-tailed </w:t>
      </w:r>
      <w:r>
        <w:rPr>
          <w:i/>
        </w:rPr>
        <w:t>p</w:t>
      </w:r>
      <w:r>
        <w:t xml:space="preserve"> = .220). Thus, the persistence–PA, persistence–NA, and anterior-connectivity–NA results were directionally consistent with M3, whereas the age–persistence result was not supported.</w:t>
      </w:r>
    </w:p>
    <w:p w14:paraId="1C5FBE96" w14:textId="77777777" w:rsidR="00AD4E2B" w:rsidRDefault="00000000">
      <w:r>
        <w:t xml:space="preserve">Two predefined MR1 sensitivity regressions were nominally significant (two-tailed </w:t>
      </w:r>
      <w:r>
        <w:rPr>
          <w:i/>
        </w:rPr>
        <w:t>p</w:t>
      </w:r>
      <w:r>
        <w:t xml:space="preserve">s = .041–.046). Right-amygdala negative persistence predicted lower PA (β = −1.302, SE = .633, </w:t>
      </w:r>
      <w:r>
        <w:rPr>
          <w:i/>
        </w:rPr>
        <w:t>t</w:t>
      </w:r>
      <w:r>
        <w:t xml:space="preserve">(41) = −2.06, two-tailed </w:t>
      </w:r>
      <w:r>
        <w:rPr>
          <w:i/>
        </w:rPr>
        <w:t>p</w:t>
      </w:r>
      <w:r>
        <w:t xml:space="preserve"> = .046), and right-amygdala–anterior vmPFC connectivity predicted higher NA (β = .240, SE = .114, </w:t>
      </w:r>
      <w:r>
        <w:rPr>
          <w:i/>
        </w:rPr>
        <w:t>t</w:t>
      </w:r>
      <w:r>
        <w:t xml:space="preserve">(41) = 2.11, two-tailed </w:t>
      </w:r>
      <w:r>
        <w:rPr>
          <w:i/>
        </w:rPr>
        <w:t>p</w:t>
      </w:r>
      <w:r>
        <w:t xml:space="preserve"> = .041). The latter effect was opposite the direction specified for the left-anterior direct target. Neither association was significant as a zero-order correlation (</w:t>
      </w:r>
      <w:r>
        <w:rPr>
          <w:i/>
        </w:rPr>
        <w:t>p</w:t>
      </w:r>
      <w:r>
        <w:t xml:space="preserve">s = .075 and .154), and no other predefined MR1 sensitivity regression was significant (all </w:t>
      </w:r>
      <w:r>
        <w:rPr>
          <w:i/>
        </w:rPr>
        <w:t>p</w:t>
      </w:r>
      <w:r>
        <w:t>s ≥ .070). Because these were nominal findings within broader sensitivity families, they did not alter the direct-replication classification.</w:t>
      </w:r>
    </w:p>
    <w:p w14:paraId="201F45F4" w14:textId="77777777" w:rsidR="00F11966" w:rsidRDefault="00F11966" w:rsidP="00B7466C">
      <w:pPr>
        <w:spacing w:line="480" w:lineRule="auto"/>
        <w:rPr>
          <w:b/>
          <w:bCs/>
        </w:rPr>
      </w:pPr>
      <w:r>
        <w:rPr>
          <w:b/>
          <w:bCs/>
        </w:rPr>
        <w:t>Discussion</w:t>
      </w:r>
    </w:p>
    <w:p w14:paraId="6ACB63BA" w14:textId="77777777" w:rsidR="001357B0" w:rsidRDefault="001357B0" w:rsidP="00B7466C">
      <w:pPr>
        <w:spacing w:line="480" w:lineRule="auto"/>
      </w:pPr>
      <w:r>
        <w:t xml:space="preserve">The present study tested a set of pre-registered hypotheses linking amygdala persistence, amygdala–vmPFC task-based connectivity, aging, and daily-life affect in MIDUS 3, with an analysis-plan-constrained evaluation in MIDUS Refresher 1. Older age was associated with higher positive and lower negative affect in the full diary sample (all ps &lt; .001), although these associations were attenuated in smaller neuroscience samples. We partially </w:t>
      </w:r>
      <w:r>
        <w:lastRenderedPageBreak/>
        <w:t>replicated the original persistence–affect finding [ref]: greater left-amygdala negative persistence was associated with higher raw negative affect (p = .020), whereas its associations with positive affect and log-transformed negative affect were in the predicted directions but did not reach significance (ps ≥ .063). Older age was also associated with lower left-amygdala negative persistence (p = .018) in the conservative fMRI sample. However, the age–persistence association was attenuated in the joint diary-plus-fMRI sample (p = .400), and all 95% bootstrap confidence intervals for the indirect age–affect associations through persistence included zero. Greater left-amygdala–anterior vmPFC connectivity during negative relative to neutral image viewing was associated with lower raw and log-transformed negative affect (ps = .014–.039), but neither anterior nor posterior connectivity predicted persistence (ps ≥ .299), suggesting that persistence and connectivity were independently associated with affect. In the smaller independent MIDUS Refresher 1 sample, the corresponding affect estimates were directionally similar but did not reach significance (ps ≥ .102), whereas the age–persistence estimate reversed direction. Together, these findings provide partial support for the pre-registered persistence and connectivity hypotheses while underscoring the need for replication in larger independent samples.</w:t>
      </w:r>
    </w:p>
    <w:p w14:paraId="7A31B9C4" w14:textId="77777777" w:rsidR="00AD4E2B" w:rsidRDefault="00000000">
      <w:r>
        <w:t xml:space="preserve">The association between older age and lower left-amygdala persistence extends the literature on age-related differences in emotional experience [ref] by identifying a feature of amygdala response patterns, rather than mean regional activation, that varies with age. One possibility is that less stable amygdala representations of negative information contribute to the tendency for older adults to experience less negative affect [ref]. The present data do not establish that account, however. The age–persistence association was observed in the larger fMRI sample but was weaker in the smaller joint sample, the statistical indirect effects included zero, and diary affect was measured before </w:t>
      </w:r>
      <w:r>
        <w:lastRenderedPageBreak/>
        <w:t>persistence. Moreover, the association reversed direction in the younger MIDUS Refresher 1 cohort. Differences in age range, cohort composition, or precision may therefore contribute to the cross-cohort pattern. Lifespan and longitudinal studies are needed to establish whether amygdala persistence changes within individuals with age and whether such change prospectively relates to affect [ref].</w:t>
      </w:r>
    </w:p>
    <w:p w14:paraId="17BDB85B" w14:textId="3C19F3CB" w:rsidR="00F61909" w:rsidRDefault="00432D16" w:rsidP="00B7466C">
      <w:pPr>
        <w:spacing w:line="480" w:lineRule="auto"/>
      </w:pPr>
      <w:r>
        <w:t xml:space="preserve">These findings have implications for our understanding of the neural circuit-level mechanisms of affect in older adults. First, amygdala persistence seems to be a robust and reliable mechanism for improved affect in older adults. This is important given the lack of reliable brain-behavior relationships between amygdala activation </w:t>
      </w:r>
      <w:r w:rsidR="006702F1">
        <w:fldChar w:fldCharType="begin"/>
      </w:r>
      <w:r w:rsidR="000C6F98">
        <w:instrText xml:space="preserve"> ADDIN EN.CITE &lt;EndNote&gt;&lt;Cite&gt;&lt;Author&gt;Sicorello&lt;/Author&gt;&lt;Year&gt;2025&lt;/Year&gt;&lt;IDText&gt;The elusive neural signature of emotion regulation capabilities: evidence from a large-scale consortium&lt;/IDText&gt;&lt;DisplayText&gt;(Sicorello et al., 2025)&lt;/DisplayText&gt;&lt;record&gt;&lt;isbn&gt;2692-8205&lt;/isbn&gt;&lt;titles&gt;&lt;title&gt;The elusive neural signature of emotion regulation capabilities: evidence from a large-scale consortium&lt;/title&gt;&lt;secondary-title&gt;bioRxiv&lt;/secondary-title&gt;&lt;/titles&gt;&lt;pages&gt;2025.08. 18.670843&lt;/pages&gt;&lt;contributors&gt;&lt;authors&gt;&lt;author&gt;Sicorello, Maurizio&lt;/author&gt;&lt;author&gt;Zaehringer, Jenny&lt;/author&gt;&lt;author&gt;Paschke, Lena&lt;/author&gt;&lt;author&gt;Steimke, Rosa&lt;/author&gt;&lt;author&gt;Stelzel, Christine&lt;/author&gt;&lt;author&gt;Gianaros, Peter J&lt;/author&gt;&lt;author&gt;LaBar, Kevin S&lt;/author&gt;&lt;author&gt;Graner, John L&lt;/author&gt;&lt;author&gt;Kim, Sang H&lt;/author&gt;&lt;author&gt;Wessa, Michèle&lt;/author&gt;&lt;/authors&gt;&lt;/contributors&gt;&lt;added-date format="utc"&gt;1775684686&lt;/added-date&gt;&lt;ref-type name="Journal Article"&gt;17&lt;/ref-type&gt;&lt;dates&gt;&lt;year&gt;2025&lt;/year&gt;&lt;/dates&gt;&lt;rec-number&gt;2054&lt;/rec-number&gt;&lt;last-updated-date format="utc"&gt;1775684686&lt;/last-updated-date&gt;&lt;/record&gt;&lt;/Cite&gt;&lt;/EndNote&gt;</w:instrText>
      </w:r>
      <w:r w:rsidR="006702F1">
        <w:fldChar w:fldCharType="separate"/>
      </w:r>
      <w:r w:rsidR="000C6F98">
        <w:rPr>
          <w:noProof/>
        </w:rPr>
        <w:t>(Sicorello et al., 2025)</w:t>
      </w:r>
      <w:r w:rsidR="006702F1">
        <w:fldChar w:fldCharType="end"/>
      </w:r>
      <w:r w:rsidR="00DA2043">
        <w:t xml:space="preserve"> </w:t>
      </w:r>
      <w:r>
        <w:t xml:space="preserve">and affect in the literature and further suggests that analyses looking at patterns of activation in amygdala provide information missed by traditional activation analyses. Contrary to our hypotheses, correlated vmPFC-amygdala activation patterns to negative images (over and above neutral) did not predict amygdala persistence but did relate independently to affect. This provides preliminary evidence that this circuit, implicated in model-free emotion regulation, might be important for aging affect but via an independent mechanism to amygdala persistence. </w:t>
      </w:r>
    </w:p>
    <w:p w14:paraId="6456302E" w14:textId="1B023103" w:rsidR="00CD27ED" w:rsidRDefault="00432D16" w:rsidP="00B7466C">
      <w:pPr>
        <w:spacing w:line="480" w:lineRule="auto"/>
      </w:pPr>
      <w:r>
        <w:t xml:space="preserve">This may have implications for older adults at-risk for </w:t>
      </w:r>
      <w:r w:rsidR="00B30CFD">
        <w:t>Alzheimer’s Disease (AD)</w:t>
      </w:r>
      <w:r>
        <w:t>: our recent perspective suggests that vmPFC-mediated model-free emotion regulation may be vulnerable to early AD pathology</w:t>
      </w:r>
      <w:r w:rsidR="00052CF6">
        <w:t xml:space="preserve"> </w:t>
      </w:r>
      <w:r w:rsidR="00052CF6">
        <w:fldChar w:fldCharType="begin"/>
      </w:r>
      <w:r w:rsidR="000C6F98">
        <w:instrText xml:space="preserve"> ADDIN EN.CITE &lt;EndNote&gt;&lt;Cite&gt;&lt;Author&gt;Turnbull&lt;/Author&gt;&lt;Year&gt;2026&lt;/Year&gt;&lt;IDText&gt;The emergence of neuropsychiatric symptoms in preclinical Alzheimer’s disease: An emotion regulation perspective&lt;/IDText&gt;&lt;DisplayText&gt;(Turnbull et al., 2026)&lt;/DisplayText&gt;&lt;record&gt;&lt;isbn&gt;0896-6273&lt;/isbn&gt;&lt;titles&gt;&lt;title&gt;The emergence of neuropsychiatric symptoms in preclinical Alzheimer’s disease: An emotion regulation perspective&lt;/title&gt;&lt;secondary-title&gt;Neuron&lt;/secondary-title&gt;&lt;/titles&gt;&lt;contributors&gt;&lt;authors&gt;&lt;author&gt;Turnbull, Adam&lt;/author&gt;&lt;author&gt;Gross, James J&lt;/author&gt;&lt;author&gt;Vankee-Lin, Feng&lt;/author&gt;&lt;/authors&gt;&lt;/contributors&gt;&lt;added-date format="utc"&gt;1775683350&lt;/added-date&gt;&lt;ref-type name="Journal Article"&gt;17&lt;/ref-type&gt;&lt;dates&gt;&lt;year&gt;2026&lt;/year&gt;&lt;/dates&gt;&lt;rec-number&gt;2046&lt;/rec-number&gt;&lt;last-updated-date format="utc"&gt;1775683350&lt;/last-updated-date&gt;&lt;/record&gt;&lt;/Cite&gt;&lt;/EndNote&gt;</w:instrText>
      </w:r>
      <w:r w:rsidR="00052CF6">
        <w:fldChar w:fldCharType="separate"/>
      </w:r>
      <w:r w:rsidR="000C6F98">
        <w:rPr>
          <w:noProof/>
        </w:rPr>
        <w:t>(Turnbull et al., 2026)</w:t>
      </w:r>
      <w:r w:rsidR="00052CF6">
        <w:fldChar w:fldCharType="end"/>
      </w:r>
      <w:r w:rsidR="000C7D2C">
        <w:t xml:space="preserve"> and that model-based strategies may be able to compensate for these changes</w:t>
      </w:r>
      <w:r>
        <w:t>.</w:t>
      </w:r>
      <w:r w:rsidR="000C7D2C">
        <w:t xml:space="preserve"> These hypotheses are supported by the present study that found relationships between model-free emotion regulation (vmPFC-amygdala task connectivity) and daily life affect, some of which were attenuated in individuals that were high in reappraisal use.</w:t>
      </w:r>
      <w:r>
        <w:t xml:space="preserve"> Future studies should test these relationships in samples including AD biomarkers to assess whether there is any impact of amyloid or </w:t>
      </w:r>
      <w:r>
        <w:lastRenderedPageBreak/>
        <w:t xml:space="preserve">ptau in the vmPFC. Additionally, although our exploratory analysis and primary findings provided some evidence that the anterior vmPFC (hypothesized to be more related to “safety” </w:t>
      </w:r>
      <w:r w:rsidR="00EB736B">
        <w:t>signaling</w:t>
      </w:r>
      <w:r>
        <w:t>) may be preferentially related to affect, this was not consistent across analyses and methods</w:t>
      </w:r>
      <w:r w:rsidR="00BE0C52">
        <w:t xml:space="preserve"> (posterior vmPFC connectivity was more strongly related to trait positive affect)</w:t>
      </w:r>
      <w:r>
        <w:t xml:space="preserve">, and there were relatively strong correlations between anterior and posterior vmPFC-amygdala </w:t>
      </w:r>
      <w:r w:rsidR="000A6E65">
        <w:t>connectivity</w:t>
      </w:r>
      <w:r>
        <w:t>. Overall, this suggests that the hypothesized differential roles for anterior and posterior vmPFC in safety and threat signaling</w:t>
      </w:r>
      <w:r w:rsidR="00EB736B">
        <w:t xml:space="preserve"> </w:t>
      </w:r>
      <w:r w:rsidR="00EB736B">
        <w:fldChar w:fldCharType="begin"/>
      </w:r>
      <w:r w:rsidR="000C6F98">
        <w:instrText xml:space="preserve"> ADDIN EN.CITE &lt;EndNote&gt;&lt;Cite&gt;&lt;Author&gt;Tashjian&lt;/Author&gt;&lt;Year&gt;2021&lt;/Year&gt;&lt;IDText&gt;A decision architecture for safety computations&lt;/IDText&gt;&lt;DisplayText&gt;(Tashjian et al., 2021)&lt;/DisplayText&gt;&lt;record&gt;&lt;isbn&gt;1364-6613&lt;/isbn&gt;&lt;titles&gt;&lt;title&gt;A decision architecture for safety computations&lt;/title&gt;&lt;secondary-title&gt;Trends in Cognitive Sciences&lt;/secondary-title&gt;&lt;/titles&gt;&lt;pages&gt;342-354&lt;/pages&gt;&lt;number&gt;5&lt;/number&gt;&lt;contributors&gt;&lt;authors&gt;&lt;author&gt;Tashjian, Sarah M&lt;/author&gt;&lt;author&gt;Zbozinek, Tomislav D&lt;/author&gt;&lt;author&gt;Mobbs, Dean&lt;/author&gt;&lt;/authors&gt;&lt;/contributors&gt;&lt;added-date format="utc"&gt;1755106802&lt;/added-date&gt;&lt;ref-type name="Journal Article"&gt;17&lt;/ref-type&gt;&lt;dates&gt;&lt;year&gt;2021&lt;/year&gt;&lt;/dates&gt;&lt;rec-number&gt;1937&lt;/rec-number&gt;&lt;last-updated-date format="utc"&gt;1755106802&lt;/last-updated-date&gt;&lt;volume&gt;25&lt;/volume&gt;&lt;/record&gt;&lt;/Cite&gt;&lt;/EndNote&gt;</w:instrText>
      </w:r>
      <w:r w:rsidR="00EB736B">
        <w:fldChar w:fldCharType="separate"/>
      </w:r>
      <w:r w:rsidR="000C6F98">
        <w:rPr>
          <w:noProof/>
        </w:rPr>
        <w:t>(Tashjian et al., 2021)</w:t>
      </w:r>
      <w:r w:rsidR="00EB736B">
        <w:fldChar w:fldCharType="end"/>
      </w:r>
      <w:r>
        <w:t xml:space="preserve">, respectively, warrants further investigation. </w:t>
      </w:r>
    </w:p>
    <w:p w14:paraId="59834C98" w14:textId="477A77AD" w:rsidR="008E4284" w:rsidRDefault="00131E54" w:rsidP="00B7466C">
      <w:pPr>
        <w:spacing w:line="480" w:lineRule="auto"/>
      </w:pPr>
      <w:r>
        <w:t xml:space="preserve">Our results also have important methodological considerations for affective science. Although trait affect and daily life affect showed reasonable associations with each other, they showed very different relationships to both neuroscience and behavioral measures. In particular, daily life affect </w:t>
      </w:r>
      <w:r w:rsidR="00C565D4">
        <w:t>was associated with amygdala persistence, while trait affect was not. These differences were also apparent for amygdala-vmPFC task connectivity</w:t>
      </w:r>
      <w:r w:rsidR="00BB7A09">
        <w:t>, but less so, with relationships being more consistent across measures. For emotion regulation, only trait affect measured via a questionnaire showed significant relationships</w:t>
      </w:r>
      <w:r w:rsidR="00AB6001">
        <w:t>, potentially highlighting the consistency between measurement approaches</w:t>
      </w:r>
      <w:r w:rsidR="000A7740">
        <w:t xml:space="preserve"> </w:t>
      </w:r>
      <w:r w:rsidR="0074787B">
        <w:fldChar w:fldCharType="begin"/>
      </w:r>
      <w:r w:rsidR="000C6F98">
        <w:instrText xml:space="preserve"> ADDIN EN.CITE &lt;EndNote&gt;&lt;Cite&gt;&lt;Author&gt;Podsakoff&lt;/Author&gt;&lt;Year&gt;2003&lt;/Year&gt;&lt;IDText&gt;Common method biases in behavioral research: a critical review of the literature and recommended remedies&lt;/IDText&gt;&lt;DisplayText&gt;(Podsakoff et al., 2003)&lt;/DisplayText&gt;&lt;record&gt;&lt;isbn&gt;1939-1854&lt;/isbn&gt;&lt;titles&gt;&lt;title&gt;Common method biases in behavioral research: a critical review of the literature and recommended remedies&lt;/title&gt;&lt;secondary-title&gt;Journal of applied psychology&lt;/secondary-title&gt;&lt;/titles&gt;&lt;pages&gt;879&lt;/pages&gt;&lt;number&gt;5&lt;/number&gt;&lt;contributors&gt;&lt;authors&gt;&lt;author&gt;Podsakoff, Philip M&lt;/author&gt;&lt;author&gt;MacKenzie, Scott B&lt;/author&gt;&lt;author&gt;Lee, Jeong-Yeon&lt;/author&gt;&lt;author&gt;Podsakoff, Nathan P&lt;/author&gt;&lt;/authors&gt;&lt;/contributors&gt;&lt;added-date format="utc"&gt;1775689777&lt;/added-date&gt;&lt;ref-type name="Journal Article"&gt;17&lt;/ref-type&gt;&lt;dates&gt;&lt;year&gt;2003&lt;/year&gt;&lt;/dates&gt;&lt;rec-number&gt;2060&lt;/rec-number&gt;&lt;last-updated-date format="utc"&gt;1775689777&lt;/last-updated-date&gt;&lt;volume&gt;88&lt;/volume&gt;&lt;/record&gt;&lt;/Cite&gt;&lt;/EndNote&gt;</w:instrText>
      </w:r>
      <w:r w:rsidR="0074787B">
        <w:fldChar w:fldCharType="separate"/>
      </w:r>
      <w:r w:rsidR="000C6F98">
        <w:rPr>
          <w:noProof/>
        </w:rPr>
        <w:t>(Podsakoff et al., 2003)</w:t>
      </w:r>
      <w:r w:rsidR="0074787B">
        <w:fldChar w:fldCharType="end"/>
      </w:r>
      <w:r w:rsidR="00AB6001">
        <w:t xml:space="preserve">. </w:t>
      </w:r>
      <w:r w:rsidR="00B73672">
        <w:t>Overall, these findings add to the literature that suggest that ecological and questionnaire measures of affect may be capturing distinct processe</w:t>
      </w:r>
      <w:r w:rsidR="003F43E9">
        <w:t>s</w:t>
      </w:r>
      <w:r w:rsidR="007A517F">
        <w:t xml:space="preserve"> </w:t>
      </w:r>
      <w:r w:rsidR="007A517F">
        <w:fldChar w:fldCharType="begin"/>
      </w:r>
      <w:r w:rsidR="000C6F98">
        <w:instrText xml:space="preserve"> ADDIN EN.CITE &lt;EndNote&gt;&lt;Cite&gt;&lt;Author&gt;Kahneman&lt;/Author&gt;&lt;Year&gt;2010&lt;/Year&gt;&lt;IDText&gt;High income improves evaluation of life but not emotional well-being&lt;/IDText&gt;&lt;DisplayText&gt;(Kahneman &amp;amp; Deaton, 2010)&lt;/DisplayText&gt;&lt;record&gt;&lt;isbn&gt;0027-8424&lt;/isbn&gt;&lt;titles&gt;&lt;title&gt;High income improves evaluation of life but not emotional well-being&lt;/title&gt;&lt;secondary-title&gt;Proceedings of the national academy of sciences&lt;/secondary-title&gt;&lt;/titles&gt;&lt;pages&gt;16489-16493&lt;/pages&gt;&lt;number&gt;38&lt;/number&gt;&lt;contributors&gt;&lt;authors&gt;&lt;author&gt;Kahneman, Daniel&lt;/author&gt;&lt;author&gt;Deaton, Angus&lt;/author&gt;&lt;/authors&gt;&lt;/contributors&gt;&lt;added-date format="utc"&gt;1775685085&lt;/added-date&gt;&lt;ref-type name="Journal Article"&gt;17&lt;/ref-type&gt;&lt;dates&gt;&lt;year&gt;2010&lt;/year&gt;&lt;/dates&gt;&lt;rec-number&gt;2056&lt;/rec-number&gt;&lt;last-updated-date format="utc"&gt;1775685085&lt;/last-updated-date&gt;&lt;volume&gt;107&lt;/volume&gt;&lt;/record&gt;&lt;/Cite&gt;&lt;/EndNote&gt;</w:instrText>
      </w:r>
      <w:r w:rsidR="007A517F">
        <w:fldChar w:fldCharType="separate"/>
      </w:r>
      <w:r w:rsidR="000C6F98">
        <w:rPr>
          <w:noProof/>
        </w:rPr>
        <w:t>(Kahneman &amp; Deaton, 2010)</w:t>
      </w:r>
      <w:r w:rsidR="007A517F">
        <w:fldChar w:fldCharType="end"/>
      </w:r>
      <w:r w:rsidR="003F43E9">
        <w:t xml:space="preserve">, with intensive sampling potentially providing greater sensitivity for identifying links to biological processes </w:t>
      </w:r>
      <w:r w:rsidR="00897757">
        <w:fldChar w:fldCharType="begin"/>
      </w:r>
      <w:r w:rsidR="000C6F98">
        <w:instrText xml:space="preserve"> ADDIN EN.CITE &lt;EndNote&gt;&lt;Cite&gt;&lt;Author&gt;Conner&lt;/Author&gt;&lt;Year&gt;2012&lt;/Year&gt;&lt;IDText&gt;Trends in ambulatory self-report: The role of momentary experience in psychosomatic medicine&lt;/IDText&gt;&lt;DisplayText&gt;(Conner &amp;amp; Barrett, 2012)&lt;/DisplayText&gt;&lt;record&gt;&lt;isbn&gt;2998-8748&lt;/isbn&gt;&lt;titles&gt;&lt;title&gt;Trends in ambulatory self-report: The role of momentary experience in psychosomatic medicine&lt;/title&gt;&lt;secondary-title&gt;Biopsychosocial Science and Medicine&lt;/secondary-title&gt;&lt;/titles&gt;&lt;pages&gt;327-337&lt;/pages&gt;&lt;number&gt;4&lt;/number&gt;&lt;contributors&gt;&lt;authors&gt;&lt;author&gt;Conner, Tamlin S&lt;/author&gt;&lt;author&gt;Barrett, Lisa Feldman&lt;/author&gt;&lt;/authors&gt;&lt;/contributors&gt;&lt;added-date format="utc"&gt;1775684947&lt;/added-date&gt;&lt;ref-type name="Journal Article"&gt;17&lt;/ref-type&gt;&lt;dates&gt;&lt;year&gt;2012&lt;/year&gt;&lt;/dates&gt;&lt;rec-number&gt;2055&lt;/rec-number&gt;&lt;last-updated-date format="utc"&gt;1775684947&lt;/last-updated-date&gt;&lt;volume&gt;74&lt;/volume&gt;&lt;/record&gt;&lt;/Cite&gt;&lt;/EndNote&gt;</w:instrText>
      </w:r>
      <w:r w:rsidR="00897757">
        <w:fldChar w:fldCharType="separate"/>
      </w:r>
      <w:r w:rsidR="000C6F98">
        <w:rPr>
          <w:noProof/>
        </w:rPr>
        <w:t>(Conner &amp; Barrett, 2012)</w:t>
      </w:r>
      <w:r w:rsidR="00897757">
        <w:fldChar w:fldCharType="end"/>
      </w:r>
      <w:r w:rsidR="00B73672">
        <w:t xml:space="preserve">. Additionally, findings were sometimes but not always consistent across negative and positive affect, which is also in line with the literature </w:t>
      </w:r>
      <w:r w:rsidR="00B73672">
        <w:lastRenderedPageBreak/>
        <w:t>showing some shared and some distinct mechanisms</w:t>
      </w:r>
      <w:r w:rsidR="00167323">
        <w:t xml:space="preserve"> </w:t>
      </w:r>
      <w:r w:rsidR="00167323">
        <w:fldChar w:fldCharType="begin"/>
      </w:r>
      <w:r w:rsidR="000C6F98">
        <w:instrText xml:space="preserve"> ADDIN EN.CITE &lt;EndNote&gt;&lt;Cite&gt;&lt;Author&gt;Zhang&lt;/Author&gt;&lt;Year&gt;2025&lt;/Year&gt;&lt;IDText&gt;The brain bases of emotion generation and emotion regulation&lt;/IDText&gt;&lt;DisplayText&gt;(Lindquist et al., 2012; Zhang et al., 2025)&lt;/DisplayText&gt;&lt;record&gt;&lt;isbn&gt;1364-6613&lt;/isbn&gt;&lt;titles&gt;&lt;title&gt;The brain bases of emotion generation and emotion regulation&lt;/title&gt;&lt;secondary-title&gt;Trends in Cognitive Sciences&lt;/secondary-title&gt;&lt;/titles&gt;&lt;contributors&gt;&lt;authors&gt;&lt;author&gt;Zhang, Jin-Xiao&lt;/author&gt;&lt;author&gt;Bo, Ke&lt;/author&gt;&lt;author&gt;Wager, Tor D&lt;/author&gt;&lt;author&gt;Gross, James J&lt;/author&gt;&lt;/authors&gt;&lt;/contributors&gt;&lt;added-date format="utc"&gt;1756239969&lt;/added-date&gt;&lt;ref-type name="Journal Article"&gt;17&lt;/ref-type&gt;&lt;dates&gt;&lt;year&gt;2025&lt;/year&gt;&lt;/dates&gt;&lt;rec-number&gt;1986&lt;/rec-number&gt;&lt;last-updated-date format="utc"&gt;1756239969&lt;/last-updated-date&gt;&lt;/record&gt;&lt;/Cite&gt;&lt;Cite&gt;&lt;Author&gt;Lindquist&lt;/Author&gt;&lt;Year&gt;2012&lt;/Year&gt;&lt;IDText&gt;The brain basis of emotion: A meta-analytic review&lt;/IDText&gt;&lt;record&gt;&lt;dates&gt;&lt;pub-dates&gt;&lt;date&gt;Jun&lt;/date&gt;&lt;/pub-dates&gt;&lt;year&gt;2012&lt;/year&gt;&lt;/dates&gt;&lt;urls&gt;&lt;related-urls&gt;&lt;url&gt;&amp;lt;Go to ISI&amp;gt;://WOS:000304355000001&lt;/url&gt;&lt;/related-urls&gt;&lt;/urls&gt;&lt;isbn&gt;0140-525X&lt;/isbn&gt;&lt;titles&gt;&lt;title&gt;The brain basis of emotion: A meta-analytic review&lt;/title&gt;&lt;secondary-title&gt;Behavioral and Brain Sciences&lt;/secondary-title&gt;&lt;short-title&gt;The brain basis of emotion: A meta-analytic review&lt;/short-title&gt;&lt;/titles&gt;&lt;pages&gt;121-143&lt;/pages&gt;&lt;number&gt;3&lt;/number&gt;&lt;contributors&gt;&lt;authors&gt;&lt;author&gt;Lindquist, Kristen A.&lt;/author&gt;&lt;author&gt;Wager, Tor D.&lt;/author&gt;&lt;author&gt;Kober, Hedy&lt;/author&gt;&lt;author&gt;Bliss-Moreau, Eliza&lt;/author&gt;&lt;author&gt;Barrett, Lisa Feldman&lt;/author&gt;&lt;/authors&gt;&lt;/contributors&gt;&lt;added-date format="utc"&gt;1683656471&lt;/added-date&gt;&lt;ref-type name="Journal Article"&gt;17&lt;/ref-type&gt;&lt;rec-number&gt;788&lt;/rec-number&gt;&lt;last-updated-date format="utc"&gt;1683656471&lt;/last-updated-date&gt;&lt;accession-num&gt;WOS:000304355000001&lt;/accession-num&gt;&lt;electronic-resource-num&gt;10.1017/s0140525x11000446&lt;/electronic-resource-num&gt;&lt;volume&gt;35&lt;/volume&gt;&lt;/record&gt;&lt;/Cite&gt;&lt;/EndNote&gt;</w:instrText>
      </w:r>
      <w:r w:rsidR="00167323">
        <w:fldChar w:fldCharType="separate"/>
      </w:r>
      <w:r w:rsidR="000C6F98">
        <w:rPr>
          <w:noProof/>
        </w:rPr>
        <w:t>(Lindquist et al., 2012; Zhang et al., 2025)</w:t>
      </w:r>
      <w:r w:rsidR="00167323">
        <w:fldChar w:fldCharType="end"/>
      </w:r>
      <w:r w:rsidR="00B73672">
        <w:t xml:space="preserve">. </w:t>
      </w:r>
    </w:p>
    <w:p w14:paraId="1D1E550A" w14:textId="647BDC6D" w:rsidR="008E0FC7" w:rsidRDefault="0047098E" w:rsidP="00B7466C">
      <w:pPr>
        <w:spacing w:line="480" w:lineRule="auto"/>
      </w:pPr>
      <w:r>
        <w:t>This study has several limitations. Firstly, there is some overlap in participants with the original paper. Although it is roughly 10 years later</w:t>
      </w:r>
      <w:r w:rsidR="00B33122">
        <w:t xml:space="preserve"> and</w:t>
      </w:r>
      <w:r>
        <w:t xml:space="preserve"> results partially replicated in the smaller subsample</w:t>
      </w:r>
      <w:r w:rsidR="00B33122">
        <w:t>, it is worth considering when evaluating the findings. Second, there were several deviations from pre-registration</w:t>
      </w:r>
      <w:r w:rsidR="00CA525B">
        <w:t xml:space="preserve"> (</w:t>
      </w:r>
      <w:r w:rsidR="00CA525B">
        <w:rPr>
          <w:b/>
          <w:bCs/>
        </w:rPr>
        <w:t>Table 1</w:t>
      </w:r>
      <w:r w:rsidR="00CA525B">
        <w:t>)</w:t>
      </w:r>
      <w:r w:rsidR="00B33122">
        <w:t xml:space="preserve">. Several of these reflected well-justified methodological choices from the original paper that were overlooked by the authors, highlighting the need for care when pre-registering methodological details. </w:t>
      </w:r>
      <w:r w:rsidR="00B86773">
        <w:t>Other</w:t>
      </w:r>
      <w:r w:rsidR="00B33122">
        <w:t xml:space="preserve"> choices reflected issues that arose when examining the data, either in data cleaning, preprocessing, or preliminary analyses. This </w:t>
      </w:r>
      <w:r w:rsidR="009B1933">
        <w:t>is a well-known issue with pre-registration, where there is a need to balance pre-registering early in the process prior to looking at the data (to reduce opportunities for researcher degrees of freedom) with making the correct choices for statistical correctness. This is particularly challenging for neuroimaging analyses, where there are increased preprocessing and analysis choices</w:t>
      </w:r>
      <w:r w:rsidR="00142506">
        <w:t xml:space="preserve"> </w:t>
      </w:r>
      <w:r w:rsidR="00142506">
        <w:fldChar w:fldCharType="begin"/>
      </w:r>
      <w:r w:rsidR="000C6F98">
        <w:instrText xml:space="preserve"> ADDIN EN.CITE &lt;EndNote&gt;&lt;Cite&gt;&lt;Author&gt;Carp&lt;/Author&gt;&lt;Year&gt;2012&lt;/Year&gt;&lt;IDText&gt;The secret lives of experiments: methods reporting in the fMRI literature&lt;/IDText&gt;&lt;DisplayText&gt;(Carp, 2012)&lt;/DisplayText&gt;&lt;record&gt;&lt;isbn&gt;1053-8119&lt;/isbn&gt;&lt;titles&gt;&lt;title&gt;The secret lives of experiments: methods reporting in the fMRI literature&lt;/title&gt;&lt;secondary-title&gt;Neuroimage&lt;/secondary-title&gt;&lt;/titles&gt;&lt;pages&gt;289-300&lt;/pages&gt;&lt;number&gt;1&lt;/number&gt;&lt;contributors&gt;&lt;authors&gt;&lt;author&gt;Carp, Joshua&lt;/author&gt;&lt;/authors&gt;&lt;/contributors&gt;&lt;added-date format="utc"&gt;1776441206&lt;/added-date&gt;&lt;ref-type name="Journal Article"&gt;17&lt;/ref-type&gt;&lt;dates&gt;&lt;year&gt;2012&lt;/year&gt;&lt;/dates&gt;&lt;rec-number&gt;2062&lt;/rec-number&gt;&lt;last-updated-date format="utc"&gt;1776441206&lt;/last-updated-date&gt;&lt;volume&gt;63&lt;/volume&gt;&lt;/record&gt;&lt;/Cite&gt;&lt;/EndNote&gt;</w:instrText>
      </w:r>
      <w:r w:rsidR="00142506">
        <w:fldChar w:fldCharType="separate"/>
      </w:r>
      <w:r w:rsidR="000C6F98">
        <w:rPr>
          <w:noProof/>
        </w:rPr>
        <w:t>(Carp, 2012)</w:t>
      </w:r>
      <w:r w:rsidR="00142506">
        <w:fldChar w:fldCharType="end"/>
      </w:r>
      <w:r w:rsidR="009B1933">
        <w:t>, and sample size can be significantly reduced due to quality control procedures. We aimed to make choices that best balanced pre-registration an</w:t>
      </w:r>
      <w:r w:rsidR="00124A1E">
        <w:t>d</w:t>
      </w:r>
      <w:r w:rsidR="009B1933">
        <w:t xml:space="preserve"> statistical correct</w:t>
      </w:r>
      <w:r w:rsidR="00124A1E">
        <w:t>ness</w:t>
      </w:r>
      <w:r w:rsidR="009B1933">
        <w:t xml:space="preserve"> and we hope that researchers aiming to perform pre-registered neuroimaging analyses can learn from our approach</w:t>
      </w:r>
      <w:r w:rsidR="0096400D">
        <w:t>, potentially generating multi-stage registrations that account for the need to understand the data before pre-registering hypotheses and analysis/preprocessing procedures.</w:t>
      </w:r>
      <w:r w:rsidR="00B815B7">
        <w:t xml:space="preserve"> However, these deviations should still be a consideration when interpreting these finding. </w:t>
      </w:r>
      <w:r w:rsidR="007D5718">
        <w:t xml:space="preserve">Finally, the task and questionnaire used here was not best-suited for examination of emotion regulation. Although </w:t>
      </w:r>
      <w:r w:rsidR="005B015A">
        <w:t xml:space="preserve">our hypothesis that this task would engage </w:t>
      </w:r>
      <w:r w:rsidR="005B015A">
        <w:lastRenderedPageBreak/>
        <w:t>model-free emotion regulation was supported by the between-subject findings</w:t>
      </w:r>
      <w:r w:rsidR="007D5718">
        <w:t xml:space="preserve">, </w:t>
      </w:r>
      <w:r w:rsidR="005B015A">
        <w:t xml:space="preserve">the negative condition did not appear to significantly </w:t>
      </w:r>
      <w:r w:rsidR="00971B3E">
        <w:t>recruit this circuitry on average</w:t>
      </w:r>
      <w:r w:rsidR="007D5718">
        <w:t xml:space="preserve">, as shown by the lack of condition differences in vmPFC-amygdala </w:t>
      </w:r>
      <w:r w:rsidR="00971B3E">
        <w:t>connectivity</w:t>
      </w:r>
      <w:r w:rsidR="007D5718">
        <w:t xml:space="preserve">. Other tasks that are designed directly to probe </w:t>
      </w:r>
      <w:r w:rsidR="003741FF">
        <w:t>model-free</w:t>
      </w:r>
      <w:r w:rsidR="007D5718">
        <w:t xml:space="preserve"> emotion regulation (e.g., fear conditioning and the emotional </w:t>
      </w:r>
      <w:r w:rsidR="00AA5D02">
        <w:t>Stroop</w:t>
      </w:r>
      <w:r w:rsidR="007D5718">
        <w:t>), along with tasks aimed at examining</w:t>
      </w:r>
      <w:r w:rsidR="003741FF">
        <w:t xml:space="preserve"> model-based strategy engagement and success, are needed to better understand these mechanisms. </w:t>
      </w:r>
    </w:p>
    <w:p>
      <w:pPr>
        <w:keepNext/>
      </w:pPr>
      <w:r>
        <w:rPr>
          <w:b/>
        </w:rPr>
        <w:t>Constraints on Generality</w:t>
      </w:r>
    </w:p>
    <w:p>
      <w:r>
        <w:t>These findings are most directly applicable to U.S. midlife and older adults who remained engaged in MIDUS and completed intensive daily-diary and neuroscience protocols. Participation in these projects and conservative imaging quality control produced selectively retained samples. The primary M3 diary-plus-fMRI sample was small (N = 81), ranged from 48 to 95 years, and was 82.7% White; the MR1 diary-plus-fMRI sample was smaller (N = 48), younger (range = 29–70), and 93.8% White. The current analytic summaries characterize age, recorded binary sex, and race, but not gender identity, ethnicity, nativity or immigration history, socioeconomic status, disability, sexual orientation, or clinical diagnoses. Generalizability to younger people, people with other demographic or clinical characteristics, non-U.S. contexts, and people less able or willing to complete intensive longitudinal and imaging protocols is therefore uncertain.</w:t>
      </w:r>
    </w:p>
    <w:p>
      <w:r>
        <w:t>The findings may also depend on the passive image-viewing task, the negative, neutral, and positive stimuli and neutral-face probes, the diary affect measures, scanner acquisition and preprocessing choices, region-of-interest definitions, and the cross-run persistence and beta-series connectivity calculations. The general associations could be tested with other stimuli, scanners, and intensive affect measures, but direct replications should preserve the task timing, image-to-face sequence, region definitions, persistence pairing scheme, connectivity contrast, and conservative quality-control criteria. Larger lifespan, longitudinal, and more demographically and culturally diverse samples are needed to establish which results generalize beyond these cohorts and methods.</w:t>
      </w:r>
    </w:p>
    <w:p w14:paraId="563B5837" w14:textId="77777777" w:rsidR="000C6F98" w:rsidRPr="000C6F98" w:rsidRDefault="008E0FC7" w:rsidP="000C6F98">
      <w:pPr>
        <w:pStyle w:val="EndNoteBibliographyTitle"/>
        <w:rPr>
          <w:noProof/>
        </w:rPr>
      </w:pPr>
      <w:r>
        <w:fldChar w:fldCharType="begin"/>
      </w:r>
      <w:r>
        <w:instrText xml:space="preserve"> ADDIN EN.REFLIST </w:instrText>
      </w:r>
      <w:r>
        <w:fldChar w:fldCharType="separate"/>
      </w:r>
      <w:r w:rsidR="000C6F98" w:rsidRPr="000C6F98">
        <w:rPr>
          <w:noProof/>
        </w:rPr>
        <w:t>References</w:t>
      </w:r>
    </w:p>
    <w:p w14:paraId="427EBE0D" w14:textId="77777777" w:rsidR="000C6F98" w:rsidRPr="000C6F98" w:rsidRDefault="000C6F98" w:rsidP="000C6F98">
      <w:pPr>
        <w:pStyle w:val="EndNoteBibliographyTitle"/>
        <w:rPr>
          <w:noProof/>
        </w:rPr>
      </w:pPr>
    </w:p>
    <w:p w14:paraId="2D388052" w14:textId="77777777" w:rsidR="000C6F98" w:rsidRPr="000C6F98" w:rsidRDefault="000C6F98" w:rsidP="000C6F98">
      <w:pPr>
        <w:pStyle w:val="EndNoteBibliography"/>
        <w:spacing w:after="0"/>
        <w:ind w:left="720" w:hanging="720"/>
        <w:rPr>
          <w:noProof/>
        </w:rPr>
      </w:pPr>
      <w:r w:rsidRPr="000C6F98">
        <w:rPr>
          <w:noProof/>
        </w:rPr>
        <w:t xml:space="preserve">Alexopoulos, G. S. (2019). Mechanisms and treatment of late-life depression. </w:t>
      </w:r>
      <w:r w:rsidRPr="000C6F98">
        <w:rPr>
          <w:i/>
          <w:noProof/>
        </w:rPr>
        <w:t>Translational psychiatry</w:t>
      </w:r>
      <w:r w:rsidRPr="000C6F98">
        <w:rPr>
          <w:noProof/>
        </w:rPr>
        <w:t>,</w:t>
      </w:r>
      <w:r w:rsidRPr="000C6F98">
        <w:rPr>
          <w:i/>
          <w:noProof/>
        </w:rPr>
        <w:t xml:space="preserve"> 9</w:t>
      </w:r>
      <w:r w:rsidRPr="000C6F98">
        <w:rPr>
          <w:noProof/>
        </w:rPr>
        <w:t xml:space="preserve">(1), 1-16. </w:t>
      </w:r>
    </w:p>
    <w:p w14:paraId="7A23CE5F" w14:textId="77777777" w:rsidR="000C6F98" w:rsidRPr="000C6F98" w:rsidRDefault="000C6F98" w:rsidP="000C6F98">
      <w:pPr>
        <w:pStyle w:val="EndNoteBibliography"/>
        <w:spacing w:after="0"/>
        <w:ind w:left="720" w:hanging="720"/>
        <w:rPr>
          <w:noProof/>
        </w:rPr>
      </w:pPr>
      <w:r w:rsidRPr="000C6F98">
        <w:rPr>
          <w:noProof/>
        </w:rPr>
        <w:t xml:space="preserve">Anthony, M., Turnbull, A., Tadin, D., &amp; Lin, F. V. (2024). Positive affect disrupts neurodegeneration effects on cognitive training plasticity in older adults. </w:t>
      </w:r>
      <w:r w:rsidRPr="000C6F98">
        <w:rPr>
          <w:i/>
          <w:noProof/>
        </w:rPr>
        <w:t>Social cognitive and affective neuroscience</w:t>
      </w:r>
      <w:r w:rsidRPr="000C6F98">
        <w:rPr>
          <w:noProof/>
        </w:rPr>
        <w:t>,</w:t>
      </w:r>
      <w:r w:rsidRPr="000C6F98">
        <w:rPr>
          <w:i/>
          <w:noProof/>
        </w:rPr>
        <w:t xml:space="preserve"> 19</w:t>
      </w:r>
      <w:r w:rsidRPr="000C6F98">
        <w:rPr>
          <w:noProof/>
        </w:rPr>
        <w:t xml:space="preserve">(1), nsae004. </w:t>
      </w:r>
    </w:p>
    <w:p>
      <w:pPr>
        <w:pStyle w:val="EndNoteBibliography"/>
        <w:spacing w:after="0"/>
        <w:ind w:left="720" w:hanging="720"/>
        <w:rPr>
          <w:noProof/>
        </w:rPr>
      </w:pPr>
      <w:r>
        <w:rPr>
          <w:noProof/>
        </w:rPr>
        <w:t>Anthropic. (2026). Claude [Large language model]. https://claude.ai/</w:t>
      </w:r>
    </w:p>
    <w:p w14:paraId="4DA45BB5" w14:textId="77777777" w:rsidR="000C6F98" w:rsidRPr="000C6F98" w:rsidRDefault="000C6F98" w:rsidP="000C6F98">
      <w:pPr>
        <w:pStyle w:val="EndNoteBibliography"/>
        <w:spacing w:after="0"/>
        <w:ind w:left="720" w:hanging="720"/>
        <w:rPr>
          <w:noProof/>
        </w:rPr>
      </w:pPr>
      <w:r w:rsidRPr="000C6F98">
        <w:rPr>
          <w:noProof/>
        </w:rPr>
        <w:t xml:space="preserve">Botvinik-Nezer, R., Holzmeister, F., Camerer, C. F., Dreber, A., Huber, J., Johannesson, M.,…Adcock, R. A. (2020). Variability in the analysis of a single neuroimaging dataset by many teams. </w:t>
      </w:r>
      <w:r w:rsidRPr="000C6F98">
        <w:rPr>
          <w:i/>
          <w:noProof/>
        </w:rPr>
        <w:t>Nature</w:t>
      </w:r>
      <w:r w:rsidRPr="000C6F98">
        <w:rPr>
          <w:noProof/>
        </w:rPr>
        <w:t>,</w:t>
      </w:r>
      <w:r w:rsidRPr="000C6F98">
        <w:rPr>
          <w:i/>
          <w:noProof/>
        </w:rPr>
        <w:t xml:space="preserve"> 582</w:t>
      </w:r>
      <w:r w:rsidRPr="000C6F98">
        <w:rPr>
          <w:noProof/>
        </w:rPr>
        <w:t xml:space="preserve">(7810), 84-88. </w:t>
      </w:r>
    </w:p>
    <w:p w14:paraId="1B2CC8A3" w14:textId="77777777" w:rsidR="000C6F98" w:rsidRPr="000C6F98" w:rsidRDefault="000C6F98" w:rsidP="000C6F98">
      <w:pPr>
        <w:pStyle w:val="EndNoteBibliography"/>
        <w:spacing w:after="0"/>
        <w:ind w:left="720" w:hanging="720"/>
        <w:rPr>
          <w:noProof/>
        </w:rPr>
      </w:pPr>
      <w:r w:rsidRPr="000C6F98">
        <w:rPr>
          <w:noProof/>
        </w:rPr>
        <w:t xml:space="preserve">Carp, J. (2012). The secret lives of experiments: methods reporting in the fMRI literature. </w:t>
      </w:r>
      <w:r w:rsidRPr="000C6F98">
        <w:rPr>
          <w:i/>
          <w:noProof/>
        </w:rPr>
        <w:t>Neuroimage</w:t>
      </w:r>
      <w:r w:rsidRPr="000C6F98">
        <w:rPr>
          <w:noProof/>
        </w:rPr>
        <w:t>,</w:t>
      </w:r>
      <w:r w:rsidRPr="000C6F98">
        <w:rPr>
          <w:i/>
          <w:noProof/>
        </w:rPr>
        <w:t xml:space="preserve"> 63</w:t>
      </w:r>
      <w:r w:rsidRPr="000C6F98">
        <w:rPr>
          <w:noProof/>
        </w:rPr>
        <w:t xml:space="preserve">(1), 289-300. </w:t>
      </w:r>
    </w:p>
    <w:p w14:paraId="1106EE96" w14:textId="77777777" w:rsidR="000C6F98" w:rsidRPr="000C6F98" w:rsidRDefault="000C6F98" w:rsidP="000C6F98">
      <w:pPr>
        <w:pStyle w:val="EndNoteBibliography"/>
        <w:spacing w:after="0"/>
        <w:ind w:left="720" w:hanging="720"/>
        <w:rPr>
          <w:noProof/>
        </w:rPr>
      </w:pPr>
      <w:r w:rsidRPr="000C6F98">
        <w:rPr>
          <w:noProof/>
        </w:rPr>
        <w:t xml:space="preserve">Conner, T. S., &amp; Barrett, L. F. (2012). Trends in ambulatory self-report: The role of momentary experience in psychosomatic medicine. </w:t>
      </w:r>
      <w:r w:rsidRPr="000C6F98">
        <w:rPr>
          <w:i/>
          <w:noProof/>
        </w:rPr>
        <w:t>Biopsychosocial Science and Medicine</w:t>
      </w:r>
      <w:r w:rsidRPr="000C6F98">
        <w:rPr>
          <w:noProof/>
        </w:rPr>
        <w:t>,</w:t>
      </w:r>
      <w:r w:rsidRPr="000C6F98">
        <w:rPr>
          <w:i/>
          <w:noProof/>
        </w:rPr>
        <w:t xml:space="preserve"> 74</w:t>
      </w:r>
      <w:r w:rsidRPr="000C6F98">
        <w:rPr>
          <w:noProof/>
        </w:rPr>
        <w:t xml:space="preserve">(4), 327-337. </w:t>
      </w:r>
    </w:p>
    <w:p w14:paraId="3E412D98" w14:textId="77777777" w:rsidR="000C6F98" w:rsidRPr="000C6F98" w:rsidRDefault="000C6F98" w:rsidP="000C6F98">
      <w:pPr>
        <w:pStyle w:val="EndNoteBibliography"/>
        <w:spacing w:after="0"/>
        <w:ind w:left="720" w:hanging="720"/>
        <w:rPr>
          <w:noProof/>
        </w:rPr>
      </w:pPr>
      <w:r w:rsidRPr="000C6F98">
        <w:rPr>
          <w:noProof/>
        </w:rPr>
        <w:t xml:space="preserve">Etkin, A., Büchel, C., &amp; Gross, J. J. (2015). The neural bases of emotion regulation. </w:t>
      </w:r>
      <w:r w:rsidRPr="000C6F98">
        <w:rPr>
          <w:i/>
          <w:noProof/>
        </w:rPr>
        <w:t>Nature reviews neuroscience</w:t>
      </w:r>
      <w:r w:rsidRPr="000C6F98">
        <w:rPr>
          <w:noProof/>
        </w:rPr>
        <w:t>,</w:t>
      </w:r>
      <w:r w:rsidRPr="000C6F98">
        <w:rPr>
          <w:i/>
          <w:noProof/>
        </w:rPr>
        <w:t xml:space="preserve"> 16</w:t>
      </w:r>
      <w:r w:rsidRPr="000C6F98">
        <w:rPr>
          <w:noProof/>
        </w:rPr>
        <w:t xml:space="preserve">(11), 693-700. </w:t>
      </w:r>
    </w:p>
    <w:p w14:paraId="11DF9AEE" w14:textId="77777777" w:rsidR="000C6F98" w:rsidRPr="000C6F98" w:rsidRDefault="000C6F98" w:rsidP="000C6F98">
      <w:pPr>
        <w:pStyle w:val="EndNoteBibliography"/>
        <w:spacing w:after="0"/>
        <w:ind w:left="720" w:hanging="720"/>
        <w:rPr>
          <w:noProof/>
        </w:rPr>
      </w:pPr>
      <w:r w:rsidRPr="000C6F98">
        <w:rPr>
          <w:noProof/>
        </w:rPr>
        <w:t xml:space="preserve">Hu, M., Shu, X., Wu, X., Chen, F., Hu, H., Zhang, J.,…Feng, H. (2020). Neuropsychiatric symptoms as prognostic makers for the elderly with mild cognitive impairment: a meta-analysis. </w:t>
      </w:r>
      <w:r w:rsidRPr="000C6F98">
        <w:rPr>
          <w:i/>
          <w:noProof/>
        </w:rPr>
        <w:t>Journal of Affective Disorders</w:t>
      </w:r>
      <w:r w:rsidRPr="000C6F98">
        <w:rPr>
          <w:noProof/>
        </w:rPr>
        <w:t>,</w:t>
      </w:r>
      <w:r w:rsidRPr="000C6F98">
        <w:rPr>
          <w:i/>
          <w:noProof/>
        </w:rPr>
        <w:t xml:space="preserve"> 271</w:t>
      </w:r>
      <w:r w:rsidRPr="000C6F98">
        <w:rPr>
          <w:noProof/>
        </w:rPr>
        <w:t xml:space="preserve">, 185-192. </w:t>
      </w:r>
    </w:p>
    <w:p w14:paraId="29A12DAD" w14:textId="77777777" w:rsidR="000C6F98" w:rsidRPr="000C6F98" w:rsidRDefault="000C6F98" w:rsidP="000C6F98">
      <w:pPr>
        <w:pStyle w:val="EndNoteBibliography"/>
        <w:spacing w:after="0"/>
        <w:ind w:left="720" w:hanging="720"/>
        <w:rPr>
          <w:noProof/>
        </w:rPr>
      </w:pPr>
      <w:r w:rsidRPr="000C6F98">
        <w:rPr>
          <w:noProof/>
        </w:rPr>
        <w:t xml:space="preserve">Kahneman, D., &amp; Deaton, A. (2010). High income improves evaluation of life but not emotional well-being. </w:t>
      </w:r>
      <w:r w:rsidRPr="000C6F98">
        <w:rPr>
          <w:i/>
          <w:noProof/>
        </w:rPr>
        <w:t>Proceedings of the national academy of sciences</w:t>
      </w:r>
      <w:r w:rsidRPr="000C6F98">
        <w:rPr>
          <w:noProof/>
        </w:rPr>
        <w:t>,</w:t>
      </w:r>
      <w:r w:rsidRPr="000C6F98">
        <w:rPr>
          <w:i/>
          <w:noProof/>
        </w:rPr>
        <w:t xml:space="preserve"> 107</w:t>
      </w:r>
      <w:r w:rsidRPr="000C6F98">
        <w:rPr>
          <w:noProof/>
        </w:rPr>
        <w:t xml:space="preserve">(38), 16489-16493. </w:t>
      </w:r>
    </w:p>
    <w:p w14:paraId="1CC3DBCE" w14:textId="0998A3E9" w:rsidR="000C6F98" w:rsidRPr="000C6F98" w:rsidRDefault="000C6F98" w:rsidP="000C6F98">
      <w:pPr>
        <w:pStyle w:val="EndNoteBibliography"/>
        <w:spacing w:after="0"/>
        <w:ind w:left="720" w:hanging="720"/>
        <w:rPr>
          <w:noProof/>
        </w:rPr>
      </w:pPr>
      <w:r w:rsidRPr="000C6F98">
        <w:rPr>
          <w:noProof/>
        </w:rPr>
        <w:t xml:space="preserve">Lindquist, K. A., Wager, T. D., Kober, H., Bliss-Moreau, E., &amp; Barrett, L. F. (2012). The brain basis of emotion: A meta-analytic review. </w:t>
      </w:r>
      <w:r w:rsidRPr="000C6F98">
        <w:rPr>
          <w:i/>
          <w:noProof/>
        </w:rPr>
        <w:t>Behavioral and Brain Sciences</w:t>
      </w:r>
      <w:r w:rsidRPr="000C6F98">
        <w:rPr>
          <w:noProof/>
        </w:rPr>
        <w:t>,</w:t>
      </w:r>
      <w:r w:rsidRPr="000C6F98">
        <w:rPr>
          <w:i/>
          <w:noProof/>
        </w:rPr>
        <w:t xml:space="preserve"> 35</w:t>
      </w:r>
      <w:r w:rsidRPr="000C6F98">
        <w:rPr>
          <w:noProof/>
        </w:rPr>
        <w:t xml:space="preserve">(3), 121-143. </w:t>
      </w:r>
      <w:hyperlink r:id="rId13" w:history="1">
        <w:r w:rsidRPr="000C6F98">
          <w:rPr>
            <w:rStyle w:val="Hyperlink"/>
            <w:noProof/>
          </w:rPr>
          <w:t>https://doi.org/10.1017/s0140525x11000446</w:t>
        </w:r>
      </w:hyperlink>
      <w:r w:rsidRPr="000C6F98">
        <w:rPr>
          <w:noProof/>
        </w:rPr>
        <w:t xml:space="preserve"> </w:t>
      </w:r>
    </w:p>
    <w:p w14:paraId="1DB7DE49" w14:textId="77777777" w:rsidR="000C6F98" w:rsidRPr="000C6F98" w:rsidRDefault="000C6F98" w:rsidP="000C6F98">
      <w:pPr>
        <w:pStyle w:val="EndNoteBibliography"/>
        <w:spacing w:after="0"/>
        <w:ind w:left="720" w:hanging="720"/>
        <w:rPr>
          <w:noProof/>
        </w:rPr>
      </w:pPr>
      <w:r w:rsidRPr="000C6F98">
        <w:rPr>
          <w:noProof/>
        </w:rPr>
        <w:t xml:space="preserve">Marek, S., Tervo-Clemmens, B., Calabro, F. J., Montez, D. F., Kay, B. P., Hatoum, A. S.,…Hendrickson, T. J. (2022). Reproducible brain-wide association studies require thousands of individuals. </w:t>
      </w:r>
      <w:r w:rsidRPr="000C6F98">
        <w:rPr>
          <w:i/>
          <w:noProof/>
        </w:rPr>
        <w:t>Nature</w:t>
      </w:r>
      <w:r w:rsidRPr="000C6F98">
        <w:rPr>
          <w:noProof/>
        </w:rPr>
        <w:t>,</w:t>
      </w:r>
      <w:r w:rsidRPr="000C6F98">
        <w:rPr>
          <w:i/>
          <w:noProof/>
        </w:rPr>
        <w:t xml:space="preserve"> 603</w:t>
      </w:r>
      <w:r w:rsidRPr="000C6F98">
        <w:rPr>
          <w:noProof/>
        </w:rPr>
        <w:t xml:space="preserve">(7902), 654-660. </w:t>
      </w:r>
    </w:p>
    <w:p w14:paraId="2ABD3321" w14:textId="72BCD2EB" w:rsidR="000C6F98" w:rsidRPr="000C6F98" w:rsidRDefault="000C6F98" w:rsidP="000C6F98">
      <w:pPr>
        <w:pStyle w:val="EndNoteBibliography"/>
        <w:spacing w:after="0"/>
        <w:ind w:left="720" w:hanging="720"/>
        <w:rPr>
          <w:noProof/>
        </w:rPr>
      </w:pPr>
      <w:r w:rsidRPr="000C6F98">
        <w:rPr>
          <w:noProof/>
        </w:rPr>
        <w:t xml:space="preserve">Mather, M. (2012). The emotion paradox in the aging brain. </w:t>
      </w:r>
      <w:hyperlink r:id="rId14" w:history="1">
        <w:r w:rsidRPr="000C6F98">
          <w:rPr>
            <w:rStyle w:val="Hyperlink"/>
            <w:noProof/>
          </w:rPr>
          <w:t>https://doi.org/10.1111/j.1749-6632.2012.06471.x</w:t>
        </w:r>
      </w:hyperlink>
      <w:r w:rsidRPr="000C6F98">
        <w:rPr>
          <w:noProof/>
        </w:rPr>
        <w:t xml:space="preserve"> </w:t>
      </w:r>
    </w:p>
    <w:p w14:paraId="6CF77546" w14:textId="77777777" w:rsidR="000C6F98" w:rsidRPr="000C6F98" w:rsidRDefault="000C6F98" w:rsidP="000C6F98">
      <w:pPr>
        <w:pStyle w:val="EndNoteBibliography"/>
        <w:spacing w:after="0"/>
        <w:ind w:left="720" w:hanging="720"/>
        <w:rPr>
          <w:noProof/>
        </w:rPr>
      </w:pPr>
      <w:r w:rsidRPr="000C6F98">
        <w:rPr>
          <w:noProof/>
        </w:rPr>
        <w:lastRenderedPageBreak/>
        <w:t xml:space="preserve">Mooraj, Z., Salami, A., Campbell, K. L., Dahl, M. J., Kosciessa, J. Q., Nassar, M. R.,…Mayr, U. (2025). Toward a functional future for the cognitive neuroscience of human aging. </w:t>
      </w:r>
      <w:r w:rsidRPr="000C6F98">
        <w:rPr>
          <w:i/>
          <w:noProof/>
        </w:rPr>
        <w:t>Neuron</w:t>
      </w:r>
      <w:r w:rsidRPr="000C6F98">
        <w:rPr>
          <w:noProof/>
        </w:rPr>
        <w:t>,</w:t>
      </w:r>
      <w:r w:rsidRPr="000C6F98">
        <w:rPr>
          <w:i/>
          <w:noProof/>
        </w:rPr>
        <w:t xml:space="preserve"> 113</w:t>
      </w:r>
      <w:r w:rsidRPr="000C6F98">
        <w:rPr>
          <w:noProof/>
        </w:rPr>
        <w:t xml:space="preserve">(1), 154-183. </w:t>
      </w:r>
    </w:p>
    <w:p>
      <w:pPr>
        <w:pStyle w:val="EndNoteBibliography"/>
        <w:spacing w:after="0"/>
        <w:ind w:left="720" w:hanging="720"/>
        <w:rPr>
          <w:noProof/>
        </w:rPr>
      </w:pPr>
      <w:r>
        <w:rPr>
          <w:noProof/>
        </w:rPr>
        <w:t>OpenAI. (2026). Codex [Large language model]. https://openai.com/codex/</w:t>
      </w:r>
    </w:p>
    <w:p w14:paraId="05306ABC" w14:textId="77777777" w:rsidR="000C6F98" w:rsidRPr="000C6F98" w:rsidRDefault="000C6F98" w:rsidP="000C6F98">
      <w:pPr>
        <w:pStyle w:val="EndNoteBibliography"/>
        <w:spacing w:after="0"/>
        <w:ind w:left="720" w:hanging="720"/>
        <w:rPr>
          <w:noProof/>
        </w:rPr>
      </w:pPr>
      <w:r w:rsidRPr="000C6F98">
        <w:rPr>
          <w:noProof/>
        </w:rPr>
        <w:t xml:space="preserve">Podsakoff, P. M., MacKenzie, S. B., Lee, J.-Y., &amp; Podsakoff, N. P. (2003). Common method biases in behavioral research: a critical review of the literature and recommended remedies. </w:t>
      </w:r>
      <w:r w:rsidRPr="000C6F98">
        <w:rPr>
          <w:i/>
          <w:noProof/>
        </w:rPr>
        <w:t>Journal of applied psychology</w:t>
      </w:r>
      <w:r w:rsidRPr="000C6F98">
        <w:rPr>
          <w:noProof/>
        </w:rPr>
        <w:t>,</w:t>
      </w:r>
      <w:r w:rsidRPr="000C6F98">
        <w:rPr>
          <w:i/>
          <w:noProof/>
        </w:rPr>
        <w:t xml:space="preserve"> 88</w:t>
      </w:r>
      <w:r w:rsidRPr="000C6F98">
        <w:rPr>
          <w:noProof/>
        </w:rPr>
        <w:t xml:space="preserve">(5), 879. </w:t>
      </w:r>
    </w:p>
    <w:p w14:paraId="75C29D9C" w14:textId="77777777" w:rsidR="000C6F98" w:rsidRPr="000C6F98" w:rsidRDefault="000C6F98" w:rsidP="000C6F98">
      <w:pPr>
        <w:pStyle w:val="EndNoteBibliography"/>
        <w:spacing w:after="0"/>
        <w:ind w:left="720" w:hanging="720"/>
        <w:rPr>
          <w:noProof/>
        </w:rPr>
      </w:pPr>
      <w:r w:rsidRPr="000C6F98">
        <w:rPr>
          <w:noProof/>
        </w:rPr>
        <w:t xml:space="preserve">Puccetti, N. A., Schaefer, S. M., Van Reekum, C. M., Ong, A. D., Almeida, D. M., Ryff, C. D.,…Heller, A. S. (2021). Linking amygdala persistence to real-world emotional experience and psychological well-being. </w:t>
      </w:r>
      <w:r w:rsidRPr="000C6F98">
        <w:rPr>
          <w:i/>
          <w:noProof/>
        </w:rPr>
        <w:t>Journal of Neuroscience</w:t>
      </w:r>
      <w:r w:rsidRPr="000C6F98">
        <w:rPr>
          <w:noProof/>
        </w:rPr>
        <w:t>,</w:t>
      </w:r>
      <w:r w:rsidRPr="000C6F98">
        <w:rPr>
          <w:i/>
          <w:noProof/>
        </w:rPr>
        <w:t xml:space="preserve"> 41</w:t>
      </w:r>
      <w:r w:rsidRPr="000C6F98">
        <w:rPr>
          <w:noProof/>
        </w:rPr>
        <w:t xml:space="preserve">(16), 3721-3730. </w:t>
      </w:r>
    </w:p>
    <w:p w14:paraId="27B399DE" w14:textId="77777777" w:rsidR="000C6F98" w:rsidRPr="000C6F98" w:rsidRDefault="000C6F98" w:rsidP="000C6F98">
      <w:pPr>
        <w:pStyle w:val="EndNoteBibliography"/>
        <w:spacing w:after="0"/>
        <w:ind w:left="720" w:hanging="720"/>
        <w:rPr>
          <w:noProof/>
        </w:rPr>
      </w:pPr>
      <w:r w:rsidRPr="000C6F98">
        <w:rPr>
          <w:noProof/>
        </w:rPr>
        <w:t xml:space="preserve">Sicorello, M., Zaehringer, J., Paschke, L., Steimke, R., Stelzel, C., Gianaros, P. J.,…Wessa, M. (2025). The elusive neural signature of emotion regulation capabilities: evidence from a large-scale consortium. </w:t>
      </w:r>
      <w:r w:rsidRPr="000C6F98">
        <w:rPr>
          <w:i/>
          <w:noProof/>
        </w:rPr>
        <w:t>bioRxiv</w:t>
      </w:r>
      <w:r w:rsidRPr="000C6F98">
        <w:rPr>
          <w:noProof/>
        </w:rPr>
        <w:t xml:space="preserve">, 2025.2008. 2018.670843. </w:t>
      </w:r>
    </w:p>
    <w:p w14:paraId="3B66F573" w14:textId="77777777" w:rsidR="000C6F98" w:rsidRPr="000C6F98" w:rsidRDefault="000C6F98" w:rsidP="000C6F98">
      <w:pPr>
        <w:pStyle w:val="EndNoteBibliography"/>
        <w:spacing w:after="0"/>
        <w:ind w:left="720" w:hanging="720"/>
        <w:rPr>
          <w:noProof/>
        </w:rPr>
      </w:pPr>
      <w:r w:rsidRPr="000C6F98">
        <w:rPr>
          <w:noProof/>
        </w:rPr>
        <w:t xml:space="preserve">Tashjian, S. M., Zbozinek, T. D., &amp; Mobbs, D. (2021). A decision architecture for safety computations. </w:t>
      </w:r>
      <w:r w:rsidRPr="000C6F98">
        <w:rPr>
          <w:i/>
          <w:noProof/>
        </w:rPr>
        <w:t>Trends in Cognitive Sciences</w:t>
      </w:r>
      <w:r w:rsidRPr="000C6F98">
        <w:rPr>
          <w:noProof/>
        </w:rPr>
        <w:t>,</w:t>
      </w:r>
      <w:r w:rsidRPr="000C6F98">
        <w:rPr>
          <w:i/>
          <w:noProof/>
        </w:rPr>
        <w:t xml:space="preserve"> 25</w:t>
      </w:r>
      <w:r w:rsidRPr="000C6F98">
        <w:rPr>
          <w:noProof/>
        </w:rPr>
        <w:t xml:space="preserve">(5), 342-354. </w:t>
      </w:r>
    </w:p>
    <w:p w14:paraId="1AE715B3" w14:textId="77777777" w:rsidR="000C6F98" w:rsidRPr="000C6F98" w:rsidRDefault="000C6F98" w:rsidP="000C6F98">
      <w:pPr>
        <w:pStyle w:val="EndNoteBibliography"/>
        <w:spacing w:after="0"/>
        <w:ind w:left="720" w:hanging="720"/>
        <w:rPr>
          <w:noProof/>
        </w:rPr>
      </w:pPr>
      <w:r w:rsidRPr="000C6F98">
        <w:rPr>
          <w:noProof/>
        </w:rPr>
        <w:t xml:space="preserve">Turnbull, A., Gross, J. J., &amp; Vankee-Lin, F. (2026). The emergence of neuropsychiatric symptoms in preclinical Alzheimer’s disease: An emotion regulation perspective. </w:t>
      </w:r>
      <w:r w:rsidRPr="000C6F98">
        <w:rPr>
          <w:i/>
          <w:noProof/>
        </w:rPr>
        <w:t>Neuron</w:t>
      </w:r>
      <w:r w:rsidRPr="000C6F98">
        <w:rPr>
          <w:noProof/>
        </w:rPr>
        <w:t xml:space="preserve">. </w:t>
      </w:r>
    </w:p>
    <w:p w14:paraId="2678D3E8" w14:textId="77777777" w:rsidR="000C6F98" w:rsidRPr="000C6F98" w:rsidRDefault="000C6F98" w:rsidP="000C6F98">
      <w:pPr>
        <w:pStyle w:val="EndNoteBibliography"/>
        <w:ind w:left="720" w:hanging="720"/>
        <w:rPr>
          <w:noProof/>
        </w:rPr>
      </w:pPr>
      <w:r w:rsidRPr="000C6F98">
        <w:rPr>
          <w:noProof/>
        </w:rPr>
        <w:t xml:space="preserve">Zhang, J.-X., Bo, K., Wager, T. D., &amp; Gross, J. J. (2025). The brain bases of emotion generation and emotion regulation. </w:t>
      </w:r>
      <w:r w:rsidRPr="000C6F98">
        <w:rPr>
          <w:i/>
          <w:noProof/>
        </w:rPr>
        <w:t>Trends in Cognitive Sciences</w:t>
      </w:r>
      <w:r w:rsidRPr="000C6F98">
        <w:rPr>
          <w:noProof/>
        </w:rPr>
        <w:t xml:space="preserve">. </w:t>
      </w:r>
    </w:p>
    <w:p w14:paraId="76A9A11C" w14:textId="3EA04B62" w:rsidR="008E4284" w:rsidRDefault="008E0FC7" w:rsidP="00B7466C">
      <w:pPr>
        <w:spacing w:line="480" w:lineRule="auto"/>
      </w:pPr>
      <w:r>
        <w:fldChar w:fldCharType="end"/>
      </w:r>
    </w:p>
    <w:sectPr w:rsidR="008E4284" w:rsidSect="009A7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8"/>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References&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D93935"/>
    <w:rsid w:val="00003824"/>
    <w:rsid w:val="00004DBA"/>
    <w:rsid w:val="00006B28"/>
    <w:rsid w:val="00006FCA"/>
    <w:rsid w:val="00010FA0"/>
    <w:rsid w:val="000133E0"/>
    <w:rsid w:val="0001718D"/>
    <w:rsid w:val="00017EE6"/>
    <w:rsid w:val="00030BB7"/>
    <w:rsid w:val="000347CD"/>
    <w:rsid w:val="00035A1B"/>
    <w:rsid w:val="00035C2A"/>
    <w:rsid w:val="00036EF8"/>
    <w:rsid w:val="00037E1B"/>
    <w:rsid w:val="00042882"/>
    <w:rsid w:val="00042EFE"/>
    <w:rsid w:val="00045B0D"/>
    <w:rsid w:val="000515F8"/>
    <w:rsid w:val="00052CF6"/>
    <w:rsid w:val="00054245"/>
    <w:rsid w:val="00055CD5"/>
    <w:rsid w:val="00056E54"/>
    <w:rsid w:val="00057624"/>
    <w:rsid w:val="00065465"/>
    <w:rsid w:val="00065916"/>
    <w:rsid w:val="0006634E"/>
    <w:rsid w:val="00070505"/>
    <w:rsid w:val="000725E4"/>
    <w:rsid w:val="00074188"/>
    <w:rsid w:val="0007446B"/>
    <w:rsid w:val="000751D2"/>
    <w:rsid w:val="00076C77"/>
    <w:rsid w:val="000779BE"/>
    <w:rsid w:val="0008070A"/>
    <w:rsid w:val="00084CB9"/>
    <w:rsid w:val="00085E5D"/>
    <w:rsid w:val="00086089"/>
    <w:rsid w:val="00090679"/>
    <w:rsid w:val="000912A4"/>
    <w:rsid w:val="00091B9E"/>
    <w:rsid w:val="00097139"/>
    <w:rsid w:val="00097C54"/>
    <w:rsid w:val="000A0255"/>
    <w:rsid w:val="000A592B"/>
    <w:rsid w:val="000A6E65"/>
    <w:rsid w:val="000A713C"/>
    <w:rsid w:val="000A7740"/>
    <w:rsid w:val="000B0C17"/>
    <w:rsid w:val="000B3F7F"/>
    <w:rsid w:val="000B5C83"/>
    <w:rsid w:val="000C5E31"/>
    <w:rsid w:val="000C60FA"/>
    <w:rsid w:val="000C6931"/>
    <w:rsid w:val="000C6F98"/>
    <w:rsid w:val="000C72D3"/>
    <w:rsid w:val="000C7D2C"/>
    <w:rsid w:val="000D2D25"/>
    <w:rsid w:val="000D430D"/>
    <w:rsid w:val="000D7AED"/>
    <w:rsid w:val="000E208A"/>
    <w:rsid w:val="000E2253"/>
    <w:rsid w:val="000F427B"/>
    <w:rsid w:val="000F45B7"/>
    <w:rsid w:val="000F4CDB"/>
    <w:rsid w:val="000F4D5F"/>
    <w:rsid w:val="00111CB4"/>
    <w:rsid w:val="00115226"/>
    <w:rsid w:val="0011542F"/>
    <w:rsid w:val="00121930"/>
    <w:rsid w:val="001237E8"/>
    <w:rsid w:val="001238FA"/>
    <w:rsid w:val="001243F4"/>
    <w:rsid w:val="00124A1E"/>
    <w:rsid w:val="00125888"/>
    <w:rsid w:val="00130107"/>
    <w:rsid w:val="00131E54"/>
    <w:rsid w:val="001341F2"/>
    <w:rsid w:val="001357B0"/>
    <w:rsid w:val="001366BD"/>
    <w:rsid w:val="00142506"/>
    <w:rsid w:val="001448A3"/>
    <w:rsid w:val="001507FC"/>
    <w:rsid w:val="001526A7"/>
    <w:rsid w:val="00165BFA"/>
    <w:rsid w:val="00167323"/>
    <w:rsid w:val="00173064"/>
    <w:rsid w:val="001831FA"/>
    <w:rsid w:val="00183AE7"/>
    <w:rsid w:val="00183C6E"/>
    <w:rsid w:val="0018693C"/>
    <w:rsid w:val="00187A1C"/>
    <w:rsid w:val="00187B9C"/>
    <w:rsid w:val="001925F3"/>
    <w:rsid w:val="00192C23"/>
    <w:rsid w:val="001964A3"/>
    <w:rsid w:val="001A50C7"/>
    <w:rsid w:val="001A7982"/>
    <w:rsid w:val="001B4564"/>
    <w:rsid w:val="001B5733"/>
    <w:rsid w:val="001B6103"/>
    <w:rsid w:val="001D1861"/>
    <w:rsid w:val="001D243A"/>
    <w:rsid w:val="001D3850"/>
    <w:rsid w:val="001D3DAF"/>
    <w:rsid w:val="001D7906"/>
    <w:rsid w:val="001E3E9F"/>
    <w:rsid w:val="001E54B9"/>
    <w:rsid w:val="001E71AC"/>
    <w:rsid w:val="001E75B4"/>
    <w:rsid w:val="001F3183"/>
    <w:rsid w:val="001F465F"/>
    <w:rsid w:val="001F7B1D"/>
    <w:rsid w:val="00202B80"/>
    <w:rsid w:val="00205754"/>
    <w:rsid w:val="0021284F"/>
    <w:rsid w:val="00214751"/>
    <w:rsid w:val="00215FAB"/>
    <w:rsid w:val="002229F6"/>
    <w:rsid w:val="0022313B"/>
    <w:rsid w:val="002236A7"/>
    <w:rsid w:val="00224247"/>
    <w:rsid w:val="00224648"/>
    <w:rsid w:val="0022525A"/>
    <w:rsid w:val="0023425F"/>
    <w:rsid w:val="0024130D"/>
    <w:rsid w:val="00243D26"/>
    <w:rsid w:val="0024516D"/>
    <w:rsid w:val="00246075"/>
    <w:rsid w:val="0025225E"/>
    <w:rsid w:val="00260681"/>
    <w:rsid w:val="00262233"/>
    <w:rsid w:val="00272139"/>
    <w:rsid w:val="002729D0"/>
    <w:rsid w:val="00273A9E"/>
    <w:rsid w:val="002746FA"/>
    <w:rsid w:val="00276C48"/>
    <w:rsid w:val="00277903"/>
    <w:rsid w:val="002809A4"/>
    <w:rsid w:val="002836BB"/>
    <w:rsid w:val="00283811"/>
    <w:rsid w:val="00293E5E"/>
    <w:rsid w:val="002A27F8"/>
    <w:rsid w:val="002A5AEE"/>
    <w:rsid w:val="002A742E"/>
    <w:rsid w:val="002B3EF3"/>
    <w:rsid w:val="002B5B4D"/>
    <w:rsid w:val="002B6F15"/>
    <w:rsid w:val="002C4E3B"/>
    <w:rsid w:val="002C5407"/>
    <w:rsid w:val="002D02C3"/>
    <w:rsid w:val="002D1810"/>
    <w:rsid w:val="002D1C91"/>
    <w:rsid w:val="002D583D"/>
    <w:rsid w:val="002D7569"/>
    <w:rsid w:val="002E3796"/>
    <w:rsid w:val="002E655A"/>
    <w:rsid w:val="002E6D36"/>
    <w:rsid w:val="002F27BF"/>
    <w:rsid w:val="002F3099"/>
    <w:rsid w:val="002F32B4"/>
    <w:rsid w:val="00310AC2"/>
    <w:rsid w:val="00320DE9"/>
    <w:rsid w:val="00322A46"/>
    <w:rsid w:val="00330B97"/>
    <w:rsid w:val="003319AA"/>
    <w:rsid w:val="0033493D"/>
    <w:rsid w:val="00335212"/>
    <w:rsid w:val="00340A59"/>
    <w:rsid w:val="00341DDD"/>
    <w:rsid w:val="0034743F"/>
    <w:rsid w:val="003475EC"/>
    <w:rsid w:val="003476F1"/>
    <w:rsid w:val="00352B58"/>
    <w:rsid w:val="0035327D"/>
    <w:rsid w:val="00357497"/>
    <w:rsid w:val="003605DE"/>
    <w:rsid w:val="0036073A"/>
    <w:rsid w:val="0036489A"/>
    <w:rsid w:val="003720E9"/>
    <w:rsid w:val="003741FF"/>
    <w:rsid w:val="00374934"/>
    <w:rsid w:val="003846EB"/>
    <w:rsid w:val="00385FB2"/>
    <w:rsid w:val="00386291"/>
    <w:rsid w:val="00386C30"/>
    <w:rsid w:val="00386D40"/>
    <w:rsid w:val="00396719"/>
    <w:rsid w:val="00397E89"/>
    <w:rsid w:val="003A459D"/>
    <w:rsid w:val="003A4BE0"/>
    <w:rsid w:val="003A4F35"/>
    <w:rsid w:val="003A6C11"/>
    <w:rsid w:val="003B10CC"/>
    <w:rsid w:val="003B3D72"/>
    <w:rsid w:val="003B4D32"/>
    <w:rsid w:val="003B6720"/>
    <w:rsid w:val="003C0F16"/>
    <w:rsid w:val="003C1D97"/>
    <w:rsid w:val="003C41F8"/>
    <w:rsid w:val="003C56BD"/>
    <w:rsid w:val="003C6F87"/>
    <w:rsid w:val="003D3E0B"/>
    <w:rsid w:val="003D5AE9"/>
    <w:rsid w:val="003E07E4"/>
    <w:rsid w:val="003E56D1"/>
    <w:rsid w:val="003E79D7"/>
    <w:rsid w:val="003F05B9"/>
    <w:rsid w:val="003F0CDC"/>
    <w:rsid w:val="003F25E7"/>
    <w:rsid w:val="003F43E9"/>
    <w:rsid w:val="003F6201"/>
    <w:rsid w:val="003F73DC"/>
    <w:rsid w:val="004004B8"/>
    <w:rsid w:val="00401535"/>
    <w:rsid w:val="00402E90"/>
    <w:rsid w:val="00404B5B"/>
    <w:rsid w:val="00405185"/>
    <w:rsid w:val="004108E7"/>
    <w:rsid w:val="00411708"/>
    <w:rsid w:val="004146B8"/>
    <w:rsid w:val="00415A7A"/>
    <w:rsid w:val="00423B01"/>
    <w:rsid w:val="00423E1E"/>
    <w:rsid w:val="00424798"/>
    <w:rsid w:val="00427707"/>
    <w:rsid w:val="00432D16"/>
    <w:rsid w:val="00434195"/>
    <w:rsid w:val="00434F96"/>
    <w:rsid w:val="00443B0B"/>
    <w:rsid w:val="004545B5"/>
    <w:rsid w:val="00461D65"/>
    <w:rsid w:val="00463A45"/>
    <w:rsid w:val="004665A0"/>
    <w:rsid w:val="00466C82"/>
    <w:rsid w:val="00467D47"/>
    <w:rsid w:val="0047098E"/>
    <w:rsid w:val="00471CC6"/>
    <w:rsid w:val="0047593B"/>
    <w:rsid w:val="004817B0"/>
    <w:rsid w:val="004846AC"/>
    <w:rsid w:val="00486F35"/>
    <w:rsid w:val="00487791"/>
    <w:rsid w:val="00491B47"/>
    <w:rsid w:val="004A190B"/>
    <w:rsid w:val="004A3230"/>
    <w:rsid w:val="004A4E6E"/>
    <w:rsid w:val="004A58F9"/>
    <w:rsid w:val="004A5B95"/>
    <w:rsid w:val="004A6AD4"/>
    <w:rsid w:val="004B0D27"/>
    <w:rsid w:val="004B0E06"/>
    <w:rsid w:val="004B2A9A"/>
    <w:rsid w:val="004B4C9A"/>
    <w:rsid w:val="004C4C27"/>
    <w:rsid w:val="004C5CB3"/>
    <w:rsid w:val="004D22C1"/>
    <w:rsid w:val="004D3567"/>
    <w:rsid w:val="004E06B9"/>
    <w:rsid w:val="004E1BAD"/>
    <w:rsid w:val="004E3CE6"/>
    <w:rsid w:val="004E4799"/>
    <w:rsid w:val="004E4D61"/>
    <w:rsid w:val="004E66F3"/>
    <w:rsid w:val="004E6756"/>
    <w:rsid w:val="004F1ED0"/>
    <w:rsid w:val="004F3479"/>
    <w:rsid w:val="004F3D5B"/>
    <w:rsid w:val="004F4A7D"/>
    <w:rsid w:val="00503A0B"/>
    <w:rsid w:val="00505B30"/>
    <w:rsid w:val="005077D0"/>
    <w:rsid w:val="00520005"/>
    <w:rsid w:val="005238D9"/>
    <w:rsid w:val="00524DCC"/>
    <w:rsid w:val="00524E7E"/>
    <w:rsid w:val="00527519"/>
    <w:rsid w:val="005276E2"/>
    <w:rsid w:val="00533130"/>
    <w:rsid w:val="00534EB7"/>
    <w:rsid w:val="005362D3"/>
    <w:rsid w:val="00542DC8"/>
    <w:rsid w:val="005441BF"/>
    <w:rsid w:val="00554B7A"/>
    <w:rsid w:val="00555C3E"/>
    <w:rsid w:val="00556AD6"/>
    <w:rsid w:val="0055703F"/>
    <w:rsid w:val="00560CAD"/>
    <w:rsid w:val="00563F89"/>
    <w:rsid w:val="00564496"/>
    <w:rsid w:val="0056530D"/>
    <w:rsid w:val="00566C03"/>
    <w:rsid w:val="00570208"/>
    <w:rsid w:val="005806B1"/>
    <w:rsid w:val="0058086F"/>
    <w:rsid w:val="00586381"/>
    <w:rsid w:val="00590E1A"/>
    <w:rsid w:val="00595A19"/>
    <w:rsid w:val="005A21B8"/>
    <w:rsid w:val="005A51D3"/>
    <w:rsid w:val="005B015A"/>
    <w:rsid w:val="005B6EBB"/>
    <w:rsid w:val="005C1DB0"/>
    <w:rsid w:val="005C6553"/>
    <w:rsid w:val="005D3208"/>
    <w:rsid w:val="005D603E"/>
    <w:rsid w:val="005D6BDB"/>
    <w:rsid w:val="005E2449"/>
    <w:rsid w:val="005F1444"/>
    <w:rsid w:val="005F56E1"/>
    <w:rsid w:val="0060128C"/>
    <w:rsid w:val="00603F59"/>
    <w:rsid w:val="00604111"/>
    <w:rsid w:val="00606218"/>
    <w:rsid w:val="006066A6"/>
    <w:rsid w:val="006118E6"/>
    <w:rsid w:val="006241F6"/>
    <w:rsid w:val="006258B0"/>
    <w:rsid w:val="0062590B"/>
    <w:rsid w:val="00625BB6"/>
    <w:rsid w:val="006260AD"/>
    <w:rsid w:val="00630F4E"/>
    <w:rsid w:val="0064087D"/>
    <w:rsid w:val="00641AD4"/>
    <w:rsid w:val="0064312C"/>
    <w:rsid w:val="00647726"/>
    <w:rsid w:val="0065107A"/>
    <w:rsid w:val="0065273F"/>
    <w:rsid w:val="006531D9"/>
    <w:rsid w:val="00654AE2"/>
    <w:rsid w:val="00655BCA"/>
    <w:rsid w:val="0066117B"/>
    <w:rsid w:val="0066517D"/>
    <w:rsid w:val="006702F1"/>
    <w:rsid w:val="006739F3"/>
    <w:rsid w:val="006749F6"/>
    <w:rsid w:val="00674B12"/>
    <w:rsid w:val="00686F80"/>
    <w:rsid w:val="00687868"/>
    <w:rsid w:val="006925A7"/>
    <w:rsid w:val="006934EB"/>
    <w:rsid w:val="00693852"/>
    <w:rsid w:val="006A1CBD"/>
    <w:rsid w:val="006A254D"/>
    <w:rsid w:val="006A63D1"/>
    <w:rsid w:val="006A651B"/>
    <w:rsid w:val="006A7487"/>
    <w:rsid w:val="006B2592"/>
    <w:rsid w:val="006B6757"/>
    <w:rsid w:val="006C25C5"/>
    <w:rsid w:val="006C26B9"/>
    <w:rsid w:val="006C538B"/>
    <w:rsid w:val="006C60EB"/>
    <w:rsid w:val="006D141D"/>
    <w:rsid w:val="006D2C7B"/>
    <w:rsid w:val="006D7568"/>
    <w:rsid w:val="006E3862"/>
    <w:rsid w:val="006F0DBD"/>
    <w:rsid w:val="006F310D"/>
    <w:rsid w:val="006F3497"/>
    <w:rsid w:val="007025DE"/>
    <w:rsid w:val="0070370B"/>
    <w:rsid w:val="00704E53"/>
    <w:rsid w:val="0070572F"/>
    <w:rsid w:val="00715A3F"/>
    <w:rsid w:val="00716164"/>
    <w:rsid w:val="0071620C"/>
    <w:rsid w:val="00717D27"/>
    <w:rsid w:val="0072492A"/>
    <w:rsid w:val="007256AC"/>
    <w:rsid w:val="00727B1A"/>
    <w:rsid w:val="00727C27"/>
    <w:rsid w:val="00727EEB"/>
    <w:rsid w:val="00732473"/>
    <w:rsid w:val="00736E8D"/>
    <w:rsid w:val="007414E2"/>
    <w:rsid w:val="00743A21"/>
    <w:rsid w:val="00743DE2"/>
    <w:rsid w:val="007441BB"/>
    <w:rsid w:val="00745DE3"/>
    <w:rsid w:val="0074787B"/>
    <w:rsid w:val="00750AA3"/>
    <w:rsid w:val="00755AA6"/>
    <w:rsid w:val="00756C24"/>
    <w:rsid w:val="00762F28"/>
    <w:rsid w:val="007630BA"/>
    <w:rsid w:val="00765856"/>
    <w:rsid w:val="007703EF"/>
    <w:rsid w:val="007720A9"/>
    <w:rsid w:val="007729D8"/>
    <w:rsid w:val="00774E27"/>
    <w:rsid w:val="007764BB"/>
    <w:rsid w:val="00776523"/>
    <w:rsid w:val="00777449"/>
    <w:rsid w:val="00777E3B"/>
    <w:rsid w:val="00786D73"/>
    <w:rsid w:val="00787471"/>
    <w:rsid w:val="00791ECB"/>
    <w:rsid w:val="007A1326"/>
    <w:rsid w:val="007A2D3F"/>
    <w:rsid w:val="007A517F"/>
    <w:rsid w:val="007A59F4"/>
    <w:rsid w:val="007A7ABB"/>
    <w:rsid w:val="007B06F5"/>
    <w:rsid w:val="007B17F9"/>
    <w:rsid w:val="007B20F5"/>
    <w:rsid w:val="007B3D4F"/>
    <w:rsid w:val="007B54D7"/>
    <w:rsid w:val="007B5E9F"/>
    <w:rsid w:val="007B7112"/>
    <w:rsid w:val="007C64ED"/>
    <w:rsid w:val="007D055F"/>
    <w:rsid w:val="007D0BBA"/>
    <w:rsid w:val="007D258C"/>
    <w:rsid w:val="007D410D"/>
    <w:rsid w:val="007D5718"/>
    <w:rsid w:val="007E07F9"/>
    <w:rsid w:val="007E1810"/>
    <w:rsid w:val="007E77A7"/>
    <w:rsid w:val="007F04E5"/>
    <w:rsid w:val="00807AFC"/>
    <w:rsid w:val="008122B8"/>
    <w:rsid w:val="0081413B"/>
    <w:rsid w:val="00815B56"/>
    <w:rsid w:val="00816834"/>
    <w:rsid w:val="008171A0"/>
    <w:rsid w:val="0082659E"/>
    <w:rsid w:val="00830A4C"/>
    <w:rsid w:val="00834295"/>
    <w:rsid w:val="00840143"/>
    <w:rsid w:val="0084047A"/>
    <w:rsid w:val="008417A3"/>
    <w:rsid w:val="008420CC"/>
    <w:rsid w:val="00843FF7"/>
    <w:rsid w:val="008446EB"/>
    <w:rsid w:val="00845EEB"/>
    <w:rsid w:val="00846053"/>
    <w:rsid w:val="0084631C"/>
    <w:rsid w:val="00846F5D"/>
    <w:rsid w:val="008474F4"/>
    <w:rsid w:val="00847869"/>
    <w:rsid w:val="00850811"/>
    <w:rsid w:val="00851943"/>
    <w:rsid w:val="0085604E"/>
    <w:rsid w:val="00856618"/>
    <w:rsid w:val="00857E65"/>
    <w:rsid w:val="00871239"/>
    <w:rsid w:val="00872B60"/>
    <w:rsid w:val="008749D1"/>
    <w:rsid w:val="00875A18"/>
    <w:rsid w:val="008771F5"/>
    <w:rsid w:val="00891809"/>
    <w:rsid w:val="008932E9"/>
    <w:rsid w:val="00894F45"/>
    <w:rsid w:val="00895128"/>
    <w:rsid w:val="00897757"/>
    <w:rsid w:val="008A7525"/>
    <w:rsid w:val="008A76A4"/>
    <w:rsid w:val="008B01B6"/>
    <w:rsid w:val="008B0BCD"/>
    <w:rsid w:val="008B32FC"/>
    <w:rsid w:val="008B4ED1"/>
    <w:rsid w:val="008C5ACA"/>
    <w:rsid w:val="008D4EBC"/>
    <w:rsid w:val="008D5521"/>
    <w:rsid w:val="008E0FC7"/>
    <w:rsid w:val="008E3BA4"/>
    <w:rsid w:val="008E4284"/>
    <w:rsid w:val="008F5328"/>
    <w:rsid w:val="008F738A"/>
    <w:rsid w:val="009000AA"/>
    <w:rsid w:val="00900641"/>
    <w:rsid w:val="00906973"/>
    <w:rsid w:val="00907CEE"/>
    <w:rsid w:val="00910359"/>
    <w:rsid w:val="009146EB"/>
    <w:rsid w:val="009148BC"/>
    <w:rsid w:val="00915409"/>
    <w:rsid w:val="00921C74"/>
    <w:rsid w:val="00923BD2"/>
    <w:rsid w:val="00930D9F"/>
    <w:rsid w:val="00933876"/>
    <w:rsid w:val="00935A1D"/>
    <w:rsid w:val="00936BBD"/>
    <w:rsid w:val="009403C6"/>
    <w:rsid w:val="009419B9"/>
    <w:rsid w:val="00943BC4"/>
    <w:rsid w:val="00945BB8"/>
    <w:rsid w:val="009570B2"/>
    <w:rsid w:val="0096400D"/>
    <w:rsid w:val="00966633"/>
    <w:rsid w:val="00971B3E"/>
    <w:rsid w:val="00973488"/>
    <w:rsid w:val="00976F92"/>
    <w:rsid w:val="0097735B"/>
    <w:rsid w:val="009811A8"/>
    <w:rsid w:val="00981A7A"/>
    <w:rsid w:val="009840B9"/>
    <w:rsid w:val="00985D7A"/>
    <w:rsid w:val="00985ECA"/>
    <w:rsid w:val="009A07C6"/>
    <w:rsid w:val="009A75A2"/>
    <w:rsid w:val="009A7802"/>
    <w:rsid w:val="009A793C"/>
    <w:rsid w:val="009B1933"/>
    <w:rsid w:val="009C10E8"/>
    <w:rsid w:val="009C23BC"/>
    <w:rsid w:val="009C3657"/>
    <w:rsid w:val="009C3DA0"/>
    <w:rsid w:val="009C6D18"/>
    <w:rsid w:val="009D63BD"/>
    <w:rsid w:val="009E074A"/>
    <w:rsid w:val="009E13C6"/>
    <w:rsid w:val="009E4EEA"/>
    <w:rsid w:val="009F0665"/>
    <w:rsid w:val="009F1C3E"/>
    <w:rsid w:val="00A01E7E"/>
    <w:rsid w:val="00A03A5B"/>
    <w:rsid w:val="00A070B4"/>
    <w:rsid w:val="00A205B5"/>
    <w:rsid w:val="00A3004E"/>
    <w:rsid w:val="00A30D6D"/>
    <w:rsid w:val="00A311CE"/>
    <w:rsid w:val="00A402C1"/>
    <w:rsid w:val="00A43737"/>
    <w:rsid w:val="00A4394D"/>
    <w:rsid w:val="00A4519F"/>
    <w:rsid w:val="00A45740"/>
    <w:rsid w:val="00A51F0F"/>
    <w:rsid w:val="00A52AEE"/>
    <w:rsid w:val="00A57716"/>
    <w:rsid w:val="00A60065"/>
    <w:rsid w:val="00A64565"/>
    <w:rsid w:val="00A6475C"/>
    <w:rsid w:val="00A6632C"/>
    <w:rsid w:val="00A71A37"/>
    <w:rsid w:val="00A71D8C"/>
    <w:rsid w:val="00A72D13"/>
    <w:rsid w:val="00A7649C"/>
    <w:rsid w:val="00A80ABC"/>
    <w:rsid w:val="00A8622C"/>
    <w:rsid w:val="00A97665"/>
    <w:rsid w:val="00A978C7"/>
    <w:rsid w:val="00A97D67"/>
    <w:rsid w:val="00AA1697"/>
    <w:rsid w:val="00AA3669"/>
    <w:rsid w:val="00AA5D02"/>
    <w:rsid w:val="00AA72AD"/>
    <w:rsid w:val="00AB1CC0"/>
    <w:rsid w:val="00AB2128"/>
    <w:rsid w:val="00AB3465"/>
    <w:rsid w:val="00AB4B6C"/>
    <w:rsid w:val="00AB6001"/>
    <w:rsid w:val="00AC4BD8"/>
    <w:rsid w:val="00AD4282"/>
    <w:rsid w:val="00AD4E2B"/>
    <w:rsid w:val="00AD7881"/>
    <w:rsid w:val="00AE1DF4"/>
    <w:rsid w:val="00AE3191"/>
    <w:rsid w:val="00AE4D05"/>
    <w:rsid w:val="00AF53C4"/>
    <w:rsid w:val="00AF7208"/>
    <w:rsid w:val="00AF73F8"/>
    <w:rsid w:val="00B00572"/>
    <w:rsid w:val="00B04CAB"/>
    <w:rsid w:val="00B122ED"/>
    <w:rsid w:val="00B14F74"/>
    <w:rsid w:val="00B15F55"/>
    <w:rsid w:val="00B15FDA"/>
    <w:rsid w:val="00B17010"/>
    <w:rsid w:val="00B17094"/>
    <w:rsid w:val="00B21C3D"/>
    <w:rsid w:val="00B25250"/>
    <w:rsid w:val="00B2609A"/>
    <w:rsid w:val="00B30CFD"/>
    <w:rsid w:val="00B33122"/>
    <w:rsid w:val="00B337B6"/>
    <w:rsid w:val="00B35B72"/>
    <w:rsid w:val="00B371C8"/>
    <w:rsid w:val="00B404F6"/>
    <w:rsid w:val="00B40753"/>
    <w:rsid w:val="00B40C4B"/>
    <w:rsid w:val="00B434C4"/>
    <w:rsid w:val="00B4469D"/>
    <w:rsid w:val="00B46714"/>
    <w:rsid w:val="00B4721C"/>
    <w:rsid w:val="00B524F2"/>
    <w:rsid w:val="00B60E93"/>
    <w:rsid w:val="00B64190"/>
    <w:rsid w:val="00B64833"/>
    <w:rsid w:val="00B715B0"/>
    <w:rsid w:val="00B716B1"/>
    <w:rsid w:val="00B73672"/>
    <w:rsid w:val="00B73ABC"/>
    <w:rsid w:val="00B74494"/>
    <w:rsid w:val="00B7466C"/>
    <w:rsid w:val="00B75986"/>
    <w:rsid w:val="00B7620B"/>
    <w:rsid w:val="00B77236"/>
    <w:rsid w:val="00B81244"/>
    <w:rsid w:val="00B8133B"/>
    <w:rsid w:val="00B815B7"/>
    <w:rsid w:val="00B8412B"/>
    <w:rsid w:val="00B86773"/>
    <w:rsid w:val="00B87A80"/>
    <w:rsid w:val="00B903F6"/>
    <w:rsid w:val="00B949A0"/>
    <w:rsid w:val="00B96E24"/>
    <w:rsid w:val="00BA21A1"/>
    <w:rsid w:val="00BA2481"/>
    <w:rsid w:val="00BA7354"/>
    <w:rsid w:val="00BB23AF"/>
    <w:rsid w:val="00BB687C"/>
    <w:rsid w:val="00BB7677"/>
    <w:rsid w:val="00BB7A09"/>
    <w:rsid w:val="00BC101F"/>
    <w:rsid w:val="00BC467D"/>
    <w:rsid w:val="00BC4A3B"/>
    <w:rsid w:val="00BC7143"/>
    <w:rsid w:val="00BC7F95"/>
    <w:rsid w:val="00BD00A9"/>
    <w:rsid w:val="00BD025C"/>
    <w:rsid w:val="00BD5FD8"/>
    <w:rsid w:val="00BE0C52"/>
    <w:rsid w:val="00BE558E"/>
    <w:rsid w:val="00BE75FE"/>
    <w:rsid w:val="00BF1801"/>
    <w:rsid w:val="00BF2DED"/>
    <w:rsid w:val="00BF4A35"/>
    <w:rsid w:val="00BF4B19"/>
    <w:rsid w:val="00BF5DE7"/>
    <w:rsid w:val="00BF79C2"/>
    <w:rsid w:val="00C00C73"/>
    <w:rsid w:val="00C03C73"/>
    <w:rsid w:val="00C03DAF"/>
    <w:rsid w:val="00C04B3C"/>
    <w:rsid w:val="00C10D34"/>
    <w:rsid w:val="00C11CBA"/>
    <w:rsid w:val="00C11D2C"/>
    <w:rsid w:val="00C122B1"/>
    <w:rsid w:val="00C12663"/>
    <w:rsid w:val="00C20527"/>
    <w:rsid w:val="00C20E84"/>
    <w:rsid w:val="00C22845"/>
    <w:rsid w:val="00C22EC5"/>
    <w:rsid w:val="00C32F65"/>
    <w:rsid w:val="00C4247C"/>
    <w:rsid w:val="00C43060"/>
    <w:rsid w:val="00C46DE4"/>
    <w:rsid w:val="00C565D4"/>
    <w:rsid w:val="00C576F0"/>
    <w:rsid w:val="00C603FD"/>
    <w:rsid w:val="00C61027"/>
    <w:rsid w:val="00C63026"/>
    <w:rsid w:val="00C70A85"/>
    <w:rsid w:val="00C71297"/>
    <w:rsid w:val="00C72035"/>
    <w:rsid w:val="00C722A4"/>
    <w:rsid w:val="00C72D87"/>
    <w:rsid w:val="00C72E20"/>
    <w:rsid w:val="00C83DE8"/>
    <w:rsid w:val="00C902E5"/>
    <w:rsid w:val="00C90B12"/>
    <w:rsid w:val="00C91F68"/>
    <w:rsid w:val="00C9378B"/>
    <w:rsid w:val="00C94BFA"/>
    <w:rsid w:val="00CA04CA"/>
    <w:rsid w:val="00CA484C"/>
    <w:rsid w:val="00CA525B"/>
    <w:rsid w:val="00CA6405"/>
    <w:rsid w:val="00CA65E5"/>
    <w:rsid w:val="00CA6781"/>
    <w:rsid w:val="00CB2E03"/>
    <w:rsid w:val="00CB50FF"/>
    <w:rsid w:val="00CB5255"/>
    <w:rsid w:val="00CB6D57"/>
    <w:rsid w:val="00CC0221"/>
    <w:rsid w:val="00CC0B0B"/>
    <w:rsid w:val="00CC1472"/>
    <w:rsid w:val="00CC3758"/>
    <w:rsid w:val="00CC42EF"/>
    <w:rsid w:val="00CC44AE"/>
    <w:rsid w:val="00CD0D17"/>
    <w:rsid w:val="00CD1A32"/>
    <w:rsid w:val="00CD27ED"/>
    <w:rsid w:val="00CD33D3"/>
    <w:rsid w:val="00CD4E31"/>
    <w:rsid w:val="00CD6586"/>
    <w:rsid w:val="00CF20FA"/>
    <w:rsid w:val="00CF64DF"/>
    <w:rsid w:val="00D00278"/>
    <w:rsid w:val="00D00B98"/>
    <w:rsid w:val="00D01271"/>
    <w:rsid w:val="00D02B80"/>
    <w:rsid w:val="00D034D4"/>
    <w:rsid w:val="00D074BA"/>
    <w:rsid w:val="00D11BB4"/>
    <w:rsid w:val="00D13F50"/>
    <w:rsid w:val="00D144CD"/>
    <w:rsid w:val="00D20324"/>
    <w:rsid w:val="00D21CA5"/>
    <w:rsid w:val="00D25EDB"/>
    <w:rsid w:val="00D2735B"/>
    <w:rsid w:val="00D37A4C"/>
    <w:rsid w:val="00D422FB"/>
    <w:rsid w:val="00D42BA1"/>
    <w:rsid w:val="00D436D4"/>
    <w:rsid w:val="00D456F0"/>
    <w:rsid w:val="00D5371D"/>
    <w:rsid w:val="00D55FAF"/>
    <w:rsid w:val="00D57A4C"/>
    <w:rsid w:val="00D60B8B"/>
    <w:rsid w:val="00D6193B"/>
    <w:rsid w:val="00D67750"/>
    <w:rsid w:val="00D71820"/>
    <w:rsid w:val="00D72CC9"/>
    <w:rsid w:val="00D72E0E"/>
    <w:rsid w:val="00D74A85"/>
    <w:rsid w:val="00D757B9"/>
    <w:rsid w:val="00D75980"/>
    <w:rsid w:val="00D75AC3"/>
    <w:rsid w:val="00D762DD"/>
    <w:rsid w:val="00D809EE"/>
    <w:rsid w:val="00D80D59"/>
    <w:rsid w:val="00D815C5"/>
    <w:rsid w:val="00D85FDA"/>
    <w:rsid w:val="00D923C7"/>
    <w:rsid w:val="00D93935"/>
    <w:rsid w:val="00D9499B"/>
    <w:rsid w:val="00D96F33"/>
    <w:rsid w:val="00D97D91"/>
    <w:rsid w:val="00DA06BA"/>
    <w:rsid w:val="00DA1B68"/>
    <w:rsid w:val="00DA2043"/>
    <w:rsid w:val="00DA3BD3"/>
    <w:rsid w:val="00DA666B"/>
    <w:rsid w:val="00DA7173"/>
    <w:rsid w:val="00DB276D"/>
    <w:rsid w:val="00DB3550"/>
    <w:rsid w:val="00DB372E"/>
    <w:rsid w:val="00DB3E60"/>
    <w:rsid w:val="00DB7465"/>
    <w:rsid w:val="00DB7CC3"/>
    <w:rsid w:val="00DC1D18"/>
    <w:rsid w:val="00DD0468"/>
    <w:rsid w:val="00DD34DD"/>
    <w:rsid w:val="00DD5774"/>
    <w:rsid w:val="00DD7C6C"/>
    <w:rsid w:val="00DE02EF"/>
    <w:rsid w:val="00DF01D4"/>
    <w:rsid w:val="00DF0E0A"/>
    <w:rsid w:val="00DF3909"/>
    <w:rsid w:val="00DF3919"/>
    <w:rsid w:val="00E05D41"/>
    <w:rsid w:val="00E066D9"/>
    <w:rsid w:val="00E06734"/>
    <w:rsid w:val="00E10C7C"/>
    <w:rsid w:val="00E11570"/>
    <w:rsid w:val="00E1480D"/>
    <w:rsid w:val="00E15C4D"/>
    <w:rsid w:val="00E17EC1"/>
    <w:rsid w:val="00E20C2D"/>
    <w:rsid w:val="00E20D88"/>
    <w:rsid w:val="00E24520"/>
    <w:rsid w:val="00E24E47"/>
    <w:rsid w:val="00E258E2"/>
    <w:rsid w:val="00E27507"/>
    <w:rsid w:val="00E32B77"/>
    <w:rsid w:val="00E465ED"/>
    <w:rsid w:val="00E54E5A"/>
    <w:rsid w:val="00E62FBB"/>
    <w:rsid w:val="00E70644"/>
    <w:rsid w:val="00E773A3"/>
    <w:rsid w:val="00E777E7"/>
    <w:rsid w:val="00E81A98"/>
    <w:rsid w:val="00E82823"/>
    <w:rsid w:val="00E84A47"/>
    <w:rsid w:val="00E84C2A"/>
    <w:rsid w:val="00E85ADC"/>
    <w:rsid w:val="00E862FD"/>
    <w:rsid w:val="00E86A35"/>
    <w:rsid w:val="00E86ED1"/>
    <w:rsid w:val="00EA17C9"/>
    <w:rsid w:val="00EA49B9"/>
    <w:rsid w:val="00EA66E8"/>
    <w:rsid w:val="00EB736B"/>
    <w:rsid w:val="00EC00D0"/>
    <w:rsid w:val="00EC0227"/>
    <w:rsid w:val="00EC223D"/>
    <w:rsid w:val="00EC2B2A"/>
    <w:rsid w:val="00EC702D"/>
    <w:rsid w:val="00ED29D7"/>
    <w:rsid w:val="00ED7739"/>
    <w:rsid w:val="00EE5B5D"/>
    <w:rsid w:val="00EF0B14"/>
    <w:rsid w:val="00EF2EA3"/>
    <w:rsid w:val="00EF3CB5"/>
    <w:rsid w:val="00F06FA4"/>
    <w:rsid w:val="00F11966"/>
    <w:rsid w:val="00F15F92"/>
    <w:rsid w:val="00F172EC"/>
    <w:rsid w:val="00F17C07"/>
    <w:rsid w:val="00F26531"/>
    <w:rsid w:val="00F314EF"/>
    <w:rsid w:val="00F367A3"/>
    <w:rsid w:val="00F37621"/>
    <w:rsid w:val="00F41C71"/>
    <w:rsid w:val="00F42358"/>
    <w:rsid w:val="00F44FA3"/>
    <w:rsid w:val="00F4702D"/>
    <w:rsid w:val="00F51BBB"/>
    <w:rsid w:val="00F5288C"/>
    <w:rsid w:val="00F52C75"/>
    <w:rsid w:val="00F56B91"/>
    <w:rsid w:val="00F61909"/>
    <w:rsid w:val="00F627D5"/>
    <w:rsid w:val="00F634C9"/>
    <w:rsid w:val="00F639DB"/>
    <w:rsid w:val="00F67B63"/>
    <w:rsid w:val="00F76FC8"/>
    <w:rsid w:val="00F85072"/>
    <w:rsid w:val="00F85DA7"/>
    <w:rsid w:val="00F86FDB"/>
    <w:rsid w:val="00F911EC"/>
    <w:rsid w:val="00F95473"/>
    <w:rsid w:val="00FA22C6"/>
    <w:rsid w:val="00FA256B"/>
    <w:rsid w:val="00FA4FDC"/>
    <w:rsid w:val="00FB21DE"/>
    <w:rsid w:val="00FB3B19"/>
    <w:rsid w:val="00FB52BE"/>
    <w:rsid w:val="00FB650E"/>
    <w:rsid w:val="00FC1553"/>
    <w:rsid w:val="00FC191F"/>
    <w:rsid w:val="00FD0144"/>
    <w:rsid w:val="00FD6E24"/>
    <w:rsid w:val="00FD70F9"/>
    <w:rsid w:val="00FD74B9"/>
    <w:rsid w:val="00FE2D2B"/>
    <w:rsid w:val="00FE4066"/>
    <w:rsid w:val="00FE699E"/>
    <w:rsid w:val="00FF02DB"/>
    <w:rsid w:val="00FF6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1F0E9"/>
  <w15:chartTrackingRefBased/>
  <w15:docId w15:val="{AD4CB2AB-2AFD-0B47-B404-84CAD2E2F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935"/>
    <w:rPr>
      <w:rFonts w:eastAsiaTheme="majorEastAsia" w:cstheme="majorBidi"/>
      <w:color w:val="272727" w:themeColor="text1" w:themeTint="D8"/>
    </w:rPr>
  </w:style>
  <w:style w:type="paragraph" w:styleId="Title">
    <w:name w:val="Title"/>
    <w:basedOn w:val="Normal"/>
    <w:next w:val="Normal"/>
    <w:link w:val="TitleChar"/>
    <w:uiPriority w:val="10"/>
    <w:qFormat/>
    <w:rsid w:val="00D93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935"/>
    <w:pPr>
      <w:spacing w:before="160"/>
      <w:jc w:val="center"/>
    </w:pPr>
    <w:rPr>
      <w:i/>
      <w:iCs/>
      <w:color w:val="404040" w:themeColor="text1" w:themeTint="BF"/>
    </w:rPr>
  </w:style>
  <w:style w:type="character" w:customStyle="1" w:styleId="QuoteChar">
    <w:name w:val="Quote Char"/>
    <w:basedOn w:val="DefaultParagraphFont"/>
    <w:link w:val="Quote"/>
    <w:uiPriority w:val="29"/>
    <w:rsid w:val="00D93935"/>
    <w:rPr>
      <w:i/>
      <w:iCs/>
      <w:color w:val="404040" w:themeColor="text1" w:themeTint="BF"/>
    </w:rPr>
  </w:style>
  <w:style w:type="paragraph" w:styleId="ListParagraph">
    <w:name w:val="List Paragraph"/>
    <w:basedOn w:val="Normal"/>
    <w:uiPriority w:val="34"/>
    <w:qFormat/>
    <w:rsid w:val="00D93935"/>
    <w:pPr>
      <w:ind w:left="720"/>
      <w:contextualSpacing/>
    </w:pPr>
  </w:style>
  <w:style w:type="character" w:styleId="IntenseEmphasis">
    <w:name w:val="Intense Emphasis"/>
    <w:basedOn w:val="DefaultParagraphFont"/>
    <w:uiPriority w:val="21"/>
    <w:qFormat/>
    <w:rsid w:val="00D93935"/>
    <w:rPr>
      <w:i/>
      <w:iCs/>
      <w:color w:val="0F4761" w:themeColor="accent1" w:themeShade="BF"/>
    </w:rPr>
  </w:style>
  <w:style w:type="paragraph" w:styleId="IntenseQuote">
    <w:name w:val="Intense Quote"/>
    <w:basedOn w:val="Normal"/>
    <w:next w:val="Normal"/>
    <w:link w:val="IntenseQuoteChar"/>
    <w:uiPriority w:val="30"/>
    <w:qFormat/>
    <w:rsid w:val="00D93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935"/>
    <w:rPr>
      <w:i/>
      <w:iCs/>
      <w:color w:val="0F4761" w:themeColor="accent1" w:themeShade="BF"/>
    </w:rPr>
  </w:style>
  <w:style w:type="character" w:styleId="IntenseReference">
    <w:name w:val="Intense Reference"/>
    <w:basedOn w:val="DefaultParagraphFont"/>
    <w:uiPriority w:val="32"/>
    <w:qFormat/>
    <w:rsid w:val="00D93935"/>
    <w:rPr>
      <w:b/>
      <w:bCs/>
      <w:smallCaps/>
      <w:color w:val="0F4761" w:themeColor="accent1" w:themeShade="BF"/>
      <w:spacing w:val="5"/>
    </w:rPr>
  </w:style>
  <w:style w:type="character" w:styleId="Hyperlink">
    <w:name w:val="Hyperlink"/>
    <w:basedOn w:val="DefaultParagraphFont"/>
    <w:uiPriority w:val="99"/>
    <w:unhideWhenUsed/>
    <w:rsid w:val="007256AC"/>
    <w:rPr>
      <w:color w:val="467886" w:themeColor="hyperlink"/>
      <w:u w:val="single"/>
    </w:rPr>
  </w:style>
  <w:style w:type="character" w:styleId="UnresolvedMention">
    <w:name w:val="Unresolved Mention"/>
    <w:basedOn w:val="DefaultParagraphFont"/>
    <w:uiPriority w:val="99"/>
    <w:semiHidden/>
    <w:unhideWhenUsed/>
    <w:rsid w:val="007256AC"/>
    <w:rPr>
      <w:color w:val="605E5C"/>
      <w:shd w:val="clear" w:color="auto" w:fill="E1DFDD"/>
    </w:rPr>
  </w:style>
  <w:style w:type="paragraph" w:styleId="Caption">
    <w:name w:val="caption"/>
    <w:basedOn w:val="Normal"/>
    <w:next w:val="Normal"/>
    <w:uiPriority w:val="35"/>
    <w:unhideWhenUsed/>
    <w:qFormat/>
    <w:rsid w:val="00070505"/>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8E0FC7"/>
    <w:pPr>
      <w:spacing w:after="0"/>
      <w:jc w:val="center"/>
    </w:pPr>
    <w:rPr>
      <w:rFonts w:ascii="Aptos" w:hAnsi="Aptos"/>
    </w:rPr>
  </w:style>
  <w:style w:type="character" w:customStyle="1" w:styleId="EndNoteBibliographyTitleChar">
    <w:name w:val="EndNote Bibliography Title Char"/>
    <w:basedOn w:val="DefaultParagraphFont"/>
    <w:link w:val="EndNoteBibliographyTitle"/>
    <w:rsid w:val="008E0FC7"/>
    <w:rPr>
      <w:rFonts w:ascii="Aptos" w:hAnsi="Aptos"/>
    </w:rPr>
  </w:style>
  <w:style w:type="paragraph" w:customStyle="1" w:styleId="EndNoteBibliography">
    <w:name w:val="EndNote Bibliography"/>
    <w:basedOn w:val="Normal"/>
    <w:link w:val="EndNoteBibliographyChar"/>
    <w:rsid w:val="008E0FC7"/>
    <w:pPr>
      <w:spacing w:line="240" w:lineRule="auto"/>
    </w:pPr>
    <w:rPr>
      <w:rFonts w:ascii="Aptos" w:hAnsi="Aptos"/>
    </w:rPr>
  </w:style>
  <w:style w:type="character" w:customStyle="1" w:styleId="EndNoteBibliographyChar">
    <w:name w:val="EndNote Bibliography Char"/>
    <w:basedOn w:val="DefaultParagraphFont"/>
    <w:link w:val="EndNoteBibliography"/>
    <w:rsid w:val="008E0FC7"/>
    <w:rPr>
      <w:rFonts w:ascii="Aptos" w:hAnsi="Aptos"/>
    </w:rPr>
  </w:style>
  <w:style w:type="table" w:styleId="TableGrid">
    <w:name w:val="Table Grid"/>
    <w:basedOn w:val="TableNormal"/>
    <w:uiPriority w:val="39"/>
    <w:rsid w:val="00586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809A4"/>
    <w:rPr>
      <w:color w:val="666666"/>
    </w:rPr>
  </w:style>
  <w:style w:type="character" w:styleId="CommentReference">
    <w:name w:val="annotation reference"/>
    <w:basedOn w:val="DefaultParagraphFont"/>
    <w:uiPriority w:val="99"/>
    <w:semiHidden/>
    <w:unhideWhenUsed/>
    <w:rsid w:val="00DE02EF"/>
    <w:rPr>
      <w:sz w:val="16"/>
      <w:szCs w:val="16"/>
    </w:rPr>
  </w:style>
  <w:style w:type="paragraph" w:styleId="CommentText">
    <w:name w:val="annotation text"/>
    <w:basedOn w:val="Normal"/>
    <w:link w:val="CommentTextChar"/>
    <w:uiPriority w:val="99"/>
    <w:semiHidden/>
    <w:unhideWhenUsed/>
    <w:rsid w:val="00DE02EF"/>
    <w:pPr>
      <w:spacing w:line="240" w:lineRule="auto"/>
    </w:pPr>
    <w:rPr>
      <w:sz w:val="20"/>
      <w:szCs w:val="20"/>
    </w:rPr>
  </w:style>
  <w:style w:type="character" w:customStyle="1" w:styleId="CommentTextChar">
    <w:name w:val="Comment Text Char"/>
    <w:basedOn w:val="DefaultParagraphFont"/>
    <w:link w:val="CommentText"/>
    <w:uiPriority w:val="99"/>
    <w:semiHidden/>
    <w:rsid w:val="00DE02EF"/>
    <w:rPr>
      <w:sz w:val="20"/>
      <w:szCs w:val="20"/>
    </w:rPr>
  </w:style>
  <w:style w:type="paragraph" w:styleId="CommentSubject">
    <w:name w:val="annotation subject"/>
    <w:basedOn w:val="CommentText"/>
    <w:next w:val="CommentText"/>
    <w:link w:val="CommentSubjectChar"/>
    <w:uiPriority w:val="99"/>
    <w:semiHidden/>
    <w:unhideWhenUsed/>
    <w:rsid w:val="00DE02EF"/>
    <w:rPr>
      <w:b/>
      <w:bCs/>
    </w:rPr>
  </w:style>
  <w:style w:type="character" w:customStyle="1" w:styleId="CommentSubjectChar">
    <w:name w:val="Comment Subject Char"/>
    <w:basedOn w:val="CommentTextChar"/>
    <w:link w:val="CommentSubject"/>
    <w:uiPriority w:val="99"/>
    <w:semiHidden/>
    <w:rsid w:val="00DE02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s://doi.org/10.1017/s0140525x11000446" TargetMode="External"/><Relationship Id="rId3" Type="http://schemas.openxmlformats.org/officeDocument/2006/relationships/webSettings" Target="webSettings.xml"/><Relationship Id="rId7" Type="http://schemas.openxmlformats.org/officeDocument/2006/relationships/hyperlink" Target="https://midus.wisc.edu/" TargetMode="External"/><Relationship Id="rId12" Type="http://schemas.openxmlformats.org/officeDocument/2006/relationships/image" Target="media/image5.tiff"/><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github.com/adamgeorgeturnbull/MIDUS_AMYGDALA_PERSISTENCE" TargetMode="External"/><Relationship Id="rId11" Type="http://schemas.openxmlformats.org/officeDocument/2006/relationships/image" Target="media/image4.tiff"/><Relationship Id="rId5" Type="http://schemas.openxmlformats.org/officeDocument/2006/relationships/hyperlink" Target="https://www.icpsr.umich.edu/web/NACDA/studies/38862" TargetMode="External"/><Relationship Id="rId15" Type="http://schemas.openxmlformats.org/officeDocument/2006/relationships/fontTable" Target="fontTable.xml"/><Relationship Id="rId10" Type="http://schemas.openxmlformats.org/officeDocument/2006/relationships/image" Target="media/image3.tiff"/><Relationship Id="rId4" Type="http://schemas.openxmlformats.org/officeDocument/2006/relationships/hyperlink" Target="mailto:aturnbu2@stanford.edu" TargetMode="External"/><Relationship Id="rId9" Type="http://schemas.openxmlformats.org/officeDocument/2006/relationships/image" Target="media/image2.tiff"/><Relationship Id="rId14" Type="http://schemas.openxmlformats.org/officeDocument/2006/relationships/hyperlink" Target="https://doi.org/10.1111/j.1749-6632.2012.06471.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2045</TotalTime>
  <Pages>25</Pages>
  <Words>10188</Words>
  <Characters>58074</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George Turnbull</dc:creator>
  <cp:keywords/>
  <dc:description/>
  <cp:lastModifiedBy>Adam George Turnbull</cp:lastModifiedBy>
  <cp:revision>1045</cp:revision>
  <dcterms:created xsi:type="dcterms:W3CDTF">2026-03-20T16:01:00Z</dcterms:created>
  <dcterms:modified xsi:type="dcterms:W3CDTF">2026-09-22T19:31:00Z</dcterms:modified>
</cp:coreProperties>
</file>