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Staroveký Egypt :</w:t>
      </w:r>
    </w:p>
    <w:tbl>
      <w:tblPr>
        <w:tblStyle w:val="Mriekatabuky"/>
        <w:tblW w:w="129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233"/>
        <w:gridCol w:w="3065"/>
        <w:gridCol w:w="6673"/>
      </w:tblGrid>
      <w:tr>
        <w:trPr>
          <w:trHeight w:val="1146" w:hRule="atLeast"/>
        </w:trPr>
        <w:tc>
          <w:tcPr>
            <w:tcW w:w="3233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color w:val="FF0000"/>
                <w:sz w:val="32"/>
                <w:highlight w:val="yellow"/>
              </w:rPr>
            </w:pPr>
            <w:r>
              <w:rPr>
                <w:b/>
                <w:color w:val="FF0000"/>
                <w:sz w:val="32"/>
                <w:highlight w:val="yellow"/>
              </w:rPr>
              <w:t>Obdobie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color w:val="FF0000"/>
                <w:sz w:val="32"/>
                <w:highlight w:val="yellow"/>
              </w:rPr>
            </w:pPr>
            <w:r>
              <w:rPr>
                <w:b/>
                <w:color w:val="FF0000"/>
                <w:sz w:val="32"/>
                <w:highlight w:val="yellow"/>
              </w:rPr>
              <w:t>/ od – do /</w:t>
            </w:r>
          </w:p>
        </w:tc>
        <w:tc>
          <w:tcPr>
            <w:tcW w:w="306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color w:val="FF0000"/>
                <w:sz w:val="32"/>
                <w:highlight w:val="yellow"/>
              </w:rPr>
            </w:pPr>
            <w:r>
              <w:rPr>
                <w:b/>
                <w:color w:val="FF0000"/>
                <w:sz w:val="32"/>
                <w:highlight w:val="yellow"/>
              </w:rPr>
              <w:t>najvýznamnejší vládcovia - faraóni</w:t>
            </w:r>
          </w:p>
        </w:tc>
        <w:tc>
          <w:tcPr>
            <w:tcW w:w="667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color w:val="FF0000"/>
                <w:sz w:val="32"/>
                <w:highlight w:val="yellow"/>
              </w:rPr>
            </w:pPr>
            <w:r>
              <w:rPr>
                <w:b/>
                <w:color w:val="FF0000"/>
                <w:sz w:val="32"/>
                <w:highlight w:val="yellow"/>
              </w:rPr>
              <w:t>udalosti , charakteristika obdobia, reformy</w:t>
            </w:r>
          </w:p>
        </w:tc>
      </w:tr>
      <w:tr>
        <w:trPr>
          <w:trHeight w:val="1146" w:hRule="atLeast"/>
        </w:trPr>
        <w:tc>
          <w:tcPr>
            <w:tcW w:w="3233" w:type="dxa"/>
            <w:tcBorders/>
          </w:tcPr>
          <w:p>
            <w:pPr>
              <w:pStyle w:val="ListParagraph"/>
              <w:numPr>
                <w:ilvl w:val="0"/>
                <w:numId w:val="3"/>
              </w:numPr>
              <w:spacing w:lineRule="auto" w:line="240" w:before="0" w:after="0"/>
              <w:contextualSpacing/>
              <w:rPr>
                <w:b/>
                <w:b/>
                <w:color w:val="FF0000"/>
                <w:sz w:val="32"/>
                <w:highlight w:val="yellow"/>
              </w:rPr>
            </w:pPr>
            <w:r>
              <w:rPr>
                <w:b/>
                <w:color w:val="FF0000"/>
                <w:sz w:val="32"/>
                <w:highlight w:val="yellow"/>
              </w:rPr>
              <w:t xml:space="preserve">Ranná dynastia </w:t>
            </w:r>
          </w:p>
          <w:p>
            <w:pPr>
              <w:pStyle w:val="Normal"/>
              <w:spacing w:lineRule="auto" w:line="240" w:before="0" w:after="0"/>
              <w:rPr>
                <w:color w:val="FF0000"/>
                <w:sz w:val="32"/>
                <w:highlight w:val="yellow"/>
              </w:rPr>
            </w:pPr>
            <w:r>
              <w:rPr>
                <w:sz w:val="32"/>
                <w:highlight w:val="yellow"/>
              </w:rPr>
              <w:t>/3100 – 2700 pnl/</w:t>
            </w:r>
          </w:p>
        </w:tc>
        <w:tc>
          <w:tcPr>
            <w:tcW w:w="306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color w:val="FF0000"/>
                <w:sz w:val="32"/>
              </w:rPr>
            </w:pPr>
            <w:r>
              <w:rPr>
                <w:b/>
                <w:color w:val="FF0000"/>
                <w:sz w:val="32"/>
              </w:rPr>
              <w:t xml:space="preserve">Meni </w:t>
            </w:r>
          </w:p>
        </w:tc>
        <w:tc>
          <w:tcPr>
            <w:tcW w:w="667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 xml:space="preserve">zjednotiteľ : Horný a Dolný Egypt 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color w:val="FF0000"/>
                <w:sz w:val="32"/>
              </w:rPr>
            </w:pPr>
            <w:r>
              <w:rPr>
                <w:b/>
                <w:sz w:val="24"/>
              </w:rPr>
              <w:t>hl. mesto Menofer/ Memfis/</w:t>
            </w:r>
          </w:p>
        </w:tc>
      </w:tr>
      <w:tr>
        <w:trPr>
          <w:trHeight w:val="1146" w:hRule="atLeast"/>
        </w:trPr>
        <w:tc>
          <w:tcPr>
            <w:tcW w:w="3233" w:type="dxa"/>
            <w:tcBorders/>
          </w:tcPr>
          <w:p>
            <w:pPr>
              <w:pStyle w:val="ListParagraph"/>
              <w:numPr>
                <w:ilvl w:val="0"/>
                <w:numId w:val="2"/>
              </w:numPr>
              <w:spacing w:lineRule="auto" w:line="240" w:before="0" w:after="0"/>
              <w:contextualSpacing/>
              <w:rPr>
                <w:b/>
                <w:b/>
                <w:color w:val="FF0000"/>
                <w:sz w:val="36"/>
                <w:highlight w:val="yellow"/>
              </w:rPr>
            </w:pPr>
            <w:r>
              <w:rPr>
                <w:b/>
                <w:color w:val="FF0000"/>
                <w:sz w:val="36"/>
                <w:highlight w:val="yellow"/>
              </w:rPr>
              <w:t xml:space="preserve">Stará ríša 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32"/>
                <w:highlight w:val="yellow"/>
              </w:rPr>
            </w:pPr>
            <w:r>
              <w:rPr>
                <w:b/>
                <w:sz w:val="32"/>
                <w:highlight w:val="yellow"/>
              </w:rPr>
              <w:t>/ 2700 – 2180 pnl/</w:t>
            </w:r>
          </w:p>
        </w:tc>
        <w:tc>
          <w:tcPr>
            <w:tcW w:w="306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color w:val="FF0000"/>
                <w:sz w:val="32"/>
              </w:rPr>
            </w:pPr>
            <w:r>
              <w:rPr>
                <w:b/>
                <w:color w:val="FF0000"/>
                <w:sz w:val="32"/>
              </w:rPr>
              <w:t xml:space="preserve">Džóser, Cheops 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52"/>
                <w:szCs w:val="52"/>
              </w:rPr>
            </w:pPr>
            <w:r>
              <w:rPr>
                <w:b/>
                <w:sz w:val="52"/>
                <w:szCs w:val="52"/>
              </w:rPr>
            </w:r>
          </w:p>
        </w:tc>
        <w:tc>
          <w:tcPr>
            <w:tcW w:w="667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 xml:space="preserve">monumentálne hrobky – pyramídy 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4"/>
              </w:rPr>
            </w:pPr>
            <w:r>
              <w:rPr/>
              <w:drawing>
                <wp:inline distT="0" distB="0" distL="114935" distR="114935">
                  <wp:extent cx="1620520" cy="1074420"/>
                  <wp:effectExtent l="0" t="0" r="0" b="0"/>
                  <wp:docPr id="1" name="Obrázok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brázok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52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L="114935" distR="114935">
                  <wp:extent cx="1493520" cy="1084580"/>
                  <wp:effectExtent l="0" t="0" r="0" b="0"/>
                  <wp:docPr id="2" name="Obrázok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rázok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mastaba – stupňovitá p. – ihlanovitá p.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Menofer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rozdelenie – 38 nomov – nomocher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 xml:space="preserve">diferenciácia spoločnosti – pyramída 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16"/>
              </w:rPr>
            </w:pPr>
            <w:r>
              <w:rPr/>
              <w:drawing>
                <wp:inline distT="0" distB="0" distL="114935" distR="114935">
                  <wp:extent cx="3886200" cy="2192655"/>
                  <wp:effectExtent l="0" t="0" r="0" b="0"/>
                  <wp:docPr id="3" name="Obrázok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brázok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16"/>
              </w:rPr>
            </w:pPr>
            <w:r>
              <w:rPr/>
              <w:drawing>
                <wp:inline distT="0" distB="0" distL="114935" distR="114935">
                  <wp:extent cx="3869690" cy="2068195"/>
                  <wp:effectExtent l="0" t="0" r="0" b="0"/>
                  <wp:docPr id="4" name="Obrázok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9690" cy="206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97" w:hRule="atLeast"/>
        </w:trPr>
        <w:tc>
          <w:tcPr>
            <w:tcW w:w="3233" w:type="dxa"/>
            <w:tcBorders/>
            <w:shd w:color="auto" w:fill="auto" w:val="clear"/>
          </w:tcPr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>
                <w:b/>
                <w:b/>
                <w:color w:val="44546A" w:themeColor="text2"/>
                <w:sz w:val="28"/>
                <w:szCs w:val="36"/>
                <w:highlight w:val="lightGray"/>
              </w:rPr>
            </w:pPr>
            <w:r>
              <w:rPr>
                <w:b/>
                <w:color w:val="44546A" w:themeColor="text2"/>
                <w:sz w:val="28"/>
                <w:szCs w:val="36"/>
                <w:highlight w:val="lightGray"/>
              </w:rPr>
              <w:t>prechodné obd.</w:t>
            </w:r>
          </w:p>
          <w:p>
            <w:pPr>
              <w:pStyle w:val="Normal"/>
              <w:spacing w:lineRule="auto" w:line="240" w:before="0" w:after="0"/>
              <w:jc w:val="both"/>
              <w:rPr>
                <w:color w:val="FF0000"/>
                <w:sz w:val="32"/>
                <w:szCs w:val="36"/>
              </w:rPr>
            </w:pPr>
            <w:r>
              <w:rPr>
                <w:color w:val="44546A" w:themeColor="text2"/>
                <w:sz w:val="28"/>
                <w:szCs w:val="36"/>
                <w:highlight w:val="lightGray"/>
              </w:rPr>
              <w:t>/ 2180 – 2040 pnl/</w:t>
            </w:r>
          </w:p>
        </w:tc>
        <w:tc>
          <w:tcPr>
            <w:tcW w:w="306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32"/>
              </w:rPr>
            </w:pPr>
            <w:r>
              <w:rPr>
                <w:b/>
                <w:sz w:val="28"/>
              </w:rPr>
              <w:t>nejednotnosť , veľa vládcov - nomarchov</w:t>
            </w:r>
          </w:p>
        </w:tc>
        <w:tc>
          <w:tcPr>
            <w:tcW w:w="667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</w:tc>
      </w:tr>
      <w:tr>
        <w:trPr>
          <w:trHeight w:val="1146" w:hRule="atLeast"/>
        </w:trPr>
        <w:tc>
          <w:tcPr>
            <w:tcW w:w="3233" w:type="dxa"/>
            <w:tcBorders/>
          </w:tcPr>
          <w:p>
            <w:pPr>
              <w:pStyle w:val="ListParagraph"/>
              <w:numPr>
                <w:ilvl w:val="0"/>
                <w:numId w:val="2"/>
              </w:numPr>
              <w:spacing w:lineRule="auto" w:line="240" w:before="0" w:after="0"/>
              <w:contextualSpacing/>
              <w:rPr>
                <w:b/>
                <w:b/>
                <w:color w:val="FF0000"/>
                <w:sz w:val="32"/>
                <w:szCs w:val="36"/>
                <w:highlight w:val="yellow"/>
              </w:rPr>
            </w:pPr>
            <w:r>
              <w:rPr>
                <w:b/>
                <w:color w:val="FF0000"/>
                <w:sz w:val="32"/>
                <w:szCs w:val="36"/>
                <w:highlight w:val="yellow"/>
              </w:rPr>
              <w:t xml:space="preserve">Stredná ríša </w:t>
            </w:r>
          </w:p>
          <w:p>
            <w:pPr>
              <w:pStyle w:val="Normal"/>
              <w:spacing w:lineRule="auto" w:line="240" w:before="0" w:after="0"/>
              <w:rPr>
                <w:sz w:val="32"/>
                <w:szCs w:val="36"/>
              </w:rPr>
            </w:pPr>
            <w:r>
              <w:rPr>
                <w:sz w:val="32"/>
                <w:szCs w:val="36"/>
                <w:highlight w:val="yellow"/>
              </w:rPr>
              <w:t>/ 2040 – 1780 pnl /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color w:val="FF0000"/>
                <w:sz w:val="24"/>
                <w:szCs w:val="36"/>
              </w:rPr>
            </w:pPr>
            <w:r>
              <w:rPr>
                <w:b/>
                <w:color w:val="FF0000"/>
                <w:sz w:val="24"/>
                <w:szCs w:val="36"/>
              </w:rPr>
            </w:r>
          </w:p>
        </w:tc>
        <w:tc>
          <w:tcPr>
            <w:tcW w:w="306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8"/>
              </w:rPr>
            </w:pPr>
            <w:r>
              <w:rPr>
                <w:b/>
                <w:color w:val="FF0000"/>
                <w:sz w:val="32"/>
              </w:rPr>
              <w:t>Mentuhotep II.</w:t>
            </w:r>
          </w:p>
        </w:tc>
        <w:tc>
          <w:tcPr>
            <w:tcW w:w="667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>zjednotiteľ, obnovenie stability, územný rozmach, nerastné bohatstvo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>hl. mesto Vesét / Théby /</w:t>
            </w:r>
          </w:p>
        </w:tc>
      </w:tr>
      <w:tr>
        <w:trPr>
          <w:trHeight w:val="1146" w:hRule="atLeast"/>
        </w:trPr>
        <w:tc>
          <w:tcPr>
            <w:tcW w:w="3233" w:type="dxa"/>
            <w:tcBorders/>
          </w:tcPr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>
                <w:b/>
                <w:b/>
                <w:color w:val="44546A" w:themeColor="text2"/>
                <w:sz w:val="28"/>
                <w:szCs w:val="36"/>
                <w:highlight w:val="lightGray"/>
              </w:rPr>
            </w:pPr>
            <w:r>
              <w:rPr>
                <w:b/>
                <w:color w:val="44546A" w:themeColor="text2"/>
                <w:sz w:val="28"/>
                <w:szCs w:val="36"/>
                <w:highlight w:val="lightGray"/>
              </w:rPr>
              <w:t>prechodné obd. – Hyksósi</w:t>
            </w:r>
          </w:p>
          <w:p>
            <w:pPr>
              <w:pStyle w:val="Normal"/>
              <w:spacing w:lineRule="auto" w:line="240" w:before="0" w:after="0"/>
              <w:rPr>
                <w:color w:val="FF0000"/>
                <w:sz w:val="24"/>
                <w:szCs w:val="36"/>
              </w:rPr>
            </w:pPr>
            <w:r>
              <w:rPr>
                <w:color w:val="44546A" w:themeColor="text2"/>
                <w:sz w:val="28"/>
                <w:szCs w:val="36"/>
                <w:highlight w:val="lightGray"/>
              </w:rPr>
              <w:t xml:space="preserve"> </w:t>
            </w:r>
            <w:r>
              <w:rPr>
                <w:color w:val="44546A" w:themeColor="text2"/>
                <w:sz w:val="28"/>
                <w:szCs w:val="36"/>
                <w:highlight w:val="lightGray"/>
              </w:rPr>
              <w:t xml:space="preserve">/ 1780 – 1560 pnl </w:t>
            </w:r>
            <w:r>
              <w:rPr>
                <w:sz w:val="28"/>
                <w:szCs w:val="36"/>
                <w:highlight w:val="lightGray"/>
              </w:rPr>
              <w:t>/</w:t>
            </w:r>
          </w:p>
        </w:tc>
        <w:tc>
          <w:tcPr>
            <w:tcW w:w="306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>vládcovia cudzích krajín</w:t>
            </w:r>
          </w:p>
        </w:tc>
        <w:tc>
          <w:tcPr>
            <w:tcW w:w="667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 xml:space="preserve">poznali a používali – bojové vozy, kone, luky </w:t>
            </w:r>
          </w:p>
        </w:tc>
      </w:tr>
      <w:tr>
        <w:trPr>
          <w:trHeight w:val="480" w:hRule="atLeast"/>
        </w:trPr>
        <w:tc>
          <w:tcPr>
            <w:tcW w:w="3233" w:type="dxa"/>
            <w:vMerge w:val="restart"/>
            <w:tcBorders/>
          </w:tcPr>
          <w:p>
            <w:pPr>
              <w:pStyle w:val="ListParagraph"/>
              <w:numPr>
                <w:ilvl w:val="0"/>
                <w:numId w:val="2"/>
              </w:numPr>
              <w:spacing w:lineRule="auto" w:line="240" w:before="0" w:after="0"/>
              <w:contextualSpacing/>
              <w:rPr>
                <w:b/>
                <w:b/>
                <w:color w:val="FF0000"/>
                <w:sz w:val="32"/>
                <w:szCs w:val="36"/>
                <w:highlight w:val="yellow"/>
              </w:rPr>
            </w:pPr>
            <w:r>
              <w:rPr>
                <w:b/>
                <w:color w:val="FF0000"/>
                <w:sz w:val="32"/>
                <w:szCs w:val="36"/>
                <w:highlight w:val="yellow"/>
              </w:rPr>
              <w:t xml:space="preserve">Nová ríša </w:t>
            </w:r>
          </w:p>
          <w:p>
            <w:pPr>
              <w:pStyle w:val="Normal"/>
              <w:spacing w:lineRule="auto" w:line="240" w:before="0" w:after="0"/>
              <w:rPr>
                <w:color w:val="FF0000"/>
                <w:sz w:val="24"/>
                <w:szCs w:val="36"/>
              </w:rPr>
            </w:pPr>
            <w:r>
              <w:rPr>
                <w:sz w:val="28"/>
                <w:szCs w:val="36"/>
                <w:highlight w:val="yellow"/>
              </w:rPr>
              <w:t>/ 1560 – 1080 pnl /</w:t>
            </w:r>
          </w:p>
        </w:tc>
        <w:tc>
          <w:tcPr>
            <w:tcW w:w="306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color w:val="FF0000"/>
                <w:sz w:val="32"/>
              </w:rPr>
            </w:pPr>
            <w:r>
              <w:rPr>
                <w:b/>
                <w:color w:val="FF0000"/>
                <w:sz w:val="32"/>
              </w:rPr>
              <w:t>Ahmoses I.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color w:val="FF0000"/>
                <w:sz w:val="32"/>
              </w:rPr>
            </w:pPr>
            <w:r>
              <w:rPr>
                <w:b/>
                <w:color w:val="FF0000"/>
                <w:sz w:val="32"/>
              </w:rPr>
            </w:r>
          </w:p>
        </w:tc>
        <w:tc>
          <w:tcPr>
            <w:tcW w:w="667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>zjednotiteľ, územný rozmach, Údolie kráľov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</w:r>
          </w:p>
        </w:tc>
      </w:tr>
      <w:tr>
        <w:trPr>
          <w:trHeight w:val="540" w:hRule="atLeast"/>
        </w:trPr>
        <w:tc>
          <w:tcPr>
            <w:tcW w:w="3233" w:type="dxa"/>
            <w:vMerge w:val="continue"/>
            <w:tcBorders/>
          </w:tcPr>
          <w:p>
            <w:pPr>
              <w:pStyle w:val="ListParagraph"/>
              <w:numPr>
                <w:ilvl w:val="0"/>
                <w:numId w:val="2"/>
              </w:numPr>
              <w:spacing w:lineRule="auto" w:line="240" w:before="0" w:after="0"/>
              <w:contextualSpacing/>
              <w:rPr>
                <w:b/>
                <w:b/>
                <w:color w:val="FF0000"/>
                <w:sz w:val="32"/>
                <w:szCs w:val="36"/>
              </w:rPr>
            </w:pPr>
            <w:r>
              <w:rPr>
                <w:b/>
                <w:color w:val="FF0000"/>
                <w:sz w:val="32"/>
                <w:szCs w:val="36"/>
              </w:rPr>
            </w:r>
          </w:p>
        </w:tc>
        <w:tc>
          <w:tcPr>
            <w:tcW w:w="306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color w:val="FF0000"/>
                <w:sz w:val="32"/>
              </w:rPr>
            </w:pPr>
            <w:r>
              <w:rPr>
                <w:b/>
                <w:bCs/>
                <w:color w:val="FF0000"/>
                <w:sz w:val="32"/>
                <w:szCs w:val="32"/>
              </w:rPr>
              <w:t>Hatšepsovet / Hatšepsut</w:t>
            </w:r>
            <w:r>
              <w:rPr/>
              <w:drawing>
                <wp:inline distT="0" distB="0" distL="114935" distR="114935">
                  <wp:extent cx="1203960" cy="1406525"/>
                  <wp:effectExtent l="0" t="0" r="0" b="0"/>
                  <wp:docPr id="5" name="Obrázok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ázok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960" cy="140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color w:val="FF0000"/>
                <w:sz w:val="32"/>
              </w:rPr>
            </w:pPr>
            <w:r>
              <w:rPr>
                <w:b/>
                <w:color w:val="FF0000"/>
                <w:sz w:val="32"/>
              </w:rPr>
            </w:r>
          </w:p>
        </w:tc>
        <w:tc>
          <w:tcPr>
            <w:tcW w:w="667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 xml:space="preserve">1.žena na tróne , kráľovná s bradou  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8"/>
              </w:rPr>
            </w:pPr>
            <w:r>
              <w:rPr/>
              <w:drawing>
                <wp:inline distT="0" distB="0" distL="114935" distR="114935">
                  <wp:extent cx="2362200" cy="1574165"/>
                  <wp:effectExtent l="0" t="0" r="0" b="0"/>
                  <wp:docPr id="6" name="Obrázok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ok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157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60" w:hRule="atLeast"/>
        </w:trPr>
        <w:tc>
          <w:tcPr>
            <w:tcW w:w="3233" w:type="dxa"/>
            <w:vMerge w:val="continue"/>
            <w:tcBorders/>
          </w:tcPr>
          <w:p>
            <w:pPr>
              <w:pStyle w:val="ListParagraph"/>
              <w:numPr>
                <w:ilvl w:val="0"/>
                <w:numId w:val="2"/>
              </w:numPr>
              <w:spacing w:lineRule="auto" w:line="240" w:before="0" w:after="0"/>
              <w:contextualSpacing/>
              <w:rPr>
                <w:b/>
                <w:b/>
                <w:color w:val="FF0000"/>
                <w:sz w:val="32"/>
                <w:szCs w:val="36"/>
              </w:rPr>
            </w:pPr>
            <w:r>
              <w:rPr>
                <w:b/>
                <w:color w:val="FF0000"/>
                <w:sz w:val="32"/>
                <w:szCs w:val="36"/>
              </w:rPr>
            </w:r>
          </w:p>
        </w:tc>
        <w:tc>
          <w:tcPr>
            <w:tcW w:w="306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color w:val="FF0000"/>
                <w:sz w:val="32"/>
              </w:rPr>
            </w:pPr>
            <w:r>
              <w:rPr>
                <w:b/>
                <w:color w:val="FF0000"/>
                <w:sz w:val="32"/>
              </w:rPr>
              <w:t xml:space="preserve">Amenhotep IV. – Achnaton </w:t>
            </w:r>
          </w:p>
        </w:tc>
        <w:tc>
          <w:tcPr>
            <w:tcW w:w="667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 xml:space="preserve">náboženská reforma </w:t>
            </w:r>
            <w:r>
              <w:rPr>
                <w:b/>
                <w:color w:val="FF0000"/>
                <w:sz w:val="28"/>
              </w:rPr>
              <w:t xml:space="preserve">– monoteizmus : </w:t>
            </w:r>
            <w:r>
              <w:rPr>
                <w:b/>
                <w:sz w:val="28"/>
              </w:rPr>
              <w:t xml:space="preserve">1 boh Aton, hl. mesto Achetaton </w:t>
            </w:r>
          </w:p>
        </w:tc>
      </w:tr>
      <w:tr>
        <w:trPr>
          <w:trHeight w:val="540" w:hRule="atLeast"/>
        </w:trPr>
        <w:tc>
          <w:tcPr>
            <w:tcW w:w="3233" w:type="dxa"/>
            <w:vMerge w:val="continue"/>
            <w:tcBorders/>
          </w:tcPr>
          <w:p>
            <w:pPr>
              <w:pStyle w:val="ListParagraph"/>
              <w:numPr>
                <w:ilvl w:val="0"/>
                <w:numId w:val="2"/>
              </w:numPr>
              <w:spacing w:lineRule="auto" w:line="240" w:before="0" w:after="0"/>
              <w:contextualSpacing/>
              <w:rPr>
                <w:b/>
                <w:b/>
                <w:color w:val="FF0000"/>
                <w:sz w:val="32"/>
                <w:szCs w:val="36"/>
              </w:rPr>
            </w:pPr>
            <w:r>
              <w:rPr>
                <w:b/>
                <w:color w:val="FF0000"/>
                <w:sz w:val="32"/>
                <w:szCs w:val="36"/>
              </w:rPr>
            </w:r>
          </w:p>
        </w:tc>
        <w:tc>
          <w:tcPr>
            <w:tcW w:w="306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color w:val="FF0000"/>
                <w:sz w:val="32"/>
              </w:rPr>
            </w:pPr>
            <w:r>
              <w:rPr>
                <w:b/>
                <w:color w:val="FF0000"/>
                <w:sz w:val="32"/>
              </w:rPr>
              <w:t>Nefertiti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color w:val="FF0000"/>
                <w:sz w:val="32"/>
              </w:rPr>
            </w:pPr>
            <w:r>
              <w:rPr>
                <w:b/>
                <w:color w:val="FF0000"/>
                <w:sz w:val="32"/>
              </w:rPr>
            </w:r>
          </w:p>
        </w:tc>
        <w:tc>
          <w:tcPr>
            <w:tcW w:w="667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 xml:space="preserve">najkrajšia žena 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8"/>
              </w:rPr>
            </w:pPr>
            <w:r>
              <w:rPr/>
              <w:drawing>
                <wp:inline distT="0" distB="0" distL="114935" distR="114935">
                  <wp:extent cx="518160" cy="774065"/>
                  <wp:effectExtent l="0" t="0" r="0" b="0"/>
                  <wp:docPr id="7" name="Obrázok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Obrázok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" cy="77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</w:r>
          </w:p>
        </w:tc>
      </w:tr>
      <w:tr>
        <w:trPr>
          <w:trHeight w:val="473" w:hRule="atLeast"/>
        </w:trPr>
        <w:tc>
          <w:tcPr>
            <w:tcW w:w="3233" w:type="dxa"/>
            <w:vMerge w:val="continue"/>
            <w:tcBorders/>
          </w:tcPr>
          <w:p>
            <w:pPr>
              <w:pStyle w:val="ListParagraph"/>
              <w:numPr>
                <w:ilvl w:val="0"/>
                <w:numId w:val="2"/>
              </w:numPr>
              <w:spacing w:lineRule="auto" w:line="240" w:before="0" w:after="0"/>
              <w:contextualSpacing/>
              <w:rPr>
                <w:b/>
                <w:b/>
                <w:color w:val="FF0000"/>
                <w:sz w:val="32"/>
                <w:szCs w:val="36"/>
              </w:rPr>
            </w:pPr>
            <w:r>
              <w:rPr>
                <w:b/>
                <w:color w:val="FF0000"/>
                <w:sz w:val="32"/>
                <w:szCs w:val="36"/>
              </w:rPr>
            </w:r>
          </w:p>
        </w:tc>
        <w:tc>
          <w:tcPr>
            <w:tcW w:w="306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color w:val="FF0000"/>
                <w:sz w:val="32"/>
              </w:rPr>
            </w:pPr>
            <w:r>
              <w:rPr>
                <w:b/>
                <w:color w:val="FF0000"/>
                <w:sz w:val="32"/>
              </w:rPr>
              <w:t>Tutanchamon</w:t>
            </w:r>
          </w:p>
        </w:tc>
        <w:tc>
          <w:tcPr>
            <w:tcW w:w="667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 xml:space="preserve">zrušenie monoteizmu návrat k polyteizmu 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 xml:space="preserve">hrobka v neporušenom stave </w:t>
            </w:r>
          </w:p>
        </w:tc>
      </w:tr>
      <w:tr>
        <w:trPr>
          <w:trHeight w:val="1356" w:hRule="atLeast"/>
        </w:trPr>
        <w:tc>
          <w:tcPr>
            <w:tcW w:w="3233" w:type="dxa"/>
            <w:vMerge w:val="continue"/>
            <w:tcBorders/>
          </w:tcPr>
          <w:p>
            <w:pPr>
              <w:pStyle w:val="ListParagraph"/>
              <w:numPr>
                <w:ilvl w:val="0"/>
                <w:numId w:val="2"/>
              </w:numPr>
              <w:spacing w:lineRule="auto" w:line="240" w:before="0" w:after="0"/>
              <w:contextualSpacing/>
              <w:rPr>
                <w:b/>
                <w:b/>
                <w:color w:val="FF0000"/>
                <w:sz w:val="32"/>
                <w:szCs w:val="36"/>
              </w:rPr>
            </w:pPr>
            <w:r>
              <w:rPr>
                <w:b/>
                <w:color w:val="FF0000"/>
                <w:sz w:val="32"/>
                <w:szCs w:val="36"/>
              </w:rPr>
            </w:r>
          </w:p>
        </w:tc>
        <w:tc>
          <w:tcPr>
            <w:tcW w:w="306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color w:val="FF0000"/>
                <w:sz w:val="32"/>
              </w:rPr>
            </w:pPr>
            <w:r>
              <w:rPr>
                <w:b/>
                <w:color w:val="FF0000"/>
                <w:sz w:val="32"/>
              </w:rPr>
              <w:t xml:space="preserve">Ramses II. </w:t>
            </w:r>
          </w:p>
        </w:tc>
        <w:tc>
          <w:tcPr>
            <w:tcW w:w="667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>najväčší rozmach ríše, najstaršia mierová zmluva s Chetitmi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8"/>
              </w:rPr>
            </w:pPr>
            <w:r>
              <w:rPr/>
              <w:drawing>
                <wp:inline distT="0" distB="0" distL="114935" distR="114935">
                  <wp:extent cx="2952750" cy="1552575"/>
                  <wp:effectExtent l="0" t="0" r="0" b="0"/>
                  <wp:docPr id="8" name="Obrázok 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Obrázok 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46" w:hRule="atLeast"/>
        </w:trPr>
        <w:tc>
          <w:tcPr>
            <w:tcW w:w="3233" w:type="dxa"/>
            <w:tcBorders/>
          </w:tcPr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>
                <w:b/>
                <w:b/>
                <w:color w:val="FF0000"/>
                <w:sz w:val="24"/>
                <w:szCs w:val="36"/>
              </w:rPr>
            </w:pPr>
            <w:r>
              <w:rPr>
                <w:b/>
                <w:color w:val="44546A" w:themeColor="text2"/>
                <w:sz w:val="28"/>
                <w:szCs w:val="36"/>
                <w:highlight w:val="lightGray"/>
              </w:rPr>
              <w:t>prechodné obd. – morské národy</w:t>
            </w:r>
          </w:p>
        </w:tc>
        <w:tc>
          <w:tcPr>
            <w:tcW w:w="306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</w:r>
          </w:p>
        </w:tc>
        <w:tc>
          <w:tcPr>
            <w:tcW w:w="667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>rozpad ríše – nomy, viacero faraónov</w:t>
            </w:r>
          </w:p>
        </w:tc>
      </w:tr>
    </w:tbl>
    <w:p>
      <w:pPr>
        <w:pStyle w:val="Normal"/>
        <w:rPr>
          <w:b/>
          <w:b/>
          <w:sz w:val="16"/>
        </w:rPr>
      </w:pPr>
      <w:r>
        <w:rPr>
          <w:b/>
          <w:sz w:val="16"/>
        </w:rPr>
      </w:r>
    </w:p>
    <w:p>
      <w:pPr>
        <w:pStyle w:val="Normal"/>
        <w:rPr>
          <w:b/>
          <w:b/>
          <w:sz w:val="16"/>
        </w:rPr>
      </w:pPr>
      <w:r>
        <w:rPr>
          <w:b/>
          <w:sz w:val="16"/>
        </w:rPr>
      </w:r>
    </w:p>
    <w:p>
      <w:pPr>
        <w:pStyle w:val="Normal"/>
        <w:rPr>
          <w:b/>
          <w:b/>
          <w:color w:val="FF0000"/>
          <w:sz w:val="32"/>
        </w:rPr>
      </w:pPr>
      <w:r>
        <w:rPr>
          <w:b/>
          <w:color w:val="FF0000"/>
          <w:sz w:val="32"/>
        </w:rPr>
      </w:r>
    </w:p>
    <w:p>
      <w:pPr>
        <w:pStyle w:val="Normal"/>
        <w:rPr>
          <w:b/>
          <w:b/>
          <w:color w:val="FF0000"/>
          <w:sz w:val="32"/>
        </w:rPr>
      </w:pPr>
      <w:r>
        <w:rPr>
          <w:b/>
          <w:color w:val="FF0000"/>
          <w:sz w:val="32"/>
        </w:rPr>
      </w:r>
    </w:p>
    <w:p>
      <w:pPr>
        <w:pStyle w:val="Normal"/>
        <w:rPr>
          <w:b/>
          <w:b/>
          <w:color w:val="FF0000"/>
          <w:sz w:val="32"/>
        </w:rPr>
      </w:pPr>
      <w:r>
        <w:rPr>
          <w:b/>
          <w:color w:val="FF0000"/>
          <w:sz w:val="32"/>
        </w:rPr>
      </w:r>
    </w:p>
    <w:p>
      <w:pPr>
        <w:pStyle w:val="Normal"/>
        <w:rPr>
          <w:b/>
          <w:b/>
          <w:color w:val="FF0000"/>
          <w:sz w:val="32"/>
        </w:rPr>
      </w:pPr>
      <w:r>
        <w:rPr>
          <w:b/>
          <w:color w:val="FF0000"/>
          <w:sz w:val="32"/>
        </w:rPr>
      </w:r>
    </w:p>
    <w:p>
      <w:pPr>
        <w:pStyle w:val="Normal"/>
        <w:rPr>
          <w:b/>
          <w:b/>
          <w:color w:val="FF0000"/>
          <w:sz w:val="32"/>
        </w:rPr>
      </w:pPr>
      <w:r>
        <w:rPr>
          <w:b/>
          <w:color w:val="FF0000"/>
          <w:sz w:val="32"/>
        </w:rPr>
      </w:r>
    </w:p>
    <w:p>
      <w:pPr>
        <w:pStyle w:val="Normal"/>
        <w:rPr>
          <w:b/>
          <w:b/>
          <w:color w:val="FF0000"/>
          <w:sz w:val="32"/>
        </w:rPr>
      </w:pPr>
      <w:bookmarkStart w:id="0" w:name="_GoBack"/>
      <w:bookmarkEnd w:id="0"/>
      <w:r>
        <w:rPr>
          <w:b/>
          <w:color w:val="FF0000"/>
          <w:sz w:val="32"/>
        </w:rPr>
        <w:t>Náboženstvo Egypta – polyteizmus – viac ako 1000 bohov  :</w:t>
      </w:r>
    </w:p>
    <w:p>
      <w:pPr>
        <w:pStyle w:val="Normal"/>
        <w:rPr>
          <w:rFonts w:eastAsia="Times New Roman" w:cs="Calibri" w:cstheme="minorHAnsi"/>
          <w:color w:val="343131"/>
          <w:sz w:val="24"/>
          <w:szCs w:val="24"/>
          <w:lang w:eastAsia="sk-SK"/>
        </w:rPr>
      </w:pPr>
      <w:r>
        <w:rPr/>
        <w:drawing>
          <wp:inline distT="0" distB="0" distL="114935" distR="114935">
            <wp:extent cx="5204460" cy="3028950"/>
            <wp:effectExtent l="0" t="0" r="0" b="0"/>
            <wp:docPr id="9" name="Obrázok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color w:val="343131"/>
          <w:sz w:val="24"/>
          <w:szCs w:val="24"/>
          <w:lang w:eastAsia="sk-SK"/>
        </w:rPr>
      </w:pPr>
      <w:r>
        <w:rPr>
          <w:rFonts w:eastAsia="Times New Roman" w:cs="Calibri" w:cstheme="minorHAnsi"/>
          <w:color w:val="343131"/>
          <w:sz w:val="24"/>
          <w:szCs w:val="24"/>
          <w:lang w:eastAsia="sk-SK"/>
        </w:rPr>
      </w:r>
    </w:p>
    <w:p>
      <w:pPr>
        <w:pStyle w:val="NoSpacing"/>
        <w:rPr>
          <w:b/>
          <w:b/>
          <w:color w:val="FF0000"/>
          <w:sz w:val="32"/>
        </w:rPr>
      </w:pPr>
      <w:r>
        <w:rPr>
          <w:b/>
          <w:color w:val="FF0000"/>
          <w:lang w:eastAsia="sk-SK"/>
        </w:rPr>
        <w:t>RE</w:t>
      </w:r>
    </w:p>
    <w:p>
      <w:pPr>
        <w:pStyle w:val="NoSpacing"/>
        <w:rPr>
          <w:lang w:eastAsia="sk-SK"/>
        </w:rPr>
      </w:pPr>
      <w:r>
        <w:rPr>
          <w:b/>
          <w:lang w:eastAsia="sk-SK"/>
        </w:rPr>
        <w:t xml:space="preserve">slnko, pán neba, stvoriteľ a vládca svete, </w:t>
      </w:r>
      <w:r>
        <w:rPr>
          <w:lang w:eastAsia="sk-SK"/>
        </w:rPr>
        <w:t>tiež Cheper, Aton, Hór. Podoba - slnečný kotúč, skarabeus, sokol, včela. Ako pán neba sa Re rodil každé ráno na obzore z Nut a plavil sa po nebi na svojej bárke až do večera</w:t>
      </w:r>
    </w:p>
    <w:p>
      <w:pPr>
        <w:pStyle w:val="NoSpacing"/>
        <w:rPr>
          <w:b/>
          <w:b/>
        </w:rPr>
      </w:pPr>
      <w:r>
        <w:rPr>
          <w:b/>
          <w:bCs/>
          <w:color w:val="FF0000"/>
        </w:rPr>
        <w:t>USIR</w:t>
      </w:r>
    </w:p>
    <w:p>
      <w:pPr>
        <w:pStyle w:val="NoSpacing"/>
        <w:rPr/>
      </w:pPr>
      <w:r>
        <w:rPr>
          <w:b/>
        </w:rPr>
        <w:t>Boh mŕtvych a vládca podsvetia. Pán večnosti</w:t>
      </w:r>
      <w:r>
        <w:rPr/>
        <w:t>. So svojou manželkou Eset mal jedného syna Hora. Zosobňoval sily prírody, ktoré sú príčinou večného kolobehu jej umierania a opätovného vzkriesenia. Jeho kult bol veľmi oslavovaný a uctievaný v celých dejinách Egypta. Bol zobrazovaný ako človek s nerozčleneným telom /pripomínal múmiu/, na hlave mal hornoegyptskú bielu korunu lemovanú čiernymi pštrosími perami. V rukách stále držal ceremoniálnu berlu a korbáč.</w:t>
      </w:r>
    </w:p>
    <w:p>
      <w:pPr>
        <w:pStyle w:val="NoSpacing"/>
        <w:rPr>
          <w:b/>
          <w:b/>
          <w:color w:val="FF0000"/>
        </w:rPr>
      </w:pPr>
      <w:r>
        <w:rPr>
          <w:b/>
          <w:bCs/>
          <w:color w:val="FF0000"/>
        </w:rPr>
        <w:t>ESET</w:t>
      </w:r>
    </w:p>
    <w:p>
      <w:pPr>
        <w:pStyle w:val="NoSpacing"/>
        <w:rPr/>
      </w:pPr>
      <w:r>
        <w:rPr>
          <w:b/>
        </w:rPr>
        <w:t>bohyňa  mocných slov, najväčšia z bohýň a bohov,  manželkou Usira</w:t>
      </w:r>
      <w:r>
        <w:rPr/>
        <w:t>. Sú jej pripisované mnohé funkcie, napríklad ochrankyňa mŕtvych, patrónka žien. Na zobrazeniach má čiapku v podobe supice, alebo jednoduchú šatku stiahnutú stuhou. V rukách drží anch /znak života/ alebo tit /Esetin uzol/.</w:t>
      </w:r>
    </w:p>
    <w:p>
      <w:pPr>
        <w:pStyle w:val="NoSpacing"/>
        <w:rPr>
          <w:color w:val="000000"/>
          <w:highlight w:val="blue"/>
        </w:rPr>
      </w:pPr>
      <w:r>
        <w:rPr>
          <w:b/>
          <w:color w:val="FF0000"/>
          <w:shd w:fill="FAF9FF" w:val="clear"/>
        </w:rPr>
        <w:t>ANUP (Anupew,Anubis)</w:t>
      </w:r>
      <w:r>
        <w:rPr>
          <w:color w:val="000000"/>
          <w:shd w:fill="FAF9FF" w:val="clear"/>
        </w:rPr>
        <w:br/>
      </w:r>
      <w:r>
        <w:rPr>
          <w:b/>
          <w:color w:val="000000"/>
          <w:shd w:fill="FAF9FF" w:val="clear"/>
        </w:rPr>
        <w:t>egyptský boh, sprievodca a ochranca mŕtvych</w:t>
      </w:r>
      <w:r>
        <w:rPr>
          <w:color w:val="000000"/>
          <w:shd w:fill="FAF9FF" w:val="clear"/>
        </w:rPr>
        <w:t>, neskôr spojovaný tiež s balzamovaním. Bol znázorňovaní v podobe čiernej psovitej šelmy (šakala), od Novej ríše tiež v ľudskej podobe s hlavou tejto šelmy.</w:t>
      </w:r>
    </w:p>
    <w:p>
      <w:pPr>
        <w:pStyle w:val="NoSpacing"/>
        <w:rPr>
          <w:color w:val="000000"/>
          <w:highlight w:val="blue"/>
        </w:rPr>
      </w:pPr>
      <w:r>
        <w:rPr>
          <w:b/>
          <w:color w:val="FF0000"/>
          <w:shd w:fill="FAF9FF" w:val="clear"/>
        </w:rPr>
        <w:t>HOR (HORUS)</w:t>
      </w:r>
      <w:r>
        <w:rPr>
          <w:color w:val="000000"/>
        </w:rPr>
        <w:br/>
      </w:r>
      <w:r>
        <w:rPr>
          <w:color w:val="000000"/>
          <w:shd w:fill="FAF9FF" w:val="clear"/>
        </w:rPr>
        <w:t xml:space="preserve">egyptský boh, pôvodne kozmického rázu (za jeho oči sú pokladané Slnko a Mesiac), od konca 4.tis.pr.n.l. bol </w:t>
      </w:r>
      <w:r>
        <w:rPr>
          <w:b/>
          <w:color w:val="000000"/>
          <w:shd w:fill="FAF9FF" w:val="clear"/>
        </w:rPr>
        <w:t>stotožňovaní s panovníkom, neskôr chápaní ako jeho osobní ochranný boh</w:t>
      </w:r>
      <w:r>
        <w:rPr>
          <w:color w:val="000000"/>
          <w:shd w:fill="FAF9FF" w:val="clear"/>
        </w:rPr>
        <w:t>. V mýte vystupuje ako syn Usira a Esety, ktorý pomstil svojho otca a prevzal jeho vládu. Znázorňovaní obvykle ako sokol alebo muž so sokolou hlavou.</w:t>
      </w:r>
    </w:p>
    <w:p>
      <w:pPr>
        <w:pStyle w:val="NoSpacing"/>
        <w:rPr>
          <w:color w:val="000000"/>
          <w:highlight w:val="blue"/>
        </w:rPr>
      </w:pPr>
      <w:r>
        <w:rPr>
          <w:b/>
          <w:color w:val="FF0000"/>
          <w:shd w:fill="FAF9FF" w:val="clear"/>
        </w:rPr>
        <w:t>ATHOR</w:t>
      </w:r>
      <w:r>
        <w:rPr>
          <w:color w:val="000000"/>
        </w:rPr>
        <w:br/>
      </w:r>
      <w:r>
        <w:rPr>
          <w:color w:val="000000"/>
          <w:shd w:fill="FAF9FF" w:val="clear"/>
        </w:rPr>
        <w:t xml:space="preserve">egyptská bohyňa, pôvodne kozmického rázu, neskôr hlavne </w:t>
      </w:r>
      <w:r>
        <w:rPr>
          <w:b/>
          <w:color w:val="000000"/>
          <w:shd w:fill="FAF9FF" w:val="clear"/>
        </w:rPr>
        <w:t>radosti, lásky, hudby a tanca</w:t>
      </w:r>
      <w:r>
        <w:rPr>
          <w:color w:val="000000"/>
          <w:shd w:fill="FAF9FF" w:val="clear"/>
        </w:rPr>
        <w:t>. Často znázorňovaná v podobe kravy či ženy s kravskými rohmi so slnečným kotúčom a korunou.</w:t>
      </w:r>
    </w:p>
    <w:p>
      <w:pPr>
        <w:pStyle w:val="NoSpacing"/>
        <w:rPr>
          <w:b/>
          <w:b/>
          <w:color w:val="FF0000"/>
          <w:lang w:eastAsia="sk-SK"/>
        </w:rPr>
      </w:pPr>
      <w:r>
        <w:rPr>
          <w:b/>
          <w:color w:val="FF0000"/>
          <w:lang w:eastAsia="sk-SK"/>
        </w:rPr>
        <w:t>MAT</w:t>
      </w:r>
    </w:p>
    <w:p>
      <w:pPr>
        <w:pStyle w:val="NoSpacing"/>
        <w:rPr>
          <w:rFonts w:ascii="Verdana" w:hAnsi="Verdana" w:cs="Times New Roman"/>
          <w:color w:val="000000"/>
          <w:sz w:val="16"/>
          <w:szCs w:val="16"/>
          <w:lang w:eastAsia="sk-SK"/>
        </w:rPr>
      </w:pPr>
      <w:r>
        <w:rPr>
          <w:b/>
          <w:color w:val="000000"/>
          <w:lang w:eastAsia="sk-SK"/>
        </w:rPr>
        <w:t>bohyňa spravodlivosti,</w:t>
      </w:r>
      <w:r>
        <w:rPr>
          <w:color w:val="000000"/>
          <w:lang w:eastAsia="sk-SK"/>
        </w:rPr>
        <w:t xml:space="preserve"> zobrazovaná ako žena s pštrosím perom na hlave</w:t>
      </w:r>
    </w:p>
    <w:p>
      <w:pPr>
        <w:pStyle w:val="NoSpacing"/>
        <w:rPr>
          <w:rFonts w:ascii="Verdana" w:hAnsi="Verdana" w:cs="Times New Roman"/>
          <w:color w:val="000000"/>
          <w:sz w:val="16"/>
          <w:szCs w:val="16"/>
          <w:lang w:eastAsia="sk-SK"/>
        </w:rPr>
      </w:pPr>
      <w:r>
        <w:rPr>
          <w:rFonts w:cs="Times New Roman" w:ascii="Verdana" w:hAnsi="Verdana"/>
          <w:color w:val="000000"/>
          <w:sz w:val="16"/>
          <w:szCs w:val="16"/>
          <w:lang w:eastAsia="sk-SK"/>
        </w:rPr>
        <w:t> </w:t>
      </w:r>
    </w:p>
    <w:p>
      <w:pPr>
        <w:pStyle w:val="NoSpacing"/>
        <w:rPr>
          <w:rFonts w:ascii="Helvetica" w:hAnsi="Helvetica" w:cs="Helvetica"/>
          <w:sz w:val="20"/>
          <w:szCs w:val="20"/>
          <w:lang w:eastAsia="sk-SK"/>
        </w:rPr>
      </w:pPr>
      <w:r>
        <w:rPr>
          <w:rFonts w:cs="Helvetica" w:ascii="Helvetica" w:hAnsi="Helvetica"/>
          <w:sz w:val="20"/>
          <w:szCs w:val="20"/>
          <w:lang w:eastAsia="sk-SK"/>
        </w:rPr>
      </w:r>
    </w:p>
    <w:p>
      <w:pPr>
        <w:pStyle w:val="NoSpacing"/>
        <w:rPr>
          <w:color w:val="FF0000"/>
          <w:sz w:val="32"/>
        </w:rPr>
      </w:pPr>
      <w:r>
        <w:rPr/>
      </w:r>
    </w:p>
    <w:sectPr>
      <w:type w:val="nextPage"/>
      <w:pgSz w:orient="landscape" w:w="16838" w:h="11906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Verdana">
    <w:charset w:val="01"/>
    <w:family w:val="roman"/>
    <w:pitch w:val="variable"/>
  </w:font>
  <w:font w:name="Helvetica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upperRoman"/>
      <w:lvlText w:val="%1."/>
      <w:lvlJc w:val="left"/>
      <w:pPr>
        <w:tabs>
          <w:tab w:val="num" w:pos="0"/>
        </w:tabs>
        <w:ind w:left="1146" w:hanging="72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6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sk-SK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sk-SK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sk-SK" w:eastAsia="en-US" w:bidi="ar-SA"/>
    </w:rPr>
  </w:style>
  <w:style w:type="paragraph" w:styleId="Heading4">
    <w:name w:val="Heading 4"/>
    <w:basedOn w:val="Normal"/>
    <w:link w:val="Nadpis4Char"/>
    <w:uiPriority w:val="9"/>
    <w:qFormat/>
    <w:rsid w:val="00ba7861"/>
    <w:pPr>
      <w:spacing w:lineRule="auto" w:line="240" w:beforeAutospacing="1" w:afterAutospacing="1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sk-SK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adpis4Char" w:customStyle="1">
    <w:name w:val="Nadpis 4 Char"/>
    <w:basedOn w:val="DefaultParagraphFont"/>
    <w:link w:val="Nadpis4"/>
    <w:uiPriority w:val="9"/>
    <w:qFormat/>
    <w:rsid w:val="00ba7861"/>
    <w:rPr>
      <w:rFonts w:ascii="Times New Roman" w:hAnsi="Times New Roman" w:eastAsia="Times New Roman" w:cs="Times New Roman"/>
      <w:b/>
      <w:bCs/>
      <w:sz w:val="24"/>
      <w:szCs w:val="24"/>
      <w:lang w:eastAsia="sk-SK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1856b2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ba7861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sk-SK"/>
    </w:rPr>
  </w:style>
  <w:style w:type="paragraph" w:styleId="NoSpacing">
    <w:name w:val="No Spacing"/>
    <w:uiPriority w:val="1"/>
    <w:qFormat/>
    <w:rsid w:val="00827dff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sk-SK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Mriekatabuky">
    <w:name w:val="Table Grid"/>
    <w:basedOn w:val="Normlnatabuka"/>
    <w:uiPriority w:val="39"/>
    <w:rsid w:val="001856b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<Relationship Id="rId16" Type="http://schemas.openxmlformats.org/officeDocument/2006/relationships/customXml" Target="../customXml/item2.xml"/><Relationship Id="rId17" Type="http://schemas.openxmlformats.org/officeDocument/2006/relationships/customXml" Target="../customXml/item3.xml"/><Relationship Id="rId18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E0EC93F2341B3459B2E9E2E0BAADE64" ma:contentTypeVersion="7" ma:contentTypeDescription="Umožňuje vytvoriť nový dokument." ma:contentTypeScope="" ma:versionID="72501ea85c6bccde62cd58761b5f1327">
  <xsd:schema xmlns:xsd="http://www.w3.org/2001/XMLSchema" xmlns:xs="http://www.w3.org/2001/XMLSchema" xmlns:p="http://schemas.microsoft.com/office/2006/metadata/properties" xmlns:ns2="fee6032e-8a88-4c35-a993-f2b90d347b4f" targetNamespace="http://schemas.microsoft.com/office/2006/metadata/properties" ma:root="true" ma:fieldsID="e7ce42ef06f4e958d74e16ae7421af37" ns2:_="">
    <xsd:import namespace="fee6032e-8a88-4c35-a993-f2b90d347b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e6032e-8a88-4c35-a993-f2b90d347b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9CACE82-6A0F-46B7-A3F4-E6AAC88F66E4}"/>
</file>

<file path=customXml/itemProps2.xml><?xml version="1.0" encoding="utf-8"?>
<ds:datastoreItem xmlns:ds="http://schemas.openxmlformats.org/officeDocument/2006/customXml" ds:itemID="{A13B4D34-F5B4-4595-A7F8-355429AC3187}"/>
</file>

<file path=customXml/itemProps3.xml><?xml version="1.0" encoding="utf-8"?>
<ds:datastoreItem xmlns:ds="http://schemas.openxmlformats.org/officeDocument/2006/customXml" ds:itemID="{C4601CB2-48CD-4983-9D48-45216373965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939415D-BB15-4EBC-9454-D4CE8F30BB0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Application>LibreOffice/6.4.6.2$Linux_X86_64 LibreOffice_project/40$Build-2</Application>
  <Pages>6</Pages>
  <Words>475</Words>
  <Characters>2616</Characters>
  <CharactersWithSpaces>3065</CharactersWithSpaces>
  <Paragraphs>72</Paragraphs>
  <Company>Gymnázium, Poštová 9, Košice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2020-11-02T15:13:00Z</dcterms:created>
  <dc:creator>Mgr. Adriana Hudáková</dc:creator>
  <dc:description/>
  <dc:language>en-US</dc:language>
  <cp:lastModifiedBy/>
  <dcterms:modified xsi:type="dcterms:W3CDTF">2020-11-10T11:30:40Z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Company">
    <vt:lpwstr>Gymnázium, Poštová 9, Košice</vt:lpwstr>
  </property>
  <property fmtid="{D5CDD505-2E9C-101B-9397-08002B2CF9AE}" pid="4" name="ContentTypeId">
    <vt:lpwstr>0x0101001E0EC93F2341B3459B2E9E2E0BAADE64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