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360" w:after="240"/>
        <w:jc w:val="center"/>
      </w:pPr>
      <w:r>
        <w:rPr>
          <w:b/>
          <w:sz w:val="28"/>
          <w:szCs w:val="28"/>
        </w:rPr>
      </w:r>
      <w:r>
        <w:rPr>
          <w:rFonts w:ascii="Times New Roman" w:hAnsi="Times New Roman"/>
          <w:sz w:val="24"/>
        </w:rPr>
        <w:t>Contoh Kasus Nyata: Humanisasi BAB I Latar Belakang Skripsi</w:t>
      </w:r>
    </w:p>
    <w:p>
      <w:pPr>
        <w:spacing w:line="360" w:lineRule="auto" w:before="0" w:after="120"/>
        <w:ind w:firstLine="709"/>
        <w:jc w:val="both"/>
      </w:pPr>
      <w:r>
        <w:rPr>
          <w:rFonts w:ascii="Times New Roman" w:hAnsi="Times New Roman"/>
          <w:sz w:val="24"/>
        </w:rPr>
        <w:t xml:space="preserve">Contoh perbandingan naskah skripsi mahasiswa rumpun Teknik Informatika / Sistem Informasi sebelum dan sesudah diproses dengan </w:t>
      </w:r>
      <w:r>
        <w:rPr>
          <w:rFonts w:ascii="Courier New" w:hAnsi="Courier New"/>
          <w:sz w:val="21"/>
        </w:rPr>
        <w:t>humanizer-id</w:t>
      </w:r>
      <w:r>
        <w:rPr>
          <w:rFonts w:ascii="Times New Roman" w:hAnsi="Times New Roman"/>
          <w:sz w:val="24"/>
        </w:rPr>
        <w:t>.</w:t>
      </w:r>
    </w:p>
    <w:p>
      <w:pPr>
        <w:pBdr>
          <w:bottom w:val="single" w:sz="6" w:space="1" w:color="CCCCCC"/>
        </w:pBdr>
        <w:spacing w:before="120" w:after="120"/>
      </w:pPr>
    </w:p>
    <w:p>
      <w:pPr>
        <w:spacing w:before="280" w:after="160"/>
        <w:jc w:val="left"/>
      </w:pPr>
      <w:r>
        <w:rPr>
          <w:b/>
          <w:sz w:val="26"/>
          <w:szCs w:val="26"/>
        </w:rPr>
      </w:r>
      <w:r>
        <w:rPr>
          <w:rFonts w:ascii="Times New Roman" w:hAnsi="Times New Roman"/>
          <w:sz w:val="24"/>
        </w:rPr>
        <w:t>1. Draf Mentah Buatan AI (Sebelum)</w:t>
      </w:r>
    </w:p>
    <w:p>
      <w:pPr>
        <w:spacing w:line="240" w:lineRule="auto" w:before="0" w:after="40"/>
        <w:ind w:left="720"/>
        <w:jc w:val="left"/>
      </w:pPr>
      <w:r>
        <w:rPr>
          <w:rFonts w:ascii="Courier New" w:hAnsi="Courier New"/>
          <w:sz w:val="20"/>
          <w:color w:val="333333"/>
        </w:rPr>
        <w:t xml:space="preserve">BAB I PENDAHULUAN</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1.1 Latar Belakang Masalah</w:t>
      </w:r>
    </w:p>
    <w:p>
      <w:pPr>
        <w:spacing w:line="240" w:lineRule="auto" w:before="0" w:after="40"/>
        <w:ind w:left="720"/>
        <w:jc w:val="left"/>
      </w:pPr>
      <w:r>
        <w:rPr>
          <w:rFonts w:ascii="Courier New" w:hAnsi="Courier New"/>
          <w:sz w:val="20"/>
          <w:color w:val="333333"/>
        </w:rPr>
        <w:t xml:space="preserve">Dalam era globalisasi dan transformasi digital yang berkembang sangat pesat saat ini, teknologi informasi memegang peranan yang sangat krusial dalam berbagai lini kehidupan manusia. Perkembangan teknologi kecerdasan artifisial dan internet of things telah menjadi bukti abadi dari kemajuan peradaban modern, menandai tonggak sejarah baru dalam lanskap industri 4.0.</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Sistem pergudangan logistik di Indonesia saat ini menghadapi berbagai tantangan yang dinamis. Dalam rangka meningkatkan efisiensi operasional, pengelolaan inventaris gudang perlu dilakukan dengan cara yang holistik dan komprehensif. Penggunaan sistem berbasis digital tidak hanya dapat mempercepat proses pencatatan barang masuk dan keluar, tetapi juga dapat meminimalisir potensi terjadinya human error. Tidak hanya itu, integrasi teknologi sensor RFID juga berfungsi sebagai pilar penting dalam mewujudkan otomatisasi gudang.</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Selain itu, PT Logistik Cepat Nusantara merupakan salah satu perusahaan logistik terkemuka di Indonesia yang terus berinovasi. Lebih lanjut, kendati perusahaan telah menerapkan beberapa modul perangkat lunak, patut dicatat bahwa pencatatan data stok barang di lapangan masih kerap mengalami selisih perhitungan yang cukup signifikan. Terkait dengan hal tersebut, diperlukan sebuah paradigma baru dalam perancangan arsitektur sistem pergudangan yang adaptif.</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Oleh karena itu, penting bagi kita semua untuk senantiasa mendukung modernisasi sistem logistik nasional. Diharapkan ke depan, penelitian ini dapat memberikan kontribusi yang berarti dan bersinergi dengan seluruh pemangku kepentingan demi mewujudkan masa depan pergudangan yang lebih gemilang dan berkelanjutan.</w:t>
      </w:r>
    </w:p>
    <w:p>
      <w:pPr>
        <w:spacing w:after="120"/>
      </w:pPr>
    </w:p>
    <w:p>
      <w:pPr>
        <w:spacing w:before="200" w:after="120"/>
        <w:jc w:val="left"/>
      </w:pPr>
      <w:r>
        <w:rPr>
          <w:b/>
          <w:i/>
          <w:sz w:val="24"/>
          <w:szCs w:val="24"/>
        </w:rPr>
      </w:r>
      <w:r>
        <w:rPr>
          <w:rFonts w:ascii="Times New Roman" w:hAnsi="Times New Roman"/>
          <w:sz w:val="24"/>
        </w:rPr>
        <w:t>Mengapa Dosen Penguji Langsung Tahu Ini Buatan AI?</w:t>
      </w:r>
    </w:p>
    <w:p>
      <w:pPr>
        <w:spacing w:line="360" w:lineRule="auto" w:before="0" w:after="60"/>
        <w:ind w:left="709" w:hanging="400"/>
        <w:jc w:val="both"/>
      </w:pPr>
      <w:r>
        <w:rPr>
          <w:b/>
        </w:rPr>
        <w:t xml:space="preserve">1. </w:t>
      </w:r>
      <w:r>
        <w:rPr>
          <w:rFonts w:ascii="Times New Roman" w:hAnsi="Times New Roman"/>
          <w:sz w:val="24"/>
          <w:b/>
        </w:rPr>
        <w:t>Pembuka Kosong</w:t>
      </w:r>
      <w:r>
        <w:rPr>
          <w:rFonts w:ascii="Times New Roman" w:hAnsi="Times New Roman"/>
          <w:sz w:val="24"/>
        </w:rPr>
        <w:t>: Kalimat pertama klise (</w:t>
      </w:r>
      <w:r>
        <w:rPr>
          <w:rFonts w:ascii="Times New Roman" w:hAnsi="Times New Roman"/>
          <w:sz w:val="24"/>
          <w:i/>
        </w:rPr>
        <w:t>"Dalam era globalisasi dan transformasi digital yang berkembang sangat pesat saat ini..."</w:t>
      </w:r>
      <w:r>
        <w:rPr>
          <w:rFonts w:ascii="Times New Roman" w:hAnsi="Times New Roman"/>
          <w:sz w:val="24"/>
        </w:rPr>
        <w:t>).</w:t>
      </w:r>
    </w:p>
    <w:p>
      <w:pPr>
        <w:spacing w:line="360" w:lineRule="auto" w:before="0" w:after="60"/>
        <w:ind w:left="709" w:hanging="400"/>
        <w:jc w:val="both"/>
      </w:pPr>
      <w:r>
        <w:rPr>
          <w:b/>
        </w:rPr>
        <w:t xml:space="preserve">2. </w:t>
      </w:r>
      <w:r>
        <w:rPr>
          <w:rFonts w:ascii="Times New Roman" w:hAnsi="Times New Roman"/>
          <w:sz w:val="24"/>
          <w:b/>
        </w:rPr>
        <w:t>Kosakata AI Menumpuk</w:t>
      </w:r>
      <w:r>
        <w:rPr>
          <w:rFonts w:ascii="Times New Roman" w:hAnsi="Times New Roman"/>
          <w:sz w:val="24"/>
        </w:rPr>
        <w:t xml:space="preserve">: </w:t>
      </w:r>
      <w:r>
        <w:rPr>
          <w:rFonts w:ascii="Times New Roman" w:hAnsi="Times New Roman"/>
          <w:sz w:val="24"/>
          <w:i/>
        </w:rPr>
        <w:t>krusial, bukti abadi, tonggak sejarah, lanskap, holistik, komprehensif, paradigma, bersinergi</w:t>
      </w:r>
      <w:r>
        <w:rPr>
          <w:rFonts w:ascii="Times New Roman" w:hAnsi="Times New Roman"/>
          <w:sz w:val="24"/>
        </w:rPr>
        <w:t>.</w:t>
      </w:r>
    </w:p>
    <w:p>
      <w:pPr>
        <w:spacing w:line="360" w:lineRule="auto" w:before="0" w:after="60"/>
        <w:ind w:left="709" w:hanging="400"/>
        <w:jc w:val="both"/>
      </w:pPr>
      <w:r>
        <w:rPr>
          <w:b/>
        </w:rPr>
        <w:t xml:space="preserve">3. </w:t>
      </w:r>
      <w:r>
        <w:rPr>
          <w:rFonts w:ascii="Times New Roman" w:hAnsi="Times New Roman"/>
          <w:sz w:val="24"/>
          <w:b/>
        </w:rPr>
        <w:t>Formulaic Transitions</w:t>
      </w:r>
      <w:r>
        <w:rPr>
          <w:rFonts w:ascii="Times New Roman" w:hAnsi="Times New Roman"/>
          <w:sz w:val="24"/>
        </w:rPr>
        <w:t xml:space="preserve">: Paragraf 3 dibuka dengan </w:t>
      </w:r>
      <w:r>
        <w:rPr>
          <w:rFonts w:ascii="Times New Roman" w:hAnsi="Times New Roman"/>
          <w:sz w:val="24"/>
          <w:i/>
        </w:rPr>
        <w:t>"Selain itu,"</w:t>
      </w:r>
      <w:r>
        <w:rPr>
          <w:rFonts w:ascii="Times New Roman" w:hAnsi="Times New Roman"/>
          <w:sz w:val="24"/>
        </w:rPr>
        <w:t xml:space="preserve">, lalu disusul </w:t>
      </w:r>
      <w:r>
        <w:rPr>
          <w:rFonts w:ascii="Times New Roman" w:hAnsi="Times New Roman"/>
          <w:sz w:val="24"/>
          <w:i/>
        </w:rPr>
        <w:t>"Lebih lanjut,"</w:t>
      </w:r>
      <w:r>
        <w:rPr>
          <w:rFonts w:ascii="Times New Roman" w:hAnsi="Times New Roman"/>
          <w:sz w:val="24"/>
        </w:rPr>
        <w:t>.</w:t>
      </w:r>
    </w:p>
    <w:p>
      <w:pPr>
        <w:spacing w:line="360" w:lineRule="auto" w:before="0" w:after="60"/>
        <w:ind w:left="709" w:hanging="400"/>
        <w:jc w:val="both"/>
      </w:pPr>
      <w:r>
        <w:rPr>
          <w:b/>
        </w:rPr>
        <w:t xml:space="preserve">4. </w:t>
      </w:r>
      <w:r>
        <w:rPr>
          <w:rFonts w:ascii="Times New Roman" w:hAnsi="Times New Roman"/>
          <w:sz w:val="24"/>
          <w:b/>
        </w:rPr>
        <w:t>Frasa Pasif Birokratis</w:t>
      </w:r>
      <w:r>
        <w:rPr>
          <w:rFonts w:ascii="Times New Roman" w:hAnsi="Times New Roman"/>
          <w:sz w:val="24"/>
        </w:rPr>
        <w:t xml:space="preserve">: </w:t>
      </w:r>
      <w:r>
        <w:rPr>
          <w:rFonts w:ascii="Times New Roman" w:hAnsi="Times New Roman"/>
          <w:sz w:val="24"/>
          <w:i/>
        </w:rPr>
        <w:t>"perlu dilakukan dengan cara...", "patut dicatat bahwa...", "terkait dengan hal tersebut..."</w:t>
      </w:r>
      <w:r>
        <w:rPr>
          <w:rFonts w:ascii="Times New Roman" w:hAnsi="Times New Roman"/>
          <w:sz w:val="24"/>
        </w:rPr>
        <w:t>.</w:t>
      </w:r>
    </w:p>
    <w:p>
      <w:pPr>
        <w:spacing w:line="360" w:lineRule="auto" w:before="0" w:after="60"/>
        <w:ind w:left="709" w:hanging="400"/>
        <w:jc w:val="both"/>
      </w:pPr>
      <w:r>
        <w:rPr>
          <w:b/>
        </w:rPr>
        <w:t xml:space="preserve">5. </w:t>
      </w:r>
      <w:r>
        <w:rPr>
          <w:rFonts w:ascii="Times New Roman" w:hAnsi="Times New Roman"/>
          <w:sz w:val="24"/>
          <w:b/>
        </w:rPr>
        <w:t>Ketiadaan Data Lapangan</w:t>
      </w:r>
      <w:r>
        <w:rPr>
          <w:rFonts w:ascii="Times New Roman" w:hAnsi="Times New Roman"/>
          <w:sz w:val="24"/>
        </w:rPr>
        <w:t>: Tidak ada angka selisih stok, tidak ada nama gudang spesifik.</w:t>
      </w:r>
    </w:p>
    <w:p>
      <w:pPr>
        <w:spacing w:line="360" w:lineRule="auto" w:before="0" w:after="60"/>
        <w:ind w:left="709" w:hanging="400"/>
        <w:jc w:val="both"/>
      </w:pPr>
      <w:r>
        <w:rPr>
          <w:b/>
        </w:rPr>
        <w:t xml:space="preserve">6. </w:t>
      </w:r>
      <w:r>
        <w:rPr>
          <w:rFonts w:ascii="Times New Roman" w:hAnsi="Times New Roman"/>
          <w:sz w:val="24"/>
          <w:b/>
        </w:rPr>
        <w:t>Kesimpulan Khotbah Moral</w:t>
      </w:r>
      <w:r>
        <w:rPr>
          <w:rFonts w:ascii="Times New Roman" w:hAnsi="Times New Roman"/>
          <w:sz w:val="24"/>
        </w:rPr>
        <w:t>: Menutup latar belakang skripsi dengan wejangan persatuan nasional (</w:t>
      </w:r>
      <w:r>
        <w:rPr>
          <w:rFonts w:ascii="Times New Roman" w:hAnsi="Times New Roman"/>
          <w:sz w:val="24"/>
          <w:i/>
        </w:rPr>
        <w:t>"penting bagi kita semua untuk senantiasa..."</w:t>
      </w:r>
      <w:r>
        <w:rPr>
          <w:rFonts w:ascii="Times New Roman" w:hAnsi="Times New Roman"/>
          <w:sz w:val="24"/>
        </w:rPr>
        <w:t>).</w:t>
      </w:r>
    </w:p>
    <w:p>
      <w:pPr>
        <w:pBdr>
          <w:bottom w:val="single" w:sz="6" w:space="1" w:color="CCCCCC"/>
        </w:pBdr>
        <w:spacing w:before="120" w:after="120"/>
      </w:pPr>
    </w:p>
    <w:p>
      <w:pPr>
        <w:spacing w:before="280" w:after="160"/>
        <w:jc w:val="left"/>
      </w:pPr>
      <w:r>
        <w:rPr>
          <w:b/>
          <w:sz w:val="26"/>
          <w:szCs w:val="26"/>
        </w:rPr>
      </w:r>
      <w:r>
        <w:rPr>
          <w:rFonts w:ascii="Times New Roman" w:hAnsi="Times New Roman"/>
          <w:sz w:val="24"/>
        </w:rPr>
        <w:t>2. Naskah Hasil Humanisasi (Sesudah)</w:t>
      </w:r>
    </w:p>
    <w:p>
      <w:pPr>
        <w:spacing w:line="240" w:lineRule="auto" w:before="0" w:after="40"/>
        <w:ind w:left="720"/>
        <w:jc w:val="left"/>
      </w:pPr>
      <w:r>
        <w:rPr>
          <w:rFonts w:ascii="Courier New" w:hAnsi="Courier New"/>
          <w:sz w:val="20"/>
          <w:color w:val="333333"/>
        </w:rPr>
        <w:t xml:space="preserve">BAB I PENDAHULUAN</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1.1 Latar Belakang Masalah</w:t>
      </w:r>
    </w:p>
    <w:p>
      <w:pPr>
        <w:spacing w:line="240" w:lineRule="auto" w:before="0" w:after="40"/>
        <w:ind w:left="720"/>
        <w:jc w:val="left"/>
      </w:pPr>
      <w:r>
        <w:rPr>
          <w:rFonts w:ascii="Courier New" w:hAnsi="Courier New"/>
          <w:sz w:val="20"/>
          <w:color w:val="333333"/>
        </w:rPr>
        <w:t xml:space="preserve">Akurasi pencatatan inventaris menjadi penentu efisiensi biaya operasional pada industri logistik pihak ketiga (third-party logistics). Menurut laporan Asosiasi Logistik Indonesia (2023), biaya pergudangan menyumbang 28% dari total ongkos logistik nasional, dengan selisih stok fisik dan sistem (stock discrepancy) sebagai salah satu penyebab utama pembengkakan biaya pemeliharaan.</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Kondisi tersebut dialami oleh gudang pusat PT Logistik Cepat Nusantara di Cakung, Jakarta Timur. Berdasarkan data log audit internal periode Januari–Juni 2024, rata-rata selisih inventaris barang fast-moving consumer goods (FMCG) mencapai 4,8% per bulan, melampaui batas toleransi perusahaan sebesar 1,5%. Selisih ini disebabkan proses stock opname yang masih mengandalkan pencatatan lembar kertas manual sebelum diinput ulang operator ke sistem ERP di akhir shift kerja. Keterlambatan input hingga 6–8 jam memicu kesalahan pembacaan stok saat pemenuhan pesanan (order fulfillment) berjalan simultan.</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Penelitian terdahulu oleh Pratama dan Wijaya (2022) menunjukkan bahwa penerapan pemindaian barcode portabel dapat memangkas keterlambatan input data hingga 45%. Namun, metode tersebut masih rentan galat saat menghadapi volume barang masuk di atas 1.000 koli per jam karena proses pemindaian tetap memerlukan kontak langsung operator satu per satu. Di sisi lain, implementasi automated guided vehicles (AGV) yang diteliti Suryanto (2023) membutuhkan biaya investasi infrastruktur yang terlampau tinggi untuk skala pergudangan menengah.</w:t>
      </w:r>
    </w:p>
    <w:p>
      <w:pPr>
        <w:spacing w:line="240" w:lineRule="auto" w:before="0" w:after="40"/>
        <w:ind w:left="720"/>
        <w:jc w:val="left"/>
      </w:pPr>
      <w:r>
        <w:rPr>
          <w:rFonts w:ascii="Courier New" w:hAnsi="Courier New"/>
          <w:sz w:val="20"/>
          <w:color w:val="333333"/>
        </w:rPr>
        <w:t xml:space="preserve"/>
      </w:r>
    </w:p>
    <w:p>
      <w:pPr>
        <w:spacing w:line="240" w:lineRule="auto" w:before="0" w:after="40"/>
        <w:ind w:left="720"/>
        <w:jc w:val="left"/>
      </w:pPr>
      <w:r>
        <w:rPr>
          <w:rFonts w:ascii="Courier New" w:hAnsi="Courier New"/>
          <w:sz w:val="20"/>
          <w:color w:val="333333"/>
        </w:rPr>
        <w:t xml:space="preserve">Berdasarkan kesenjangan tersebut, penelitian ini merancang sistem inventarisasi berbasis kombinasi RFID pasif frekuensi ultra-tinggi (UHF) dan mikrokontroler ESP32 pada pintu gerbang bongkar muat (loading dock). Sistem ini dirancang untuk membaca identitas multi-tag palet secara bersamaan tanpa intervensi fisik manual, dengan target menekan tingkat selisih stok hingga di bawah 1,5% serta memperbarui basis data server secara seketika (*real-time*).</w:t>
      </w:r>
    </w:p>
    <w:p>
      <w:pPr>
        <w:spacing w:after="120"/>
      </w:pPr>
    </w:p>
    <w:p>
      <w:pPr>
        <w:spacing w:before="200" w:after="120"/>
        <w:jc w:val="left"/>
      </w:pPr>
      <w:r>
        <w:rPr>
          <w:b/>
          <w:i/>
          <w:sz w:val="24"/>
          <w:szCs w:val="24"/>
        </w:rPr>
      </w:r>
      <w:r>
        <w:rPr>
          <w:rFonts w:ascii="Times New Roman" w:hAnsi="Times New Roman"/>
          <w:sz w:val="24"/>
        </w:rPr>
        <w:t>Mengapa Versi Ini Lolos Cek Dosen &amp; Detektor AI?</w:t>
      </w:r>
    </w:p>
    <w:p>
      <w:pPr>
        <w:spacing w:line="360" w:lineRule="auto" w:before="0" w:after="60"/>
        <w:ind w:left="709" w:hanging="400"/>
        <w:jc w:val="both"/>
      </w:pPr>
      <w:r>
        <w:rPr>
          <w:b/>
        </w:rPr>
        <w:t xml:space="preserve">* </w:t>
      </w:r>
      <w:r>
        <w:rPr>
          <w:rFonts w:ascii="Times New Roman" w:hAnsi="Times New Roman"/>
          <w:sz w:val="24"/>
          <w:b/>
        </w:rPr>
        <w:t>Alur Piramida Terbalik Nyata</w:t>
      </w:r>
      <w:r>
        <w:rPr>
          <w:rFonts w:ascii="Times New Roman" w:hAnsi="Times New Roman"/>
          <w:sz w:val="24"/>
        </w:rPr>
        <w:t>: Dimulai dari data asosiasi logistik resmi $\rightarrow$ data audit riil di Cakung $\rightarrow$ perbandingan riset terdahulu (</w:t>
      </w:r>
      <w:r>
        <w:rPr>
          <w:rFonts w:ascii="Times New Roman" w:hAnsi="Times New Roman"/>
          <w:sz w:val="24"/>
          <w:i/>
        </w:rPr>
        <w:t>state of the art</w:t>
      </w:r>
      <w:r>
        <w:rPr>
          <w:rFonts w:ascii="Times New Roman" w:hAnsi="Times New Roman"/>
          <w:sz w:val="24"/>
        </w:rPr>
        <w:t>) $\rightarrow$ solusi dan kebaruan (</w:t>
      </w:r>
      <w:r>
        <w:rPr>
          <w:rFonts w:ascii="Times New Roman" w:hAnsi="Times New Roman"/>
          <w:sz w:val="24"/>
          <w:i/>
        </w:rPr>
        <w:t>novelty</w:t>
      </w:r>
      <w:r>
        <w:rPr>
          <w:rFonts w:ascii="Times New Roman" w:hAnsi="Times New Roman"/>
          <w:sz w:val="24"/>
        </w:rPr>
        <w:t>) yang terukur.</w:t>
      </w:r>
    </w:p>
    <w:p>
      <w:pPr>
        <w:spacing w:line="360" w:lineRule="auto" w:before="0" w:after="60"/>
        <w:ind w:left="709" w:hanging="400"/>
        <w:jc w:val="both"/>
      </w:pPr>
      <w:r>
        <w:rPr>
          <w:b/>
        </w:rPr>
        <w:t xml:space="preserve">* </w:t>
      </w:r>
      <w:r>
        <w:rPr>
          <w:rFonts w:ascii="Times New Roman" w:hAnsi="Times New Roman"/>
          <w:sz w:val="24"/>
          <w:b/>
        </w:rPr>
        <w:t>Semua Angka Terukur</w:t>
      </w:r>
      <w:r>
        <w:rPr>
          <w:rFonts w:ascii="Times New Roman" w:hAnsi="Times New Roman"/>
          <w:sz w:val="24"/>
        </w:rPr>
        <w:t>: Menyebutkan persentase selisih 4,8%, batas toleransi 1,5%, dan durasi keterlambatan 6–8 jam.</w:t>
      </w:r>
    </w:p>
    <w:p>
      <w:pPr>
        <w:spacing w:line="360" w:lineRule="auto" w:before="0" w:after="60"/>
        <w:ind w:left="709" w:hanging="400"/>
        <w:jc w:val="both"/>
      </w:pPr>
      <w:r>
        <w:rPr>
          <w:b/>
        </w:rPr>
        <w:t xml:space="preserve">* </w:t>
      </w:r>
      <w:r>
        <w:rPr>
          <w:rFonts w:ascii="Times New Roman" w:hAnsi="Times New Roman"/>
          <w:sz w:val="24"/>
          <w:b/>
        </w:rPr>
        <w:t>Bebas Seluruh AI-Slop</w:t>
      </w:r>
      <w:r>
        <w:rPr>
          <w:rFonts w:ascii="Times New Roman" w:hAnsi="Times New Roman"/>
          <w:sz w:val="24"/>
        </w:rPr>
        <w:t xml:space="preserve">: Tidak ada kata </w:t>
      </w:r>
      <w:r>
        <w:rPr>
          <w:rFonts w:ascii="Times New Roman" w:hAnsi="Times New Roman"/>
          <w:sz w:val="24"/>
          <w:i/>
        </w:rPr>
        <w:t>krusial, lanskap, tonggak</w:t>
      </w:r>
      <w:r>
        <w:rPr>
          <w:rFonts w:ascii="Times New Roman" w:hAnsi="Times New Roman"/>
          <w:sz w:val="24"/>
        </w:rPr>
        <w:t>, tanpa konjungsi transisi berulang, tanpa wejangan masa depan cerah.</w:t>
      </w:r>
    </w:p>
    <w:sectPr>
      <w:pgSz w:w="11906" w:h="16838"/>
      <w:pgMar w:top="2268" w:bottom="1701" w:left="2268" w:right="170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id-ID"/>
      </w:rPr>
    </w:rPrDefault>
    <w:pPrDefault>
      <w:pPr>
        <w:spacing w:line="360" w:lineRule="auto" w:before="0" w:after="120"/>
        <w:jc w:val="both"/>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