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C3754F" w14:textId="77777777" w:rsidR="003F3935" w:rsidRDefault="003F3935" w:rsidP="00935185">
      <w:pPr>
        <w:rPr>
          <w:rStyle w:val="Strong"/>
        </w:rPr>
      </w:pPr>
    </w:p>
    <w:p w14:paraId="495C5B89" w14:textId="45DFCCE0" w:rsidR="003F3935" w:rsidRDefault="003F3935" w:rsidP="00935185">
      <w:pPr>
        <w:jc w:val="center"/>
        <w:rPr>
          <w:rStyle w:val="Strong"/>
        </w:rPr>
      </w:pPr>
      <w:r w:rsidRPr="003F3935">
        <w:rPr>
          <w:rStyle w:val="Strong"/>
        </w:rPr>
        <w:t>Executive Summary</w:t>
      </w:r>
    </w:p>
    <w:p w14:paraId="7894F736" w14:textId="77777777" w:rsidR="003F3935" w:rsidRPr="003F3935" w:rsidRDefault="003F3935" w:rsidP="00935185"/>
    <w:p w14:paraId="454E30FE" w14:textId="24DB3A3C" w:rsidR="00935185" w:rsidRDefault="00935185" w:rsidP="00935185">
      <w:pPr>
        <w:jc w:val="both"/>
      </w:pPr>
      <w:r>
        <w:t>This assessment asks whether individual large-cap tech stocks offered a better opportunity than simply tracking the broader market. I compared NVIDIA and Intel with the Nasdaq Composite from January 2005 to December 2025, using one reproducible R script built on adjusted Yahoo Finance prices and Federal Reserve CPI data</w:t>
      </w:r>
      <w:r w:rsidR="00456822">
        <w:t>. I</w:t>
      </w:r>
      <w:r>
        <w:t xml:space="preserve"> measured returns, volatility, downside risk, and long-run growth in both nominal and inflation-adjusted terms.</w:t>
      </w:r>
    </w:p>
    <w:p w14:paraId="63BA4B33" w14:textId="28F7A078" w:rsidR="00935185" w:rsidRDefault="00935185" w:rsidP="00935185">
      <w:pPr>
        <w:jc w:val="both"/>
      </w:pPr>
      <w:r>
        <w:t>The outcomes could hardly be further apart. NVIDIA compounded at 39.2% a year and Intel at 5.0%, against 12.0% for the index. Inflation of 2.57% a year erodes all three further, but the gap barely closes</w:t>
      </w:r>
      <w:r w:rsidR="00456822">
        <w:t>. I</w:t>
      </w:r>
      <w:r>
        <w:t xml:space="preserve">n 2005 purchasing power, $10,000 invested then would be worth $6.1 million in NVIDIA, $63,000 in the index, and just $16,000 in Intel. Both stocks were far riskier than the index </w:t>
      </w:r>
      <w:r w:rsidR="00456822">
        <w:t xml:space="preserve">with </w:t>
      </w:r>
      <w:r>
        <w:t>46% and 31% annual volatility versus 18%</w:t>
      </w:r>
      <w:r w:rsidR="00631382">
        <w:t xml:space="preserve"> – but</w:t>
      </w:r>
      <w:r>
        <w:t xml:space="preserve"> only NVIDIA was actually compensated for it, with a Sharpe ratio of 0.90 against 0.63 for the index and a weak 0.26 for Intel. Risk </w:t>
      </w:r>
      <w:r w:rsidR="003679AB">
        <w:t>isn’t fixed:</w:t>
      </w:r>
      <w:r>
        <w:t xml:space="preserve"> </w:t>
      </w:r>
      <w:r w:rsidR="003679AB">
        <w:t xml:space="preserve"> </w:t>
      </w:r>
      <w:r w:rsidR="003679AB">
        <w:t>it shifts over time in phases of calm and turbulence</w:t>
      </w:r>
      <w:r w:rsidR="003679AB">
        <w:t xml:space="preserve"> </w:t>
      </w:r>
      <w:r>
        <w:t>and Intel's Value at Risk over the last two years is two-thirds worse than its twenty-one-year figure suggests.</w:t>
      </w:r>
    </w:p>
    <w:p w14:paraId="791876F3" w14:textId="7D1E75F7" w:rsidR="00631382" w:rsidRDefault="00935185" w:rsidP="00935185">
      <w:pPr>
        <w:jc w:val="both"/>
      </w:pPr>
      <w:r>
        <w:t>For an investor, the index therefore belongs at the core of a portfolio</w:t>
      </w:r>
      <w:r w:rsidR="003679AB">
        <w:t xml:space="preserve"> </w:t>
      </w:r>
      <w:r w:rsidR="003679AB">
        <w:t>and treat a single stock like NVIDIA as a small, deliberate side bet</w:t>
      </w:r>
      <w:r>
        <w:t xml:space="preserve"> </w:t>
      </w:r>
      <w:r w:rsidR="00631382">
        <w:t xml:space="preserve">– not the main strategy. </w:t>
      </w:r>
      <w:r w:rsidR="00631382">
        <w:t>Decisions should be based on real, risk-adjusted returns rather than headline numbers, and risk should be re-checked using recent data rather than long-term averages.</w:t>
      </w:r>
    </w:p>
    <w:p w14:paraId="7CE3D5F0" w14:textId="3CE6A274" w:rsidR="00935185" w:rsidRDefault="00935185" w:rsidP="00935185">
      <w:pPr>
        <w:jc w:val="both"/>
      </w:pPr>
      <w:r>
        <w:t xml:space="preserve">Three limitations </w:t>
      </w:r>
      <w:r w:rsidR="00631382">
        <w:t>to my findings</w:t>
      </w:r>
      <w:r>
        <w:t>: NVIDIA was selected with hindsight, so the comparison shows what stock-picking costs when it fails more than it proves stock-picking works; historical VaR assumes the past repeats; and the Nasdaq excludes dividends while the stock series include them.</w:t>
      </w:r>
    </w:p>
    <w:p w14:paraId="068C617E" w14:textId="77777777" w:rsidR="003F3935" w:rsidRPr="003F3935" w:rsidRDefault="003F3935" w:rsidP="00935185"/>
    <w:sectPr w:rsidR="003F3935" w:rsidRPr="003F393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8A6718" w14:textId="77777777" w:rsidR="008E5286" w:rsidRDefault="008E5286" w:rsidP="003F3935">
      <w:pPr>
        <w:spacing w:after="0" w:line="240" w:lineRule="auto"/>
      </w:pPr>
      <w:r>
        <w:separator/>
      </w:r>
    </w:p>
  </w:endnote>
  <w:endnote w:type="continuationSeparator" w:id="0">
    <w:p w14:paraId="24A3A9C9" w14:textId="77777777" w:rsidR="008E5286" w:rsidRDefault="008E5286" w:rsidP="003F3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9AC43E" w14:textId="77777777" w:rsidR="008E5286" w:rsidRDefault="008E5286" w:rsidP="003F3935">
      <w:pPr>
        <w:spacing w:after="0" w:line="240" w:lineRule="auto"/>
      </w:pPr>
      <w:r>
        <w:separator/>
      </w:r>
    </w:p>
  </w:footnote>
  <w:footnote w:type="continuationSeparator" w:id="0">
    <w:p w14:paraId="3F9671E6" w14:textId="77777777" w:rsidR="008E5286" w:rsidRDefault="008E5286" w:rsidP="003F39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613C14" w14:textId="20CC59E8" w:rsidR="003F3935" w:rsidRPr="003F3935" w:rsidRDefault="003F3935">
    <w:pPr>
      <w:pStyle w:val="Header"/>
      <w:rPr>
        <w:lang w:val="en-GB"/>
      </w:rPr>
    </w:pPr>
    <w:r w:rsidRPr="003F3935">
      <w:rPr>
        <w:lang w:val="en-GB"/>
      </w:rPr>
      <w:t>BUS713 Financial Analytics</w:t>
    </w:r>
    <w:r w:rsidRPr="003F3935">
      <w:rPr>
        <w:lang w:val="en-GB"/>
      </w:rPr>
      <w:tab/>
      <w:t>Task 1</w:t>
    </w:r>
    <w:r w:rsidRPr="003F3935">
      <w:rPr>
        <w:lang w:val="en-GB"/>
      </w:rPr>
      <w:tab/>
      <w:t>Adam Heier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35"/>
    <w:rsid w:val="003679AB"/>
    <w:rsid w:val="003F3721"/>
    <w:rsid w:val="003F3935"/>
    <w:rsid w:val="00456822"/>
    <w:rsid w:val="00631382"/>
    <w:rsid w:val="008E5286"/>
    <w:rsid w:val="00935185"/>
    <w:rsid w:val="00A4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EA37CA"/>
  <w15:chartTrackingRefBased/>
  <w15:docId w15:val="{BDE0C927-62BE-4A48-87AD-D2CD8B62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9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F393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F3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935"/>
  </w:style>
  <w:style w:type="paragraph" w:styleId="Footer">
    <w:name w:val="footer"/>
    <w:basedOn w:val="Normal"/>
    <w:link w:val="FooterChar"/>
    <w:uiPriority w:val="99"/>
    <w:unhideWhenUsed/>
    <w:rsid w:val="003F39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Heier</dc:creator>
  <cp:keywords/>
  <dc:description/>
  <cp:lastModifiedBy>Adam Heier</cp:lastModifiedBy>
  <cp:revision>1</cp:revision>
  <cp:lastPrinted>2026-09-10T10:58:00Z</cp:lastPrinted>
  <dcterms:created xsi:type="dcterms:W3CDTF">2026-09-10T07:12:00Z</dcterms:created>
  <dcterms:modified xsi:type="dcterms:W3CDTF">2026-09-10T11:10:00Z</dcterms:modified>
</cp:coreProperties>
</file>