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t xml:space="preserve"/>
      </w:r>
    </w:p>
    <w:p>
      <w:pPr>
        <w:spacing w:after="200"/>
        <w:jc w:val="center"/>
      </w:pPr>
      <w:r>
        <w:rPr>
          <w:rFonts w:ascii="Calibri" w:cs="Calibri" w:eastAsia="Calibri" w:hAnsi="Calibri"/>
          <w:b/>
          <w:bCs/>
          <w:sz w:val="56"/>
          <w:szCs w:val="56"/>
        </w:rPr>
        <w:t xml:space="preserve">TASK 2</w:t>
      </w:r>
    </w:p>
    <w:p>
      <w:pPr>
        <w:spacing w:after="400"/>
        <w:jc w:val="center"/>
      </w:pPr>
      <w:r>
        <w:rPr>
          <w:rFonts w:ascii="Calibri" w:cs="Calibri" w:eastAsia="Calibri" w:hAnsi="Calibri"/>
          <w:b/>
          <w:bCs/>
          <w:sz w:val="36"/>
          <w:szCs w:val="36"/>
        </w:rPr>
        <w:t xml:space="preserve">ICT702: Data Visualisation</w:t>
      </w:r>
    </w:p>
    <w:p>
      <w:pPr>
        <w:spacing w:after="60"/>
        <w:jc w:val="center"/>
      </w:pPr>
      <w:r>
        <w:rPr>
          <w:rFonts w:ascii="Calibri" w:cs="Calibri" w:eastAsia="Calibri" w:hAnsi="Calibri"/>
          <w:b w:val="false"/>
          <w:bCs w:val="false"/>
          <w:sz w:val="30"/>
          <w:szCs w:val="30"/>
        </w:rPr>
        <w:t xml:space="preserve">Growing Golf in Germany</w:t>
      </w:r>
    </w:p>
    <w:p>
      <w:pPr>
        <w:spacing w:after="700"/>
        <w:jc w:val="center"/>
      </w:pPr>
      <w:r>
        <w:rPr>
          <w:rFonts w:ascii="Calibri" w:cs="Calibri" w:eastAsia="Calibri" w:hAnsi="Calibri"/>
          <w:b w:val="false"/>
          <w:bCs w:val="false"/>
          <w:sz w:val="26"/>
          <w:szCs w:val="26"/>
        </w:rPr>
        <w:t xml:space="preserve">A Participation Dashboard for the German Golf Federation</w:t>
      </w:r>
    </w:p>
    <w:p>
      <w:pPr>
        <w:spacing w:after="100"/>
        <w:jc w:val="center"/>
      </w:pPr>
      <w:r>
        <w:rPr>
          <w:rFonts w:ascii="Calibri" w:cs="Calibri" w:eastAsia="Calibri" w:hAnsi="Calibri"/>
          <w:b w:val="false"/>
          <w:bCs w:val="false"/>
          <w:sz w:val="22"/>
          <w:szCs w:val="22"/>
        </w:rPr>
        <w:t xml:space="preserve">Student name: Adam Heier</w:t>
      </w:r>
    </w:p>
    <w:p>
      <w:pPr>
        <w:spacing w:after="100"/>
        <w:jc w:val="center"/>
      </w:pPr>
      <w:r>
        <w:rPr>
          <w:rFonts w:ascii="Calibri" w:cs="Calibri" w:eastAsia="Calibri" w:hAnsi="Calibri"/>
          <w:b w:val="false"/>
          <w:bCs w:val="false"/>
          <w:sz w:val="22"/>
          <w:szCs w:val="22"/>
        </w:rPr>
        <w:t xml:space="preserve">Student ID: 1231535</w:t>
      </w:r>
    </w:p>
    <w:p>
      <w:pPr>
        <w:spacing w:after="100"/>
        <w:jc w:val="center"/>
      </w:pPr>
      <w:r>
        <w:rPr>
          <w:rFonts w:ascii="Calibri" w:cs="Calibri" w:eastAsia="Calibri" w:hAnsi="Calibri"/>
          <w:b w:val="false"/>
          <w:bCs w:val="false"/>
          <w:sz w:val="22"/>
          <w:szCs w:val="22"/>
        </w:rPr>
        <w:t xml:space="preserve">Campus: Sunshine Coast</w:t>
      </w:r>
    </w:p>
    <w:p>
      <w:pPr>
        <w:spacing w:after="100"/>
        <w:jc w:val="center"/>
      </w:pPr>
      <w:r>
        <w:rPr>
          <w:rFonts w:ascii="Calibri" w:cs="Calibri" w:eastAsia="Calibri" w:hAnsi="Calibri"/>
          <w:b w:val="false"/>
          <w:bCs w:val="false"/>
          <w:sz w:val="22"/>
          <w:szCs w:val="22"/>
        </w:rPr>
        <w:t xml:space="preserve">Tutor's name: [insert tutor name]</w:t>
      </w:r>
    </w:p>
    <w:p>
      <w:pPr>
        <w:spacing w:after="100"/>
        <w:jc w:val="center"/>
      </w:pPr>
      <w:r>
        <w:rPr>
          <w:rFonts w:ascii="Calibri" w:cs="Calibri" w:eastAsia="Calibri" w:hAnsi="Calibri"/>
          <w:b w:val="false"/>
          <w:bCs w:val="false"/>
          <w:sz w:val="22"/>
          <w:szCs w:val="22"/>
        </w:rPr>
        <w:t xml:space="preserve">Due date: 25 September 2026</w:t>
      </w:r>
    </w:p>
    <w:p>
      <w:pPr>
        <w:spacing w:after="100"/>
        <w:jc w:val="center"/>
      </w:pPr>
      <w:r>
        <w:rPr>
          <w:rFonts w:ascii="Calibri" w:cs="Calibri" w:eastAsia="Calibri" w:hAnsi="Calibri"/>
          <w:b w:val="false"/>
          <w:bCs w:val="false"/>
          <w:sz w:val="22"/>
          <w:szCs w:val="22"/>
        </w:rPr>
        <w:t xml:space="preserve">Submission date: [insert date]</w:t>
      </w:r>
    </w:p>
    <w:p>
      <w:pPr>
        <w:spacing w:after="600"/>
        <w:jc w:val="center"/>
      </w:pPr>
      <w:r>
        <w:rPr>
          <w:rFonts w:ascii="Calibri" w:cs="Calibri" w:eastAsia="Calibri" w:hAnsi="Calibri"/>
          <w:b w:val="false"/>
          <w:bCs w:val="false"/>
          <w:sz w:val="22"/>
          <w:szCs w:val="22"/>
        </w:rPr>
        <w:t xml:space="preserve">Word count: [check in Word]</w:t>
      </w:r>
    </w:p>
    <w:p>
      <w:pPr>
        <w:spacing w:after="60"/>
        <w:jc w:val="center"/>
      </w:pPr>
      <w:r>
        <w:rPr>
          <w:rFonts w:ascii="Calibri" w:cs="Calibri" w:eastAsia="Calibri" w:hAnsi="Calibri"/>
          <w:b/>
          <w:bCs/>
          <w:sz w:val="26"/>
          <w:szCs w:val="26"/>
        </w:rPr>
        <w:t xml:space="preserve">Adam Heier</w:t>
      </w:r>
    </w:p>
    <w:p>
      <w:pPr>
        <w:spacing w:after="100"/>
        <w:jc w:val="center"/>
      </w:pPr>
      <w:r>
        <w:rPr>
          <w:rFonts w:ascii="Calibri" w:cs="Calibri" w:eastAsia="Calibri" w:hAnsi="Calibri"/>
          <w:b w:val="false"/>
          <w:bCs w:val="false"/>
          <w:sz w:val="22"/>
          <w:szCs w:val="22"/>
        </w:rPr>
        <w:t xml:space="preserve">ajh123@student.usc.edu.au</w:t>
      </w:r>
    </w:p>
    <w:p>
      <w:r>
        <w:br w:type="page"/>
      </w:r>
    </w:p>
    <w:p>
      <w:pPr>
        <w:spacing w:after="200"/>
      </w:pPr>
      <w:r>
        <w:rPr>
          <w:rFonts w:ascii="Calibri" w:cs="Calibri" w:eastAsia="Calibri" w:hAnsi="Calibri"/>
          <w:b/>
          <w:bCs/>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30"/>
          <w:szCs w:val="30"/>
        </w:rPr>
        <w:t xml:space="preserve">1.  Purpose and Objective</w:t>
      </w:r>
    </w:p>
    <w:p>
      <w:pPr>
        <w:spacing w:after="160" w:line="276"/>
        <w:jc w:val="both"/>
      </w:pPr>
      <w:r>
        <w:rPr>
          <w:rFonts w:ascii="Calibri" w:cs="Calibri" w:eastAsia="Calibri" w:hAnsi="Calibri"/>
          <w:sz w:val="22"/>
          <w:szCs w:val="22"/>
        </w:rPr>
        <w:t xml:space="preserve">In January 2026 the German Golf Federation (DGV) announced a record: 695,617 registered memberships, 8.2 per cent above 2016. For a sport long characterised as ageing and closed, that reads as success. This dashboard tests it.</w:t>
      </w:r>
    </w:p>
    <w:p>
      <w:pPr>
        <w:spacing w:after="160" w:line="276"/>
        <w:jc w:val="both"/>
      </w:pPr>
      <w:r>
        <w:rPr>
          <w:rFonts w:ascii="Calibri" w:cs="Calibri" w:eastAsia="Calibri" w:hAnsi="Calibri"/>
          <w:sz w:val="22"/>
          <w:szCs w:val="22"/>
        </w:rPr>
        <w:t xml:space="preserve">Its objective is to give the DGV executive board — which sets national participation strategy and allocates the programme budget — a single view that separates genuine growth from demographic drift, and directs a limited budget toward the segment likely to return the most members. The twelve state golf associations are the secondary audience, as the layer that implements those decisions regionally.</w:t>
      </w:r>
    </w:p>
    <w:p>
      <w:pPr>
        <w:spacing w:after="160" w:line="276"/>
        <w:jc w:val="both"/>
      </w:pPr>
      <w:r>
        <w:rPr>
          <w:rFonts w:ascii="Calibri" w:cs="Calibri" w:eastAsia="Calibri" w:hAnsi="Calibri"/>
          <w:sz w:val="22"/>
          <w:szCs w:val="22"/>
        </w:rPr>
        <w:t xml:space="preserve">The dashboard is organised around one question: is German golf growing because it attracts new participants, or because an existing cohort is ageing through the system? The answer changes what the board should fund. If growth is genuine, the task is to sustain it. If it is drift, the federation is spending a demographic inheritance and must rebuild its pipeline before the baby-boomer cohort leaves the sport.</w:t>
      </w:r>
    </w:p>
    <w:p>
      <w:pPr>
        <w:spacing w:after="160" w:line="276"/>
        <w:jc w:val="both"/>
      </w:pPr>
      <w:r>
        <w:rPr>
          <w:rFonts w:ascii="Calibri" w:cs="Calibri" w:eastAsia="Calibri" w:hAnsi="Calibri"/>
          <w:sz w:val="22"/>
          <w:szCs w:val="22"/>
        </w:rPr>
        <w:t xml:space="preserve">Six linked visualisations support that decision. A ten-year membership trend sets the headline position, and a second chart sizes the pool of people who play without holding a membership. A slope chart isolates which age cohorts are growing and which are being lost, while a female-share-by-age view shows where the sport loses women. A ranked chart and a regional map identify where domestic capacity is underused, and a European benchmark sets the target. A year selector resets every comparison against any baseline from 2016 to 2024.</w:t>
      </w:r>
    </w:p>
    <w:p>
      <w:pPr>
        <w:spacing w:after="160" w:line="276"/>
        <w:jc w:val="both"/>
      </w:pPr>
      <w:r>
        <w:rPr>
          <w:rFonts w:ascii="Calibri" w:cs="Calibri" w:eastAsia="Calibri" w:hAnsi="Calibri"/>
          <w:sz w:val="22"/>
          <w:szCs w:val="22"/>
        </w:rPr>
        <w:t xml:space="preserve">Together these answer four questions: where growth comes from, how large the unconverted audience is, which segment is being lost fastest, and where investment returns the most members. The dashboard is diagnostic rather than descriptive: it challenges a favourable headline and moves strategy from raising awareness toward converting demand that already exists.</w:t>
      </w:r>
    </w:p>
    <w:p>
      <w:pPr>
        <w:pStyle w:val="Heading1"/>
        <w:spacing w:after="160" w:before="320"/>
      </w:pPr>
      <w:r>
        <w:rPr>
          <w:rFonts w:ascii="Calibri" w:cs="Calibri" w:eastAsia="Calibri" w:hAnsi="Calibri"/>
          <w:b/>
          <w:bCs/>
          <w:color w:val="1F3864"/>
          <w:sz w:val="30"/>
          <w:szCs w:val="30"/>
        </w:rPr>
        <w:t xml:space="preserve">2.  The Dashboard</w:t>
      </w:r>
    </w:p>
    <w:p>
      <w:pPr>
        <w:spacing w:after="160" w:line="276"/>
        <w:jc w:val="both"/>
      </w:pPr>
      <w:r>
        <w:rPr>
          <w:rFonts w:ascii="Calibri" w:cs="Calibri" w:eastAsia="Calibri" w:hAnsi="Calibri"/>
          <w:sz w:val="22"/>
          <w:szCs w:val="22"/>
        </w:rPr>
        <w:t xml:space="preserve">The dashboard is submitted as a separate Excel file. Figure 1 shows the complete view; the sheets behind it hold the source tables, derived measures and documented sources.</w:t>
      </w:r>
    </w:p>
    <w:p>
      <w:pPr>
        <w:pBdr>
          <w:top w:val="dashed" w:color="BFBFBF" w:sz="6"/>
          <w:bottom w:val="dashed" w:color="BFBFBF" w:sz="6"/>
          <w:left w:val="dashed" w:color="BFBFBF" w:sz="6"/>
          <w:right w:val="dashed" w:color="BFBFBF" w:sz="6"/>
        </w:pBdr>
        <w:spacing w:after="80" w:before="160"/>
        <w:jc w:val="center"/>
      </w:pPr>
      <w:r>
        <w:rPr>
          <w:rFonts w:ascii="Calibri" w:cs="Calibri" w:eastAsia="Calibri" w:hAnsi="Calibri"/>
          <w:i/>
          <w:iCs/>
          <w:color w:val="808080"/>
          <w:sz w:val="20"/>
          <w:szCs w:val="20"/>
        </w:rPr>
        <w:t xml:space="preserve">[ Insert Figure 1: full screenshot of the 20_Dashboard sheet ]</w:t>
      </w:r>
    </w:p>
    <w:p>
      <w:pPr>
        <w:spacing w:after="240" w:before="80"/>
        <w:jc w:val="left"/>
      </w:pPr>
      <w:r>
        <w:rPr>
          <w:rFonts w:ascii="Calibri" w:cs="Calibri" w:eastAsia="Calibri" w:hAnsi="Calibri"/>
          <w:i/>
          <w:iCs/>
          <w:color w:val="595959"/>
          <w:sz w:val="18"/>
          <w:szCs w:val="18"/>
        </w:rPr>
        <w:t xml:space="preserve">Figure 1: Growing Golf in Germany — participation dashboard, 2016–2025.</w:t>
      </w:r>
    </w:p>
    <w:p>
      <w:pPr>
        <w:pStyle w:val="Heading1"/>
        <w:spacing w:after="160" w:before="320"/>
      </w:pPr>
      <w:r>
        <w:rPr>
          <w:rFonts w:ascii="Calibri" w:cs="Calibri" w:eastAsia="Calibri" w:hAnsi="Calibri"/>
          <w:b/>
          <w:bCs/>
          <w:color w:val="1F3864"/>
          <w:sz w:val="30"/>
          <w:szCs w:val="30"/>
        </w:rPr>
        <w:t xml:space="preserve">3.  Application of Visualisation Theory and Principles</w:t>
      </w:r>
    </w:p>
    <w:p>
      <w:pPr>
        <w:pStyle w:val="Heading2"/>
        <w:spacing w:after="120" w:before="240"/>
      </w:pPr>
      <w:r>
        <w:rPr>
          <w:rFonts w:ascii="Calibri" w:cs="Calibri" w:eastAsia="Calibri" w:hAnsi="Calibri"/>
          <w:b/>
          <w:bCs/>
          <w:color w:val="2E5496"/>
          <w:sz w:val="24"/>
          <w:szCs w:val="24"/>
        </w:rPr>
        <w:t xml:space="preserve">Preparation and validation</w:t>
      </w:r>
    </w:p>
    <w:p>
      <w:pPr>
        <w:spacing w:after="160" w:line="276"/>
        <w:jc w:val="both"/>
      </w:pPr>
      <w:r>
        <w:rPr>
          <w:rFonts w:ascii="Calibri" w:cs="Calibri" w:eastAsia="Calibri" w:hAnsi="Calibri"/>
          <w:sz w:val="22"/>
          <w:szCs w:val="22"/>
        </w:rPr>
        <w:t xml:space="preserve">The dashboard draws on ten annual statistical reports published by the DGV between 2017 and 2026, covering membership years 2016 to 2025, supplemented with Allensbach survey data on awareness and interest, The R&amp;A's Global Golf Participation report, and population figures from the Federal Statistical Office.</w:t>
      </w:r>
    </w:p>
    <w:p>
      <w:pPr>
        <w:spacing w:after="160" w:line="276"/>
        <w:jc w:val="both"/>
      </w:pPr>
      <w:r>
        <w:rPr>
          <w:rFonts w:ascii="Calibri" w:cs="Calibri" w:eastAsia="Calibri" w:hAnsi="Calibri"/>
          <w:sz w:val="22"/>
          <w:szCs w:val="22"/>
        </w:rPr>
        <w:t xml:space="preserve">Because the DGV publishes only in PDF, tables were extracted programmatically rather than retyped, removing transcription error as a failure mode. Each year was reconciled against four independently published figures: the age-by-gender table, the thirteen state association rows, the national player series, and the state facility counts. All ten years agree exactly. The R&amp;A data reconciles too: 417,194 adult men, 227,267 adult women and 42,247 juniors sum to 686,708, the DGV total for 2024.</w:t>
      </w:r>
    </w:p>
    <w:p>
      <w:pPr>
        <w:spacing w:after="160" w:line="276"/>
        <w:jc w:val="both"/>
      </w:pPr>
      <w:r>
        <w:rPr>
          <w:rFonts w:ascii="Calibri" w:cs="Calibri" w:eastAsia="Calibri" w:hAnsi="Calibri"/>
          <w:sz w:val="22"/>
          <w:szCs w:val="22"/>
        </w:rPr>
        <w:t xml:space="preserve">Raw tables were kept in the shape the DGV publishes them so any figure can be audited against its source, while derived measures were written as live formulas rather than pasted values.</w:t>
      </w:r>
    </w:p>
    <w:p>
      <w:pPr>
        <w:pStyle w:val="Heading2"/>
        <w:spacing w:after="120" w:before="240"/>
      </w:pPr>
      <w:r>
        <w:rPr>
          <w:rFonts w:ascii="Calibri" w:cs="Calibri" w:eastAsia="Calibri" w:hAnsi="Calibri"/>
          <w:b/>
          <w:bCs/>
          <w:color w:val="2E5496"/>
          <w:sz w:val="24"/>
          <w:szCs w:val="24"/>
        </w:rPr>
        <w:t xml:space="preserve">Selecting the visualisations</w:t>
      </w:r>
    </w:p>
    <w:p>
      <w:pPr>
        <w:spacing w:after="160" w:line="276"/>
        <w:jc w:val="both"/>
      </w:pPr>
      <w:r>
        <w:rPr>
          <w:rFonts w:ascii="Calibri" w:cs="Calibri" w:eastAsia="Calibri" w:hAnsi="Calibri"/>
          <w:sz w:val="22"/>
          <w:szCs w:val="22"/>
        </w:rPr>
        <w:t xml:space="preserve">Each visualisation was matched to one of the four analytical goals — composition, ranking, relationship and distribution — before a chart type was chosen (Camm et al., 2021). Trends over time use line charts, because connecting consecutive points implies continuity. Rankings use bar charts sorted by value, with bars rather than columns because the category names are long. Change between two points uses a slope chart, and regional penetration a choropleth map, the appropriate form for a quantitative variable distributed across geography.</w:t>
      </w:r>
    </w:p>
    <w:p>
      <w:pPr>
        <w:spacing w:after="160" w:line="276"/>
        <w:jc w:val="both"/>
      </w:pPr>
      <w:r>
        <w:rPr>
          <w:rFonts w:ascii="Calibri" w:cs="Calibri" w:eastAsia="Calibri" w:hAnsi="Calibri"/>
          <w:sz w:val="22"/>
          <w:szCs w:val="22"/>
        </w:rPr>
        <w:t xml:space="preserve">Chart types the course identifies as poor choices were avoided throughout. There are no pie charts, because people judge length more accurately than angle or area; no radar or area charts, which become unreadable when series overlap; no combination charts; and no three-dimensional effects, which add clutter without adding information.</w:t>
      </w:r>
    </w:p>
    <w:p>
      <w:pPr>
        <w:pStyle w:val="Heading2"/>
        <w:spacing w:after="120" w:before="240"/>
      </w:pPr>
      <w:r>
        <w:rPr>
          <w:rFonts w:ascii="Calibri" w:cs="Calibri" w:eastAsia="Calibri" w:hAnsi="Calibri"/>
          <w:b/>
          <w:bCs/>
          <w:color w:val="2E5496"/>
          <w:sz w:val="24"/>
          <w:szCs w:val="24"/>
        </w:rPr>
        <w:t xml:space="preserve">Colour</w:t>
      </w:r>
    </w:p>
    <w:p>
      <w:pPr>
        <w:spacing w:after="160" w:line="276"/>
        <w:jc w:val="both"/>
      </w:pPr>
      <w:r>
        <w:rPr>
          <w:rFonts w:ascii="Calibri" w:cs="Calibri" w:eastAsia="Calibri" w:hAnsi="Calibri"/>
          <w:sz w:val="22"/>
          <w:szCs w:val="22"/>
        </w:rPr>
        <w:t xml:space="preserve">The palette is deliberately narrow. Blue marks the subject of a chart or values above the reference, orange marks what needs attention — a loss, a shortfall, or a value below the reference — and grey carries context. Colour therefore encodes significance rather than category, which keeps the scheme well inside the six-colour ceiling and lets two hues serve every chart. Blue #0072B2 and orange #E69F00 come from the Okabe-Ito palette and stay distinguishable under deuteranopia, protanopia and tritanopia (Okabe &amp; Ito, 2008); neglecting colour vision deficiency is a named and avoidable mistake.</w:t>
      </w:r>
    </w:p>
    <w:p>
      <w:pPr>
        <w:spacing w:after="160" w:line="276"/>
        <w:jc w:val="both"/>
      </w:pPr>
      <w:r>
        <w:rPr>
          <w:rFonts w:ascii="Calibri" w:cs="Calibri" w:eastAsia="Calibri" w:hAnsi="Calibri"/>
          <w:sz w:val="22"/>
          <w:szCs w:val="22"/>
        </w:rPr>
        <w:t xml:space="preserve">That one convention does three jobs. On the slope chart the growing cohort is blue and the one being lost orange, the stable two grey. On regional penetration a diverging scheme splits the associations at the national average, with a dashed red line marking that threshold so the colour split can be verified rather than assumed. On the European benchmark a highlight scheme keeps the hue for Germany and greys the other sixteen markets, directing attention without a legend.</w:t>
      </w:r>
    </w:p>
    <w:p>
      <w:pPr>
        <w:pStyle w:val="Heading2"/>
        <w:spacing w:after="120" w:before="240"/>
      </w:pPr>
      <w:r>
        <w:rPr>
          <w:rFonts w:ascii="Calibri" w:cs="Calibri" w:eastAsia="Calibri" w:hAnsi="Calibri"/>
          <w:b/>
          <w:bCs/>
          <w:color w:val="2E5496"/>
          <w:sz w:val="24"/>
          <w:szCs w:val="24"/>
        </w:rPr>
        <w:t xml:space="preserve">Reducing cognitive load</w:t>
      </w:r>
    </w:p>
    <w:p>
      <w:pPr>
        <w:spacing w:after="160" w:line="276"/>
        <w:jc w:val="both"/>
      </w:pPr>
      <w:r>
        <w:rPr>
          <w:rFonts w:ascii="Calibri" w:cs="Calibri" w:eastAsia="Calibri" w:hAnsi="Calibri"/>
          <w:sz w:val="22"/>
          <w:szCs w:val="22"/>
        </w:rPr>
        <w:t xml:space="preserve">Preattentive attributes were applied consistently: colour for significance, length for magnitude, spatial position for reading order, so the layout runs from current position, through opportunity, to the structural problem and where investment should go. Gestalt principles reinforce this — identical colour signals identical meaning, the KPI tiles form one enclosed band beneath the title, and connected markers make time series read as continuous movement.</w:t>
      </w:r>
    </w:p>
    <w:p>
      <w:pPr>
        <w:spacing w:after="160" w:line="276"/>
        <w:jc w:val="both"/>
      </w:pPr>
      <w:r>
        <w:rPr>
          <w:rFonts w:ascii="Calibri" w:cs="Calibri" w:eastAsia="Calibri" w:hAnsi="Calibri"/>
          <w:sz w:val="22"/>
          <w:szCs w:val="22"/>
        </w:rPr>
        <w:t xml:space="preserve">Clutter was removed rather than tolerated. Gridlines, borders and decorative fills were deleted, legends dropped wherever a single series or direct label already identifies the data, and every chart carries a heading stating its finding, so the reader need not decode the chart to know what it says. Text is sans-serif throughout, which stays legible at small sizes on screen.</w:t>
      </w:r>
    </w:p>
    <w:p>
      <w:pPr>
        <w:pStyle w:val="Heading1"/>
        <w:spacing w:after="160" w:before="320"/>
      </w:pPr>
      <w:r>
        <w:rPr>
          <w:rFonts w:ascii="Calibri" w:cs="Calibri" w:eastAsia="Calibri" w:hAnsi="Calibri"/>
          <w:b/>
          <w:bCs/>
          <w:color w:val="1F3864"/>
          <w:sz w:val="30"/>
          <w:szCs w:val="30"/>
        </w:rPr>
        <w:t xml:space="preserve">4.  Insights, Implications and Recommendations</w:t>
      </w:r>
    </w:p>
    <w:p>
      <w:pPr>
        <w:pStyle w:val="Heading2"/>
        <w:spacing w:after="120" w:before="240"/>
      </w:pPr>
      <w:r>
        <w:rPr>
          <w:rFonts w:ascii="Calibri" w:cs="Calibri" w:eastAsia="Calibri" w:hAnsi="Calibri"/>
          <w:b/>
          <w:bCs/>
          <w:color w:val="2E5496"/>
          <w:sz w:val="24"/>
          <w:szCs w:val="24"/>
        </w:rPr>
        <w:t xml:space="preserve">What the dashboard shows</w:t>
      </w:r>
    </w:p>
    <w:p>
      <w:pPr>
        <w:spacing w:after="160" w:line="276"/>
        <w:jc w:val="both"/>
      </w:pPr>
      <w:r>
        <w:rPr>
          <w:rFonts w:ascii="Calibri" w:cs="Calibri" w:eastAsia="Calibri" w:hAnsi="Calibri"/>
          <w:sz w:val="22"/>
          <w:szCs w:val="22"/>
        </w:rPr>
        <w:t xml:space="preserve">The headline is real but hollow. Membership rose by 52,459 between 2016 and 2025, yet the group aged 61 and over grew by 53,506 — 102 per cent of the net gain. Over the same period the 41-to-55 cohort, historically the most reliable fee-paying segment, lost 57,413 members. German golf is not recruiting; it is ageing through the system, and projections that one in four Germans will be 67 or older by 2035 make that trajectory harder.</w:t>
      </w:r>
    </w:p>
    <w:p>
      <w:pPr>
        <w:spacing w:after="160" w:line="276"/>
        <w:jc w:val="both"/>
      </w:pPr>
      <w:r>
        <w:rPr>
          <w:rFonts w:ascii="Calibri" w:cs="Calibri" w:eastAsia="Calibri" w:hAnsi="Calibri"/>
          <w:sz w:val="22"/>
          <w:szCs w:val="22"/>
        </w:rPr>
        <w:t xml:space="preserve">Survey data shows where the opportunity sits, and that it is being missed at an increasing rate. Of 69.13 million people aware of golf, 6.87 million call themselves interested and 3.38 million play at least occasionally, while only 0.70 million hold a membership. Between 2019 and 2025 the playing population grew 17.0 per cent against 8.2 per cent for membership, so the number playing without a membership rose by 437,000 to 2.68 million. The gap widens every year: the constraint is conversion, not awareness.</w:t>
      </w:r>
    </w:p>
    <w:p>
      <w:pPr>
        <w:spacing w:after="160" w:line="276"/>
        <w:jc w:val="both"/>
      </w:pPr>
      <w:r>
        <w:rPr>
          <w:rFonts w:ascii="Calibri" w:cs="Calibri" w:eastAsia="Calibri" w:hAnsi="Calibri"/>
          <w:sz w:val="22"/>
          <w:szCs w:val="22"/>
        </w:rPr>
        <w:t xml:space="preserve">The gender pattern is a recruitment finding, not an attrition one. Of the 31,529 net members added in the 19-to-40 cohort since 2016, 89 per cent were men, and in the 36-to-40 band the two moved in opposite directions: women fell by 2,216 while men rose by 2,213. A life-stage explanation does not fit that, because family formation would affect both parents, and it does not explain why the female share already drops from 34.4 per cent at ages 7-14 to 29.3 per cent at 15-18, well before the average age at first birth. The gap also widened by 7.9 percentage points in nine years, so it is not a constant. Whatever the federation did to attract young adults reached men almost exclusively. At 35.3 per cent Germany's female share is still among Europe's highest — an advantage being eroded rather than a weakness.</w:t>
      </w:r>
    </w:p>
    <w:p>
      <w:pPr>
        <w:spacing w:after="160" w:line="276"/>
        <w:jc w:val="both"/>
      </w:pPr>
      <w:r>
        <w:rPr>
          <w:rFonts w:ascii="Calibri" w:cs="Calibri" w:eastAsia="Calibri" w:hAnsi="Calibri"/>
          <w:sz w:val="22"/>
          <w:szCs w:val="22"/>
        </w:rPr>
        <w:t xml:space="preserve">Two capacity findings complete the picture. Penetration ranges from 18.4 players per thousand residents in Schleswig-Holstein to 1.0 in Saxony-Anhalt, with seven of twelve associations below the national average of 8.3; closing those gaps alone would add 115,301 members, 17 per cent of the current base. Internationally Germany reaches 8.2 against 25.0 in the Netherlands, and the constraint is capacity rather than usage: 8.7 courses per million residents ranks fifteenth of seventeen European markets, while 946 golfers per course ranks fourth.</w:t>
      </w:r>
    </w:p>
    <w:p>
      <w:pPr>
        <w:pStyle w:val="Heading2"/>
        <w:spacing w:after="120" w:before="240"/>
      </w:pPr>
      <w:r>
        <w:rPr>
          <w:rFonts w:ascii="Calibri" w:cs="Calibri" w:eastAsia="Calibri" w:hAnsi="Calibri"/>
          <w:b/>
          <w:bCs/>
          <w:color w:val="2E5496"/>
          <w:sz w:val="24"/>
          <w:szCs w:val="24"/>
        </w:rPr>
        <w:t xml:space="preserve">Recommendations</w:t>
      </w:r>
    </w:p>
    <w:p>
      <w:pPr>
        <w:spacing w:after="160" w:line="276"/>
        <w:jc w:val="both"/>
      </w:pPr>
      <w:r>
        <w:rPr>
          <w:rFonts w:ascii="Calibri" w:cs="Calibri" w:eastAsia="Calibri" w:hAnsi="Calibri"/>
          <w:sz w:val="22"/>
          <w:szCs w:val="22"/>
        </w:rPr>
        <w:t xml:space="preserve">First, target conversion rather than awareness. With 2.68 million people already playing without a membership, and that pool growing by roughly 70,000 a year, converting one per cent would add some 27,000 members — four times the net gain recorded in 2025. Flexible, non-club and trial membership formats are the instrument, and the indexed trend provides the measure against which to track them.</w:t>
      </w:r>
    </w:p>
    <w:p>
      <w:pPr>
        <w:spacing w:after="160" w:line="276"/>
        <w:jc w:val="both"/>
      </w:pPr>
      <w:r>
        <w:rPr>
          <w:rFonts w:ascii="Calibri" w:cs="Calibri" w:eastAsia="Calibri" w:hAnsi="Calibri"/>
          <w:sz w:val="22"/>
          <w:szCs w:val="22"/>
        </w:rPr>
        <w:t xml:space="preserve">Second, investigate the 41-to-55 attrition before funding any acquisition campaign. A loss of 57,413 members in the segment with the highest willingness to pay is the largest negative item in the data, and exit surveys should precede spending.</w:t>
      </w:r>
    </w:p>
    <w:p>
      <w:pPr>
        <w:spacing w:after="160" w:line="276"/>
        <w:jc w:val="both"/>
      </w:pPr>
      <w:r>
        <w:rPr>
          <w:rFonts w:ascii="Calibri" w:cs="Calibri" w:eastAsia="Calibri" w:hAnsi="Calibri"/>
          <w:sz w:val="22"/>
          <w:szCs w:val="22"/>
        </w:rPr>
        <w:t xml:space="preserve">Third, audit the recruitment channels rather than the retention programmes. Since the growth of the past decade reached men almost exclusively, the question is which formats, pricing and communications reach women aged 19 to 40. The R&amp;A Women in Golf Charter offers a ready framework.</w:t>
      </w:r>
    </w:p>
    <w:p>
      <w:pPr>
        <w:spacing w:after="160" w:line="276"/>
        <w:jc w:val="both"/>
      </w:pPr>
      <w:r>
        <w:rPr>
          <w:rFonts w:ascii="Calibri" w:cs="Calibri" w:eastAsia="Calibri" w:hAnsi="Calibri"/>
          <w:sz w:val="22"/>
          <w:szCs w:val="22"/>
        </w:rPr>
        <w:t xml:space="preserve">Fourth, direct capacity investment by penetration rather than absolute size. Saxony/Thuringia and Berlin/Brandenburg together account for 61,606 of the 115,301 members of untapped potential, yet hold only forty facilities between them.</w:t>
      </w:r>
    </w:p>
    <w:p>
      <w:pPr>
        <w:spacing w:after="160" w:line="276"/>
        <w:jc w:val="both"/>
      </w:pPr>
      <w:r>
        <w:rPr>
          <w:rFonts w:ascii="Calibri" w:cs="Calibri" w:eastAsia="Calibri" w:hAnsi="Calibri"/>
          <w:sz w:val="22"/>
          <w:szCs w:val="22"/>
        </w:rPr>
        <w:t xml:space="preserve">Fifth, adopt the Netherlands rather than Sweden as the benchmark: at 25.0 players per thousand in a comparably dense, non-Nordic market it is a credible medium-term target.</w:t>
      </w:r>
    </w:p>
    <w:p>
      <w:pPr>
        <w:spacing w:after="160" w:line="276"/>
        <w:jc w:val="both"/>
      </w:pPr>
      <w:r>
        <w:rPr>
          <w:rFonts w:ascii="Calibri" w:cs="Calibri" w:eastAsia="Calibri" w:hAnsi="Calibri"/>
          <w:sz w:val="22"/>
          <w:szCs w:val="22"/>
        </w:rPr>
        <w:t xml:space="preserve">Finally, rebuild the junior pipeline. Membership under 19 stands at 42,798 against 43,953 in 2016. Without intervention the ageing profile compounds rather than corrects.</w:t>
      </w:r>
    </w:p>
    <w:p>
      <w:pPr>
        <w:pStyle w:val="Heading1"/>
        <w:spacing w:after="160" w:before="320"/>
      </w:pPr>
      <w:r>
        <w:rPr>
          <w:rFonts w:ascii="Calibri" w:cs="Calibri" w:eastAsia="Calibri" w:hAnsi="Calibri"/>
          <w:b/>
          <w:bCs/>
          <w:color w:val="1F3864"/>
          <w:sz w:val="30"/>
          <w:szCs w:val="30"/>
        </w:rPr>
        <w:t xml:space="preserve">5.  Limitations</w:t>
      </w:r>
    </w:p>
    <w:p>
      <w:pPr>
        <w:spacing w:after="160" w:line="276"/>
        <w:jc w:val="both"/>
      </w:pPr>
      <w:r>
        <w:rPr>
          <w:rFonts w:ascii="Calibri" w:cs="Calibri" w:eastAsia="Calibri" w:hAnsi="Calibri"/>
          <w:sz w:val="22"/>
          <w:szCs w:val="22"/>
        </w:rPr>
        <w:t xml:space="preserve">Three limitations qualify the analysis. The DGV publishes membership only by state association, four of which span two federal states, so the map plots association territories rather than measured states. A registered membership is not the same as a person who plays golf — precisely the gap the survey data exposes. Allensbach also surveys only those aged 14 and over.</w:t>
      </w:r>
    </w:p>
    <w:p>
      <w:pPr>
        <w:pStyle w:val="Heading1"/>
        <w:spacing w:after="160" w:before="320"/>
      </w:pPr>
      <w:r>
        <w:rPr>
          <w:rFonts w:ascii="Calibri" w:cs="Calibri" w:eastAsia="Calibri" w:hAnsi="Calibri"/>
          <w:b/>
          <w:bCs/>
          <w:color w:val="1F3864"/>
          <w:sz w:val="30"/>
          <w:szCs w:val="30"/>
        </w:rPr>
        <w:t xml:space="preserve">6.  Use of Artificial Intelligence</w:t>
      </w:r>
    </w:p>
    <w:p>
      <w:pPr>
        <w:spacing w:after="160" w:line="276"/>
        <w:jc w:val="both"/>
      </w:pPr>
      <w:r>
        <w:rPr>
          <w:rFonts w:ascii="Calibri" w:cs="Calibri" w:eastAsia="Calibri" w:hAnsi="Calibri"/>
          <w:sz w:val="22"/>
          <w:szCs w:val="22"/>
        </w:rPr>
        <w:t xml:space="preserve">[Replace this section with your own account, following the UniSC acknowledgement guidance. Describe which tool you used, what you asked it for, what you did with the output, and how you verified it. Keep it specific — name the prompts and say where you disagreed with or corrected the output.]</w:t>
      </w:r>
    </w:p>
    <w:p>
      <w:r>
        <w:br w:type="page"/>
      </w:r>
    </w:p>
    <w:p>
      <w:pPr>
        <w:pStyle w:val="Heading1"/>
        <w:spacing w:after="160" w:before="320"/>
      </w:pPr>
      <w:r>
        <w:rPr>
          <w:rFonts w:ascii="Calibri" w:cs="Calibri" w:eastAsia="Calibri" w:hAnsi="Calibri"/>
          <w:b/>
          <w:bCs/>
          <w:color w:val="1F3864"/>
          <w:sz w:val="30"/>
          <w:szCs w:val="30"/>
        </w:rPr>
        <w:t xml:space="preserve">References</w:t>
      </w:r>
    </w:p>
    <w:p>
      <w:pPr>
        <w:spacing w:after="140"/>
        <w:ind w:left="567" w:hanging="567"/>
      </w:pPr>
      <w:r>
        <w:rPr>
          <w:rFonts w:ascii="Calibri" w:cs="Calibri" w:eastAsia="Calibri" w:hAnsi="Calibri"/>
          <w:sz w:val="22"/>
          <w:szCs w:val="22"/>
        </w:rPr>
        <w:t xml:space="preserve">Camm, J. D., Cochran, J. J., Fry, M. J., &amp; Ohlmann, J. W. (2021). Data visualization: Exploring and explaining with data (1st ed.). Cengage.</w:t>
      </w:r>
    </w:p>
    <w:p>
      <w:pPr>
        <w:spacing w:after="140"/>
        <w:ind w:left="567" w:hanging="567"/>
      </w:pPr>
      <w:r>
        <w:rPr>
          <w:rFonts w:ascii="Calibri" w:cs="Calibri" w:eastAsia="Calibri" w:hAnsi="Calibri"/>
          <w:sz w:val="22"/>
          <w:szCs w:val="22"/>
        </w:rPr>
        <w:t xml:space="preserve">Deutscher Golf Verband. (2017–2026). DGV-Statistiken 2016–2025 [DGV statistics 2016–2025]. https://serviceportal.dgv-intranet.de/marketing-betrieb/markt-daten/allgemeine-statistiken.cfm</w:t>
      </w:r>
    </w:p>
    <w:p>
      <w:pPr>
        <w:spacing w:after="140"/>
        <w:ind w:left="567" w:hanging="567"/>
      </w:pPr>
      <w:r>
        <w:rPr>
          <w:rFonts w:ascii="Calibri" w:cs="Calibri" w:eastAsia="Calibri" w:hAnsi="Calibri"/>
          <w:sz w:val="22"/>
          <w:szCs w:val="22"/>
        </w:rPr>
        <w:t xml:space="preserve">Deutscher Golf Verband. (2026, January 21). Golf in Deutschland erreicht neue Höchstwerte [Golf in Germany reaches new highs] [Press release]. https://serviceportal.dgv-intranet.de/files/pdf3/26-01-21-01-pm-golferzahlen.pdf</w:t>
      </w:r>
    </w:p>
    <w:p>
      <w:pPr>
        <w:spacing w:after="140"/>
        <w:ind w:left="567" w:hanging="567"/>
      </w:pPr>
      <w:r>
        <w:rPr>
          <w:rFonts w:ascii="Calibri" w:cs="Calibri" w:eastAsia="Calibri" w:hAnsi="Calibri"/>
          <w:sz w:val="22"/>
          <w:szCs w:val="22"/>
        </w:rPr>
        <w:t xml:space="preserve">Huth, C., &amp; Billion, F. (2022). Impacts of the COVID-19 pandemic on German golf – a comparison between club-owned and commercial golf clubs. Quality in Sport, 8(1), 21–27. https://doi.org/10.12775/QS.2022.08.01.002</w:t>
      </w:r>
    </w:p>
    <w:p>
      <w:pPr>
        <w:spacing w:after="140"/>
        <w:ind w:left="567" w:hanging="567"/>
      </w:pPr>
      <w:r>
        <w:rPr>
          <w:rFonts w:ascii="Calibri" w:cs="Calibri" w:eastAsia="Calibri" w:hAnsi="Calibri"/>
          <w:sz w:val="22"/>
          <w:szCs w:val="22"/>
        </w:rPr>
        <w:t xml:space="preserve">Institut für Demoskopie Allensbach. (2025). Allensbacher Markt- und Werbeträgeranalyse 2025 [Data set]. Statista.</w:t>
      </w:r>
    </w:p>
    <w:p>
      <w:pPr>
        <w:spacing w:after="140"/>
        <w:ind w:left="567" w:hanging="567"/>
      </w:pPr>
      <w:r>
        <w:rPr>
          <w:rFonts w:ascii="Calibri" w:cs="Calibri" w:eastAsia="Calibri" w:hAnsi="Calibri"/>
          <w:sz w:val="22"/>
          <w:szCs w:val="22"/>
        </w:rPr>
        <w:t xml:space="preserve">Okabe, M., &amp; Ito, K. (2008). Color universal design (CUD): How to make figures and presentations that are friendly to colorblind people. https://jfly.uni-koeln.de/color/</w:t>
      </w:r>
    </w:p>
    <w:p>
      <w:pPr>
        <w:spacing w:after="140"/>
        <w:ind w:left="567" w:hanging="567"/>
      </w:pPr>
      <w:r>
        <w:rPr>
          <w:rFonts w:ascii="Calibri" w:cs="Calibri" w:eastAsia="Calibri" w:hAnsi="Calibri"/>
          <w:sz w:val="22"/>
          <w:szCs w:val="22"/>
        </w:rPr>
        <w:t xml:space="preserve">Statistisches Bundesamt. (2025). Bundesländer mit Hauptstädten nach Fläche, Bevölkerung und Bevölkerungsdichte am 31.12.2024 [Federal states by area and population]. https://www.destatis.de/DE/Themen/Laender-Regionen/Regionales/Gemeindeverzeichnis/Administrativ/02-bundeslaender.html</w:t>
      </w:r>
    </w:p>
    <w:p>
      <w:pPr>
        <w:spacing w:after="140"/>
        <w:ind w:left="567" w:hanging="567"/>
      </w:pPr>
      <w:r>
        <w:rPr>
          <w:rFonts w:ascii="Calibri" w:cs="Calibri" w:eastAsia="Calibri" w:hAnsi="Calibri"/>
          <w:sz w:val="22"/>
          <w:szCs w:val="22"/>
        </w:rPr>
        <w:t xml:space="preserve">Statistisches Bundesamt. (2025, December 11). By 2035, one quarter of Germany's population will be aged 67 or over [Press release No. 446]. https://www.destatis.de/EN/Press/2025/12/PE25_446_12411.html</w:t>
      </w:r>
    </w:p>
    <w:p>
      <w:pPr>
        <w:spacing w:after="140"/>
        <w:ind w:left="567" w:hanging="567"/>
      </w:pPr>
      <w:r>
        <w:rPr>
          <w:rFonts w:ascii="Calibri" w:cs="Calibri" w:eastAsia="Calibri" w:hAnsi="Calibri"/>
          <w:sz w:val="22"/>
          <w:szCs w:val="22"/>
        </w:rPr>
        <w:t xml:space="preserve">The R&amp;A. (2021). Women in Golf Charter: Impact studies. https://www.randa.org</w:t>
      </w:r>
    </w:p>
    <w:p>
      <w:pPr>
        <w:spacing w:after="140"/>
        <w:ind w:left="567" w:hanging="567"/>
      </w:pPr>
      <w:r>
        <w:rPr>
          <w:rFonts w:ascii="Calibri" w:cs="Calibri" w:eastAsia="Calibri" w:hAnsi="Calibri"/>
          <w:sz w:val="22"/>
          <w:szCs w:val="22"/>
        </w:rPr>
        <w:t xml:space="preserve">The R&amp;A. (2025). Global golf participation 2024. https://www.randa.org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Adam Heier  |  ICT702 Task 2  |  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ICT702 Task 2 — Growing Golf in Germany</dc:title>
  <dc:creator>Adam Heier</dc:creator>
  <cp:lastModifiedBy>Un-named</cp:lastModifiedBy>
  <cp:revision>1</cp:revision>
  <dcterms:created xsi:type="dcterms:W3CDTF">2026-09-25T01:17:36.445Z</dcterms:created>
  <dcterms:modified xsi:type="dcterms:W3CDTF">2026-09-25T01:17:36.446Z</dcterms:modified>
</cp:coreProperties>
</file>

<file path=docProps/custom.xml><?xml version="1.0" encoding="utf-8"?>
<Properties xmlns="http://schemas.openxmlformats.org/officeDocument/2006/custom-properties" xmlns:vt="http://schemas.openxmlformats.org/officeDocument/2006/docPropsVTypes"/>
</file>