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DFD23" w14:textId="23ED37CA" w:rsidR="00304D3F" w:rsidRDefault="00EA6B69">
      <w:pPr>
        <w:spacing w:after="200"/>
        <w:jc w:val="center"/>
      </w:pPr>
      <w:r>
        <w:fldChar w:fldCharType="begin"/>
      </w:r>
      <w:r>
        <w:instrText xml:space="preserve"> INCLUDEPICTURE "https://yt3.googleusercontent.com/OAGmcx_-HJbCQL-_L2y_m675Bthqk98UArOJKlIeLYYU0Lzo_JH2wxh4mSVDucc-0QGLxw-Mpw=s900-c-k-c0x00ffffff-no-rj" \* MERGEFORMATINET </w:instrText>
      </w:r>
      <w:r>
        <w:fldChar w:fldCharType="separate"/>
      </w:r>
      <w:r>
        <w:rPr>
          <w:noProof/>
        </w:rPr>
        <w:drawing>
          <wp:inline distT="0" distB="0" distL="0" distR="0" wp14:anchorId="5E82011F" wp14:editId="3C71E817">
            <wp:extent cx="3874168" cy="2643185"/>
            <wp:effectExtent l="0" t="0" r="0" b="0"/>
            <wp:docPr id="205697215" name="Picture 1" descr="UniSC: University of the Sunshine Coas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SC: University of the Sunshine Coast - YouTube"/>
                    <pic:cNvPicPr>
                      <a:picLocks noChangeAspect="1" noChangeArrowheads="1"/>
                    </pic:cNvPicPr>
                  </pic:nvPicPr>
                  <pic:blipFill rotWithShape="1">
                    <a:blip r:embed="rId7">
                      <a:extLst>
                        <a:ext uri="{28A0092B-C50C-407E-A947-70E740481C1C}">
                          <a14:useLocalDpi xmlns:a14="http://schemas.microsoft.com/office/drawing/2010/main" val="0"/>
                        </a:ext>
                      </a:extLst>
                    </a:blip>
                    <a:srcRect t="16794" b="14981"/>
                    <a:stretch>
                      <a:fillRect/>
                    </a:stretch>
                  </pic:blipFill>
                  <pic:spPr bwMode="auto">
                    <a:xfrm>
                      <a:off x="0" y="0"/>
                      <a:ext cx="3888644" cy="26530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3D3B2D3" w14:textId="77777777" w:rsidR="00EA6B69" w:rsidRDefault="00EA6B69">
      <w:pPr>
        <w:spacing w:after="200"/>
        <w:jc w:val="center"/>
        <w:rPr>
          <w:b/>
          <w:bCs/>
          <w:sz w:val="48"/>
          <w:szCs w:val="48"/>
        </w:rPr>
      </w:pPr>
    </w:p>
    <w:p w14:paraId="7C54DA70" w14:textId="777A8F2D" w:rsidR="00304D3F" w:rsidRDefault="00000000">
      <w:pPr>
        <w:spacing w:after="200"/>
        <w:jc w:val="center"/>
      </w:pPr>
      <w:r>
        <w:rPr>
          <w:b/>
          <w:bCs/>
          <w:sz w:val="48"/>
          <w:szCs w:val="48"/>
        </w:rPr>
        <w:t>TASK 2</w:t>
      </w:r>
    </w:p>
    <w:p w14:paraId="5E4CF9C4" w14:textId="77777777" w:rsidR="00304D3F" w:rsidRDefault="00000000">
      <w:pPr>
        <w:spacing w:after="400"/>
        <w:jc w:val="center"/>
      </w:pPr>
      <w:r>
        <w:rPr>
          <w:b/>
          <w:bCs/>
          <w:sz w:val="36"/>
          <w:szCs w:val="36"/>
        </w:rPr>
        <w:t>ICT702: Data Visualisation</w:t>
      </w:r>
    </w:p>
    <w:p w14:paraId="4A16B071" w14:textId="77777777" w:rsidR="00304D3F" w:rsidRDefault="00000000">
      <w:pPr>
        <w:spacing w:after="60"/>
        <w:jc w:val="center"/>
      </w:pPr>
      <w:r>
        <w:rPr>
          <w:sz w:val="30"/>
          <w:szCs w:val="30"/>
        </w:rPr>
        <w:t>Growing Golf in Germany</w:t>
      </w:r>
    </w:p>
    <w:p w14:paraId="637BA987" w14:textId="77777777" w:rsidR="00304D3F" w:rsidRDefault="00000000">
      <w:pPr>
        <w:spacing w:after="700"/>
        <w:jc w:val="center"/>
      </w:pPr>
      <w:r>
        <w:rPr>
          <w:sz w:val="26"/>
          <w:szCs w:val="26"/>
        </w:rPr>
        <w:t>A Participation Dashboard for the German Golf Federation</w:t>
      </w:r>
    </w:p>
    <w:p w14:paraId="1A238F04" w14:textId="5A5CB2A0" w:rsidR="00304D3F" w:rsidRDefault="00000000">
      <w:pPr>
        <w:spacing w:after="100"/>
        <w:jc w:val="center"/>
      </w:pPr>
      <w:r>
        <w:t xml:space="preserve">Prepared for: </w:t>
      </w:r>
      <w:r w:rsidR="00EA6B69">
        <w:t>Judy Watson</w:t>
      </w:r>
    </w:p>
    <w:p w14:paraId="6132404D" w14:textId="77777777" w:rsidR="00304D3F" w:rsidRDefault="00000000">
      <w:pPr>
        <w:spacing w:after="100"/>
        <w:jc w:val="center"/>
      </w:pPr>
      <w:r>
        <w:t>Student name: Adam Heier</w:t>
      </w:r>
    </w:p>
    <w:p w14:paraId="5FD9BE7C" w14:textId="77777777" w:rsidR="00304D3F" w:rsidRDefault="00000000">
      <w:pPr>
        <w:spacing w:after="100"/>
        <w:jc w:val="center"/>
      </w:pPr>
      <w:r>
        <w:t>Student ID: 1231535</w:t>
      </w:r>
    </w:p>
    <w:p w14:paraId="3F6D8632" w14:textId="77777777" w:rsidR="00304D3F" w:rsidRDefault="00000000">
      <w:pPr>
        <w:spacing w:after="100"/>
        <w:jc w:val="center"/>
      </w:pPr>
      <w:r>
        <w:t>Campus: Sunshine Coast</w:t>
      </w:r>
    </w:p>
    <w:p w14:paraId="67C1FC43" w14:textId="77F76424" w:rsidR="00304D3F" w:rsidRDefault="00000000">
      <w:pPr>
        <w:spacing w:after="100"/>
        <w:jc w:val="center"/>
      </w:pPr>
      <w:r>
        <w:t>Due date: 2</w:t>
      </w:r>
      <w:r w:rsidR="00EA6B69">
        <w:t>7</w:t>
      </w:r>
      <w:r>
        <w:t xml:space="preserve"> September 2026</w:t>
      </w:r>
    </w:p>
    <w:p w14:paraId="17F776DA" w14:textId="16AE29CB" w:rsidR="00304D3F" w:rsidRDefault="00000000">
      <w:pPr>
        <w:spacing w:after="100"/>
        <w:jc w:val="center"/>
      </w:pPr>
      <w:r>
        <w:t xml:space="preserve">Submission date: </w:t>
      </w:r>
      <w:r w:rsidR="00EA6B69">
        <w:t>2</w:t>
      </w:r>
      <w:r w:rsidR="00EA6B69">
        <w:t xml:space="preserve">6 </w:t>
      </w:r>
      <w:r w:rsidR="00EA6B69">
        <w:t>September 2026</w:t>
      </w:r>
    </w:p>
    <w:p w14:paraId="0B973AE0" w14:textId="7672F628" w:rsidR="00304D3F" w:rsidRDefault="00000000">
      <w:pPr>
        <w:spacing w:after="600"/>
        <w:jc w:val="center"/>
      </w:pPr>
      <w:r>
        <w:t xml:space="preserve">Word count: </w:t>
      </w:r>
      <w:r w:rsidR="00166CAB">
        <w:t>1607</w:t>
      </w:r>
    </w:p>
    <w:p w14:paraId="43BA6743" w14:textId="77777777" w:rsidR="00304D3F" w:rsidRDefault="00000000">
      <w:pPr>
        <w:spacing w:after="100"/>
        <w:jc w:val="center"/>
      </w:pPr>
      <w:r>
        <w:t>ajh123@student.usc.edu.au</w:t>
      </w:r>
    </w:p>
    <w:p w14:paraId="61183E8B" w14:textId="77777777" w:rsidR="00304D3F" w:rsidRDefault="00304D3F">
      <w:pPr>
        <w:sectPr w:rsidR="00304D3F">
          <w:pgSz w:w="11906" w:h="16838"/>
          <w:pgMar w:top="1134" w:right="1134" w:bottom="1134" w:left="1134" w:header="708" w:footer="708" w:gutter="0"/>
          <w:cols w:space="720"/>
          <w:docGrid w:linePitch="360"/>
        </w:sectPr>
      </w:pPr>
    </w:p>
    <w:p w14:paraId="3566C09F" w14:textId="77777777" w:rsidR="00304D3F" w:rsidRDefault="00000000">
      <w:pPr>
        <w:spacing w:after="200"/>
      </w:pPr>
      <w:r>
        <w:rPr>
          <w:b/>
          <w:bCs/>
          <w:sz w:val="30"/>
          <w:szCs w:val="30"/>
        </w:rPr>
        <w:lastRenderedPageBreak/>
        <w:t>Table of Contents</w:t>
      </w:r>
    </w:p>
    <w:sdt>
      <w:sdtPr>
        <w:rPr>
          <w:b/>
          <w:bCs/>
        </w:rPr>
        <w:alias w:val="Contents"/>
        <w:id w:val="1015270356"/>
      </w:sdtPr>
      <w:sdtContent>
        <w:p w14:paraId="1EA0AC09" w14:textId="1FDA04DF" w:rsidR="00166CAB" w:rsidRPr="00166CAB" w:rsidRDefault="00000000">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r w:rsidRPr="00166CAB">
            <w:rPr>
              <w:b/>
              <w:bCs/>
            </w:rPr>
            <w:fldChar w:fldCharType="begin"/>
          </w:r>
          <w:r w:rsidRPr="00166CAB">
            <w:rPr>
              <w:b/>
              <w:bCs/>
            </w:rPr>
            <w:instrText>TOC \h \o "1-2"</w:instrText>
          </w:r>
          <w:r w:rsidRPr="00166CAB">
            <w:rPr>
              <w:b/>
              <w:bCs/>
            </w:rPr>
            <w:fldChar w:fldCharType="separate"/>
          </w:r>
          <w:hyperlink w:anchor="_Toc241279944" w:history="1">
            <w:r w:rsidR="00166CAB" w:rsidRPr="00166CAB">
              <w:rPr>
                <w:rStyle w:val="Hyperlink"/>
                <w:b/>
                <w:bCs/>
                <w:noProof/>
              </w:rPr>
              <w:t>1.</w:t>
            </w:r>
            <w:r w:rsidR="00166CAB" w:rsidRPr="00166CAB">
              <w:rPr>
                <w:rFonts w:asciiTheme="minorHAnsi" w:eastAsiaTheme="minorEastAsia" w:hAnsiTheme="minorHAnsi" w:cstheme="minorBidi"/>
                <w:b/>
                <w:bCs/>
                <w:noProof/>
                <w:kern w:val="2"/>
                <w:sz w:val="24"/>
                <w:szCs w:val="24"/>
                <w14:ligatures w14:val="standardContextual"/>
              </w:rPr>
              <w:tab/>
            </w:r>
            <w:r w:rsidR="00166CAB" w:rsidRPr="00166CAB">
              <w:rPr>
                <w:rStyle w:val="Hyperlink"/>
                <w:b/>
                <w:bCs/>
                <w:noProof/>
              </w:rPr>
              <w:t>Purpose and Objective of the Dashboard</w:t>
            </w:r>
            <w:r w:rsidR="00166CAB" w:rsidRPr="00166CAB">
              <w:rPr>
                <w:b/>
                <w:bCs/>
                <w:noProof/>
              </w:rPr>
              <w:tab/>
            </w:r>
            <w:r w:rsidR="00166CAB" w:rsidRPr="00166CAB">
              <w:rPr>
                <w:b/>
                <w:bCs/>
                <w:noProof/>
              </w:rPr>
              <w:fldChar w:fldCharType="begin"/>
            </w:r>
            <w:r w:rsidR="00166CAB" w:rsidRPr="00166CAB">
              <w:rPr>
                <w:b/>
                <w:bCs/>
                <w:noProof/>
              </w:rPr>
              <w:instrText xml:space="preserve"> PAGEREF _Toc241279944 \h </w:instrText>
            </w:r>
            <w:r w:rsidR="00166CAB" w:rsidRPr="00166CAB">
              <w:rPr>
                <w:b/>
                <w:bCs/>
                <w:noProof/>
              </w:rPr>
            </w:r>
            <w:r w:rsidR="00166CAB" w:rsidRPr="00166CAB">
              <w:rPr>
                <w:b/>
                <w:bCs/>
                <w:noProof/>
              </w:rPr>
              <w:fldChar w:fldCharType="separate"/>
            </w:r>
            <w:r w:rsidR="00166CAB" w:rsidRPr="00166CAB">
              <w:rPr>
                <w:b/>
                <w:bCs/>
                <w:noProof/>
              </w:rPr>
              <w:t>1</w:t>
            </w:r>
            <w:r w:rsidR="00166CAB" w:rsidRPr="00166CAB">
              <w:rPr>
                <w:b/>
                <w:bCs/>
                <w:noProof/>
              </w:rPr>
              <w:fldChar w:fldCharType="end"/>
            </w:r>
          </w:hyperlink>
        </w:p>
        <w:p w14:paraId="14F495F0" w14:textId="476FABD5" w:rsidR="00166CAB" w:rsidRPr="00166CAB" w:rsidRDefault="00166CAB">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hyperlink w:anchor="_Toc241279945" w:history="1">
            <w:r w:rsidRPr="00166CAB">
              <w:rPr>
                <w:rStyle w:val="Hyperlink"/>
                <w:b/>
                <w:bCs/>
                <w:noProof/>
              </w:rPr>
              <w:t>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Application of Visualisation Theory and Principles</w:t>
            </w:r>
            <w:r w:rsidRPr="00166CAB">
              <w:rPr>
                <w:b/>
                <w:bCs/>
                <w:noProof/>
              </w:rPr>
              <w:tab/>
            </w:r>
            <w:r w:rsidRPr="00166CAB">
              <w:rPr>
                <w:b/>
                <w:bCs/>
                <w:noProof/>
              </w:rPr>
              <w:fldChar w:fldCharType="begin"/>
            </w:r>
            <w:r w:rsidRPr="00166CAB">
              <w:rPr>
                <w:b/>
                <w:bCs/>
                <w:noProof/>
              </w:rPr>
              <w:instrText xml:space="preserve"> PAGEREF _Toc241279945 \h </w:instrText>
            </w:r>
            <w:r w:rsidRPr="00166CAB">
              <w:rPr>
                <w:b/>
                <w:bCs/>
                <w:noProof/>
              </w:rPr>
            </w:r>
            <w:r w:rsidRPr="00166CAB">
              <w:rPr>
                <w:b/>
                <w:bCs/>
                <w:noProof/>
              </w:rPr>
              <w:fldChar w:fldCharType="separate"/>
            </w:r>
            <w:r w:rsidRPr="00166CAB">
              <w:rPr>
                <w:b/>
                <w:bCs/>
                <w:noProof/>
              </w:rPr>
              <w:t>1</w:t>
            </w:r>
            <w:r w:rsidRPr="00166CAB">
              <w:rPr>
                <w:b/>
                <w:bCs/>
                <w:noProof/>
              </w:rPr>
              <w:fldChar w:fldCharType="end"/>
            </w:r>
          </w:hyperlink>
        </w:p>
        <w:p w14:paraId="0628C24D" w14:textId="3A7501AF"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6" w:history="1">
            <w:r w:rsidRPr="00166CAB">
              <w:rPr>
                <w:rStyle w:val="Hyperlink"/>
                <w:b/>
                <w:bCs/>
                <w:noProof/>
              </w:rPr>
              <w:t>2.1.</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Preparation and validation</w:t>
            </w:r>
            <w:r w:rsidRPr="00166CAB">
              <w:rPr>
                <w:b/>
                <w:bCs/>
                <w:noProof/>
              </w:rPr>
              <w:tab/>
            </w:r>
            <w:r w:rsidRPr="00166CAB">
              <w:rPr>
                <w:b/>
                <w:bCs/>
                <w:noProof/>
              </w:rPr>
              <w:fldChar w:fldCharType="begin"/>
            </w:r>
            <w:r w:rsidRPr="00166CAB">
              <w:rPr>
                <w:b/>
                <w:bCs/>
                <w:noProof/>
              </w:rPr>
              <w:instrText xml:space="preserve"> PAGEREF _Toc241279946 \h </w:instrText>
            </w:r>
            <w:r w:rsidRPr="00166CAB">
              <w:rPr>
                <w:b/>
                <w:bCs/>
                <w:noProof/>
              </w:rPr>
            </w:r>
            <w:r w:rsidRPr="00166CAB">
              <w:rPr>
                <w:b/>
                <w:bCs/>
                <w:noProof/>
              </w:rPr>
              <w:fldChar w:fldCharType="separate"/>
            </w:r>
            <w:r w:rsidRPr="00166CAB">
              <w:rPr>
                <w:b/>
                <w:bCs/>
                <w:noProof/>
              </w:rPr>
              <w:t>1</w:t>
            </w:r>
            <w:r w:rsidRPr="00166CAB">
              <w:rPr>
                <w:b/>
                <w:bCs/>
                <w:noProof/>
              </w:rPr>
              <w:fldChar w:fldCharType="end"/>
            </w:r>
          </w:hyperlink>
        </w:p>
        <w:p w14:paraId="64B2BA98" w14:textId="49B31B96"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7" w:history="1">
            <w:r w:rsidRPr="00166CAB">
              <w:rPr>
                <w:rStyle w:val="Hyperlink"/>
                <w:b/>
                <w:bCs/>
                <w:noProof/>
              </w:rPr>
              <w:t>2.2.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Choosing the visualisations</w:t>
            </w:r>
            <w:r w:rsidRPr="00166CAB">
              <w:rPr>
                <w:b/>
                <w:bCs/>
                <w:noProof/>
              </w:rPr>
              <w:tab/>
            </w:r>
            <w:r w:rsidRPr="00166CAB">
              <w:rPr>
                <w:b/>
                <w:bCs/>
                <w:noProof/>
              </w:rPr>
              <w:fldChar w:fldCharType="begin"/>
            </w:r>
            <w:r w:rsidRPr="00166CAB">
              <w:rPr>
                <w:b/>
                <w:bCs/>
                <w:noProof/>
              </w:rPr>
              <w:instrText xml:space="preserve"> PAGEREF _Toc241279947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37AD4305" w14:textId="757188F8"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8" w:history="1">
            <w:r w:rsidRPr="00166CAB">
              <w:rPr>
                <w:rStyle w:val="Hyperlink"/>
                <w:b/>
                <w:bCs/>
                <w:noProof/>
              </w:rPr>
              <w:t>2.3.</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Colour</w:t>
            </w:r>
            <w:r w:rsidRPr="00166CAB">
              <w:rPr>
                <w:b/>
                <w:bCs/>
                <w:noProof/>
              </w:rPr>
              <w:tab/>
            </w:r>
            <w:r w:rsidRPr="00166CAB">
              <w:rPr>
                <w:b/>
                <w:bCs/>
                <w:noProof/>
              </w:rPr>
              <w:fldChar w:fldCharType="begin"/>
            </w:r>
            <w:r w:rsidRPr="00166CAB">
              <w:rPr>
                <w:b/>
                <w:bCs/>
                <w:noProof/>
              </w:rPr>
              <w:instrText xml:space="preserve"> PAGEREF _Toc241279948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0CF0DC94" w14:textId="69C97104"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9" w:history="1">
            <w:r w:rsidRPr="00166CAB">
              <w:rPr>
                <w:rStyle w:val="Hyperlink"/>
                <w:b/>
                <w:bCs/>
                <w:noProof/>
              </w:rPr>
              <w:t>2.4.</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Layout and cognitive load</w:t>
            </w:r>
            <w:r w:rsidRPr="00166CAB">
              <w:rPr>
                <w:b/>
                <w:bCs/>
                <w:noProof/>
              </w:rPr>
              <w:tab/>
            </w:r>
            <w:r w:rsidRPr="00166CAB">
              <w:rPr>
                <w:b/>
                <w:bCs/>
                <w:noProof/>
              </w:rPr>
              <w:fldChar w:fldCharType="begin"/>
            </w:r>
            <w:r w:rsidRPr="00166CAB">
              <w:rPr>
                <w:b/>
                <w:bCs/>
                <w:noProof/>
              </w:rPr>
              <w:instrText xml:space="preserve"> PAGEREF _Toc241279949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0F4AD15E" w14:textId="070D931E" w:rsidR="00166CAB" w:rsidRPr="00166CAB" w:rsidRDefault="00166CAB">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hyperlink w:anchor="_Toc241279950" w:history="1">
            <w:r w:rsidRPr="00166CAB">
              <w:rPr>
                <w:rStyle w:val="Hyperlink"/>
                <w:b/>
                <w:bCs/>
                <w:noProof/>
              </w:rPr>
              <w:t>3.</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Insights, Usefulness and Recommendations</w:t>
            </w:r>
            <w:r w:rsidRPr="00166CAB">
              <w:rPr>
                <w:b/>
                <w:bCs/>
                <w:noProof/>
              </w:rPr>
              <w:tab/>
            </w:r>
            <w:r w:rsidRPr="00166CAB">
              <w:rPr>
                <w:b/>
                <w:bCs/>
                <w:noProof/>
              </w:rPr>
              <w:fldChar w:fldCharType="begin"/>
            </w:r>
            <w:r w:rsidRPr="00166CAB">
              <w:rPr>
                <w:b/>
                <w:bCs/>
                <w:noProof/>
              </w:rPr>
              <w:instrText xml:space="preserve"> PAGEREF _Toc241279950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444EAE15" w14:textId="395A9088" w:rsidR="00166CAB" w:rsidRPr="00166CAB" w:rsidRDefault="00166CAB">
          <w:pPr>
            <w:pStyle w:val="TOC1"/>
            <w:tabs>
              <w:tab w:val="left" w:pos="720"/>
              <w:tab w:val="right" w:leader="dot" w:pos="9628"/>
            </w:tabs>
            <w:rPr>
              <w:rFonts w:asciiTheme="minorHAnsi" w:eastAsiaTheme="minorEastAsia" w:hAnsiTheme="minorHAnsi" w:cstheme="minorBidi"/>
              <w:b/>
              <w:bCs/>
              <w:noProof/>
              <w:kern w:val="2"/>
              <w:sz w:val="24"/>
              <w:szCs w:val="24"/>
              <w14:ligatures w14:val="standardContextual"/>
            </w:rPr>
          </w:pPr>
          <w:hyperlink w:anchor="_Toc241279951" w:history="1">
            <w:r w:rsidRPr="00166CAB">
              <w:rPr>
                <w:rStyle w:val="Hyperlink"/>
                <w:b/>
                <w:bCs/>
                <w:noProof/>
              </w:rPr>
              <w:t>3.1.</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What the dashboard shows</w:t>
            </w:r>
            <w:r w:rsidRPr="00166CAB">
              <w:rPr>
                <w:b/>
                <w:bCs/>
                <w:noProof/>
              </w:rPr>
              <w:tab/>
            </w:r>
            <w:r w:rsidRPr="00166CAB">
              <w:rPr>
                <w:b/>
                <w:bCs/>
                <w:noProof/>
              </w:rPr>
              <w:fldChar w:fldCharType="begin"/>
            </w:r>
            <w:r w:rsidRPr="00166CAB">
              <w:rPr>
                <w:b/>
                <w:bCs/>
                <w:noProof/>
              </w:rPr>
              <w:instrText xml:space="preserve"> PAGEREF _Toc241279951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1979388B" w14:textId="381F4F87" w:rsidR="00166CAB" w:rsidRPr="00166CAB" w:rsidRDefault="00166CAB">
          <w:pPr>
            <w:pStyle w:val="TOC1"/>
            <w:tabs>
              <w:tab w:val="left" w:pos="720"/>
              <w:tab w:val="right" w:leader="dot" w:pos="9628"/>
            </w:tabs>
            <w:rPr>
              <w:rFonts w:asciiTheme="minorHAnsi" w:eastAsiaTheme="minorEastAsia" w:hAnsiTheme="minorHAnsi" w:cstheme="minorBidi"/>
              <w:b/>
              <w:bCs/>
              <w:noProof/>
              <w:kern w:val="2"/>
              <w:sz w:val="24"/>
              <w:szCs w:val="24"/>
              <w14:ligatures w14:val="standardContextual"/>
            </w:rPr>
          </w:pPr>
          <w:hyperlink w:anchor="_Toc241279952" w:history="1">
            <w:r w:rsidRPr="00166CAB">
              <w:rPr>
                <w:rStyle w:val="Hyperlink"/>
                <w:b/>
                <w:bCs/>
                <w:noProof/>
              </w:rPr>
              <w:t>3.2.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Recommendations</w:t>
            </w:r>
            <w:r w:rsidRPr="00166CAB">
              <w:rPr>
                <w:b/>
                <w:bCs/>
                <w:noProof/>
              </w:rPr>
              <w:tab/>
            </w:r>
            <w:r w:rsidRPr="00166CAB">
              <w:rPr>
                <w:b/>
                <w:bCs/>
                <w:noProof/>
              </w:rPr>
              <w:fldChar w:fldCharType="begin"/>
            </w:r>
            <w:r w:rsidRPr="00166CAB">
              <w:rPr>
                <w:b/>
                <w:bCs/>
                <w:noProof/>
              </w:rPr>
              <w:instrText xml:space="preserve"> PAGEREF _Toc241279952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5A7AE8F6" w14:textId="7BB755EE" w:rsidR="00166CAB" w:rsidRPr="00166CAB" w:rsidRDefault="00166CAB">
          <w:pPr>
            <w:pStyle w:val="TOC1"/>
            <w:tabs>
              <w:tab w:val="right" w:leader="dot" w:pos="9628"/>
            </w:tabs>
            <w:rPr>
              <w:rFonts w:asciiTheme="minorHAnsi" w:eastAsiaTheme="minorEastAsia" w:hAnsiTheme="minorHAnsi" w:cstheme="minorBidi"/>
              <w:b/>
              <w:bCs/>
              <w:noProof/>
              <w:kern w:val="2"/>
              <w:sz w:val="24"/>
              <w:szCs w:val="24"/>
              <w14:ligatures w14:val="standardContextual"/>
            </w:rPr>
          </w:pPr>
          <w:hyperlink w:anchor="_Toc241279953" w:history="1">
            <w:r w:rsidRPr="00166CAB">
              <w:rPr>
                <w:rStyle w:val="Hyperlink"/>
                <w:b/>
                <w:bCs/>
                <w:noProof/>
              </w:rPr>
              <w:t>Acknowledgement of Artificial Intelligence Use</w:t>
            </w:r>
            <w:r w:rsidRPr="00166CAB">
              <w:rPr>
                <w:b/>
                <w:bCs/>
                <w:noProof/>
              </w:rPr>
              <w:tab/>
            </w:r>
            <w:r w:rsidRPr="00166CAB">
              <w:rPr>
                <w:b/>
                <w:bCs/>
                <w:noProof/>
              </w:rPr>
              <w:fldChar w:fldCharType="begin"/>
            </w:r>
            <w:r w:rsidRPr="00166CAB">
              <w:rPr>
                <w:b/>
                <w:bCs/>
                <w:noProof/>
              </w:rPr>
              <w:instrText xml:space="preserve"> PAGEREF _Toc241279953 \h </w:instrText>
            </w:r>
            <w:r w:rsidRPr="00166CAB">
              <w:rPr>
                <w:b/>
                <w:bCs/>
                <w:noProof/>
              </w:rPr>
            </w:r>
            <w:r w:rsidRPr="00166CAB">
              <w:rPr>
                <w:b/>
                <w:bCs/>
                <w:noProof/>
              </w:rPr>
              <w:fldChar w:fldCharType="separate"/>
            </w:r>
            <w:r w:rsidRPr="00166CAB">
              <w:rPr>
                <w:b/>
                <w:bCs/>
                <w:noProof/>
              </w:rPr>
              <w:t>4</w:t>
            </w:r>
            <w:r w:rsidRPr="00166CAB">
              <w:rPr>
                <w:b/>
                <w:bCs/>
                <w:noProof/>
              </w:rPr>
              <w:fldChar w:fldCharType="end"/>
            </w:r>
          </w:hyperlink>
        </w:p>
        <w:p w14:paraId="72538CAB" w14:textId="451ABDB6" w:rsidR="00304D3F" w:rsidRPr="00166CAB" w:rsidRDefault="00000000">
          <w:pPr>
            <w:rPr>
              <w:b/>
              <w:bCs/>
            </w:rPr>
          </w:pPr>
          <w:r w:rsidRPr="00166CAB">
            <w:rPr>
              <w:b/>
              <w:bCs/>
            </w:rPr>
            <w:fldChar w:fldCharType="end"/>
          </w:r>
          <w:r w:rsidR="00166CAB" w:rsidRPr="00166CAB">
            <w:rPr>
              <w:b/>
              <w:bCs/>
            </w:rPr>
            <w:t>References ……………………………………………………………………………………………………………………………………………..ii</w:t>
          </w:r>
        </w:p>
      </w:sdtContent>
    </w:sdt>
    <w:p w14:paraId="0A487116" w14:textId="77777777" w:rsidR="00304D3F" w:rsidRDefault="00304D3F">
      <w:pPr>
        <w:sectPr w:rsidR="00304D3F">
          <w:footerReference w:type="default" r:id="rId8"/>
          <w:pgSz w:w="11906" w:h="16838"/>
          <w:pgMar w:top="1134" w:right="1134" w:bottom="1134" w:left="1134" w:header="708" w:footer="708" w:gutter="0"/>
          <w:pgNumType w:fmt="lowerRoman" w:start="1"/>
          <w:cols w:space="720"/>
          <w:docGrid w:linePitch="360"/>
        </w:sectPr>
      </w:pPr>
    </w:p>
    <w:p w14:paraId="5AF12652" w14:textId="72ACC2F6" w:rsidR="00EA6B69" w:rsidRDefault="00000000" w:rsidP="00EA6B69">
      <w:pPr>
        <w:pStyle w:val="Heading1"/>
        <w:numPr>
          <w:ilvl w:val="0"/>
          <w:numId w:val="2"/>
        </w:numPr>
        <w:spacing w:before="320" w:after="160"/>
        <w:jc w:val="both"/>
      </w:pPr>
      <w:bookmarkStart w:id="0" w:name="_Toc241279944"/>
      <w:r w:rsidRPr="00EA6B69">
        <w:rPr>
          <w:b/>
          <w:bCs/>
          <w:color w:val="1F3864"/>
        </w:rPr>
        <w:lastRenderedPageBreak/>
        <w:t>Purpose and Objective of the Dashboard</w:t>
      </w:r>
      <w:bookmarkEnd w:id="0"/>
    </w:p>
    <w:p w14:paraId="31DD75E7" w14:textId="259F862D" w:rsidR="00EA6B69" w:rsidRDefault="00EA6B69" w:rsidP="00EA6B69">
      <w:pPr>
        <w:spacing w:after="160" w:line="276" w:lineRule="auto"/>
        <w:jc w:val="both"/>
      </w:pPr>
      <w:r>
        <w:t>In January 2026 the German Golf Federation (DGV) announced a record: 695,617 registered memberships, 8.2 per cent above 2016</w:t>
      </w:r>
      <w:r w:rsidR="008228FA">
        <w:t xml:space="preserve"> </w:t>
      </w:r>
      <w:r w:rsidR="008228FA">
        <w:t>(Deutscher Golf Verband, 2026)</w:t>
      </w:r>
      <w:r w:rsidR="008228FA">
        <w:t>.</w:t>
      </w:r>
      <w:r>
        <w:t xml:space="preserve"> For a sport long described as ageing and closed, that reads as success. This dashboard was built to test it.</w:t>
      </w:r>
    </w:p>
    <w:p w14:paraId="1800DEFC" w14:textId="77777777" w:rsidR="00EA6B69" w:rsidRDefault="00EA6B69" w:rsidP="00EA6B69">
      <w:pPr>
        <w:spacing w:after="160" w:line="276" w:lineRule="auto"/>
        <w:jc w:val="both"/>
      </w:pPr>
      <w:r>
        <w:t>Its audience is the DGV executive board. This board sets national participation strategy. It also allocates the programme budget and the objective is to give them a single view. This view separates genuine recruitment from demographic drift. It then directs a limited budget towards one segment. That segment is the one most likely to return new members. The twelve state golf associations form the secondary audience, as the layer that implements those decisions regionally.</w:t>
      </w:r>
    </w:p>
    <w:p w14:paraId="747728A2" w14:textId="77777777" w:rsidR="00EA6B69" w:rsidRDefault="00EA6B69" w:rsidP="00EA6B69">
      <w:pPr>
        <w:spacing w:after="160" w:line="276" w:lineRule="auto"/>
        <w:jc w:val="both"/>
      </w:pPr>
      <w:r>
        <w:t>The dashboard is organised around one question: is German golf growing because it attracts new participants, or because an existing cohort is ageing through the system? The answer changes what the board should fund. If the growth is genuine, the task is to sustain it. If it is drift, the federation is spending a demographic inheritance and must rebuild its pipeline before the baby-boomer cohort leaves the sport.</w:t>
      </w:r>
    </w:p>
    <w:p w14:paraId="1A5ECCCF" w14:textId="77777777" w:rsidR="00EA6B69" w:rsidRDefault="00EA6B69" w:rsidP="00EA6B69">
      <w:pPr>
        <w:spacing w:after="160" w:line="276" w:lineRule="auto"/>
        <w:jc w:val="both"/>
      </w:pPr>
      <w:r>
        <w:t>Six headline indicators and seven visualisations support that decision. A membership trend sets the current position; a stacked column splits the playing population into members and non-members; a slope chart isolates which age cohorts are growing and which are being lost; a female-share view shows where the sport loses women; a ranked bar chart and a choropleth map locate underused domestic capacity; and a European benchmark sets the target. A year selector resets every headline comparison against any baseline from 2016 onwards.</w:t>
      </w:r>
    </w:p>
    <w:p w14:paraId="41E3E1B6" w14:textId="77777777" w:rsidR="00EA6B69" w:rsidRPr="00EA6B69" w:rsidRDefault="00EA6B69" w:rsidP="00EA6B69">
      <w:pPr>
        <w:spacing w:after="160" w:line="276" w:lineRule="auto"/>
        <w:jc w:val="both"/>
      </w:pPr>
      <w:r>
        <w:t>Together these answer four questions: where the growth comes from, how large the unconverted audience is, which segment is being lost fastest, and where investment returns the most members. The dashboard is diagnostic rather than descriptive: it challenges a favourable headline and moves the strategic conversation from raising awareness towards converting demand that already exists.</w:t>
      </w:r>
    </w:p>
    <w:p w14:paraId="4AEAF6F3" w14:textId="77777777" w:rsidR="00EA6B69" w:rsidRPr="00EA6B69" w:rsidRDefault="00EA6B69" w:rsidP="00EA6B69">
      <w:pPr>
        <w:jc w:val="both"/>
      </w:pPr>
    </w:p>
    <w:p w14:paraId="768C2447" w14:textId="52AD6928" w:rsidR="00235918" w:rsidRPr="00235918" w:rsidRDefault="00EA6B69" w:rsidP="00235918">
      <w:pPr>
        <w:pStyle w:val="Heading1"/>
        <w:numPr>
          <w:ilvl w:val="0"/>
          <w:numId w:val="2"/>
        </w:numPr>
        <w:spacing w:before="320" w:after="160"/>
        <w:jc w:val="both"/>
        <w:rPr>
          <w:b/>
          <w:bCs/>
          <w:color w:val="1F3864"/>
        </w:rPr>
      </w:pPr>
      <w:bookmarkStart w:id="1" w:name="_Toc241279945"/>
      <w:r w:rsidRPr="00EA6B69">
        <w:rPr>
          <w:b/>
          <w:bCs/>
          <w:color w:val="1F3864"/>
        </w:rPr>
        <w:t>Application of Visualisation Theory and Principles</w:t>
      </w:r>
      <w:bookmarkEnd w:id="1"/>
    </w:p>
    <w:p w14:paraId="397E7CA4" w14:textId="77777777" w:rsidR="00EA6B69" w:rsidRPr="00EA6B69" w:rsidRDefault="00000000" w:rsidP="00EA6B69">
      <w:pPr>
        <w:pStyle w:val="Heading2"/>
        <w:numPr>
          <w:ilvl w:val="1"/>
          <w:numId w:val="2"/>
        </w:numPr>
        <w:spacing w:before="240" w:after="120"/>
        <w:jc w:val="both"/>
      </w:pPr>
      <w:bookmarkStart w:id="2" w:name="_Toc241279946"/>
      <w:r>
        <w:rPr>
          <w:b/>
          <w:bCs/>
          <w:color w:val="2E5496"/>
          <w:sz w:val="24"/>
          <w:szCs w:val="24"/>
        </w:rPr>
        <w:t>Preparation and validation</w:t>
      </w:r>
      <w:bookmarkEnd w:id="2"/>
    </w:p>
    <w:p w14:paraId="0512EB02" w14:textId="77777777" w:rsidR="00EA6B69" w:rsidRDefault="00EA6B69" w:rsidP="00EA6B69">
      <w:pPr>
        <w:spacing w:after="160" w:line="276" w:lineRule="auto"/>
        <w:jc w:val="both"/>
      </w:pPr>
      <w:r>
        <w:t>The dashboard draws on ten annual DGV statistical reports covering membership years 2016 to 2025, supplemented by Allensbach survey data, The R&amp;A's Global Golf Participation report, and population figures from the Federal Statistical Office.</w:t>
      </w:r>
    </w:p>
    <w:p w14:paraId="41CE66B2" w14:textId="77777777" w:rsidR="00EA6B69" w:rsidRDefault="00EA6B69" w:rsidP="00EA6B69">
      <w:pPr>
        <w:spacing w:after="160" w:line="276" w:lineRule="auto"/>
        <w:jc w:val="both"/>
      </w:pPr>
      <w:r>
        <w:t>Because the DGV publishes only in PDF, the tables were extracted programmatically rather than retyped, which removes transcription error as a failure mode. Each year was reconciled against four independently published figures: the age-by-gender table, the state association rows, the national player series and the facility counts. All ten years agree exactly, and the R&amp;A data reconciles to the same total. Raw tables were kept in published shape so any figure can be audited, and every derived measure written as a live formula.</w:t>
      </w:r>
    </w:p>
    <w:p w14:paraId="0B42F886" w14:textId="6BDCC319" w:rsidR="00EA6B69" w:rsidRDefault="00EA6B69" w:rsidP="00EA6B69">
      <w:pPr>
        <w:spacing w:after="160" w:line="276" w:lineRule="auto"/>
        <w:jc w:val="both"/>
      </w:pPr>
      <w:r>
        <w:t xml:space="preserve">Three limitations are documented in the workbook. Membership is published only by state association, four of which span two federal states, so the map shades each state with its association's rate. A registered membership is not the same as a person who plays golf </w:t>
      </w:r>
      <w:r w:rsidR="00235918">
        <w:t>(</w:t>
      </w:r>
      <w:r>
        <w:t>the gap the stacked column measures</w:t>
      </w:r>
      <w:r w:rsidR="00235918">
        <w:t>)</w:t>
      </w:r>
      <w:r>
        <w:t xml:space="preserve"> and because that column subtracts an administrative count from a survey count, its segments are magnitudes, not head counts. Allensbach surveys only those aged 14 and over.</w:t>
      </w:r>
    </w:p>
    <w:p w14:paraId="33C2A5C6" w14:textId="77777777" w:rsidR="00EA6B69" w:rsidRPr="00EA6B69" w:rsidRDefault="00EA6B69" w:rsidP="00EA6B69">
      <w:pPr>
        <w:pStyle w:val="Heading2"/>
        <w:numPr>
          <w:ilvl w:val="1"/>
          <w:numId w:val="2"/>
        </w:numPr>
        <w:spacing w:before="240" w:after="120"/>
        <w:jc w:val="both"/>
      </w:pPr>
      <w:bookmarkStart w:id="3" w:name="_Toc241279947"/>
      <w:r w:rsidRPr="00EA6B69">
        <w:rPr>
          <w:b/>
          <w:bCs/>
          <w:color w:val="2E5496"/>
          <w:sz w:val="24"/>
          <w:szCs w:val="24"/>
        </w:rPr>
        <w:lastRenderedPageBreak/>
        <w:t>Choosing the visualisations</w:t>
      </w:r>
      <w:bookmarkEnd w:id="3"/>
    </w:p>
    <w:p w14:paraId="2BDA46E3" w14:textId="561F9B58" w:rsidR="00EA6B69" w:rsidRDefault="00EA6B69" w:rsidP="00EA6B69">
      <w:pPr>
        <w:spacing w:after="160" w:line="276" w:lineRule="auto"/>
        <w:jc w:val="both"/>
      </w:pPr>
      <w:r>
        <w:t xml:space="preserve">Each visualisation was matched to one of the four analytical goals </w:t>
      </w:r>
      <w:r w:rsidR="00235918">
        <w:t>-</w:t>
      </w:r>
      <w:r>
        <w:t xml:space="preserve"> composition, ranking, relationship and distribution before a chart type was chosen (Camm et al., 2021). Trends over time use line charts, because connecting consecutive points implies continuity. Change between exactly two points uses a slope chart. Composition uses a stacked column whose two segments are mutually exclusive and sum to the playing population. Rankings use bars sorted by value, horizontal because the association names are long. Regional penetration uses a choropleth map, the form for a quantitative variable spread across geography.</w:t>
      </w:r>
    </w:p>
    <w:p w14:paraId="6FDE41F6" w14:textId="28CCA91C" w:rsidR="00EA6B69" w:rsidRDefault="00EA6B69" w:rsidP="00EA6B69">
      <w:pPr>
        <w:spacing w:after="160" w:line="276" w:lineRule="auto"/>
        <w:jc w:val="both"/>
      </w:pPr>
      <w:r>
        <w:t xml:space="preserve">Penetration appears twice, deliberately. The ranked bar chart answers how large the gap is and which associations fall below the national average; the map answers where it lies, showing the pattern to be coastal rather than east-west. </w:t>
      </w:r>
    </w:p>
    <w:p w14:paraId="26EEDFAF" w14:textId="54DCD7B4" w:rsidR="00EA6B69" w:rsidRPr="00EA6B69" w:rsidRDefault="00EA6B69" w:rsidP="00235918">
      <w:pPr>
        <w:spacing w:after="160" w:line="276" w:lineRule="auto"/>
        <w:jc w:val="both"/>
      </w:pPr>
      <w:r>
        <w:t>Chart types the course identifies as poor choices were avoided: no pie charts, because people judge length more accurately than angle or area; no radar or area charts, which become unreadable when series overlap; no combination charts; and no three-dimensional effects, which add clutter without information.</w:t>
      </w:r>
    </w:p>
    <w:p w14:paraId="7397DDD1" w14:textId="28E54833" w:rsidR="00EA6B69" w:rsidRPr="00235918" w:rsidRDefault="00EA6B69" w:rsidP="00EA6B69">
      <w:pPr>
        <w:pStyle w:val="Heading2"/>
        <w:numPr>
          <w:ilvl w:val="1"/>
          <w:numId w:val="2"/>
        </w:numPr>
        <w:spacing w:before="240" w:after="120"/>
        <w:jc w:val="both"/>
      </w:pPr>
      <w:bookmarkStart w:id="4" w:name="_Toc241279948"/>
      <w:r w:rsidRPr="00EA6B69">
        <w:rPr>
          <w:b/>
          <w:bCs/>
          <w:color w:val="2E5496"/>
          <w:sz w:val="24"/>
          <w:szCs w:val="24"/>
        </w:rPr>
        <w:t>Colour</w:t>
      </w:r>
      <w:bookmarkEnd w:id="4"/>
    </w:p>
    <w:p w14:paraId="4872FF48" w14:textId="40D13984" w:rsidR="00235918" w:rsidRDefault="00235918" w:rsidP="00235918">
      <w:pPr>
        <w:spacing w:after="160" w:line="276" w:lineRule="auto"/>
        <w:jc w:val="both"/>
      </w:pPr>
      <w:r>
        <w:t>The palette is deliberately narrow. Blue marks the subject of a chart or values above the reference</w:t>
      </w:r>
      <w:r>
        <w:t>. O</w:t>
      </w:r>
      <w:r>
        <w:t>range marks what needs attention</w:t>
      </w:r>
      <w:r>
        <w:t xml:space="preserve">, </w:t>
      </w:r>
      <w:r>
        <w:t>a loss, a shortfall, a value below the reference</w:t>
      </w:r>
      <w:r>
        <w:t>,</w:t>
      </w:r>
      <w:r>
        <w:t xml:space="preserve"> and grey carries context. Colour therefore encodes significance rather than category, which keeps the scheme well inside the six-colour ceiling and lets two hues serve every chart. Blue #0072B2 and orange #E69F00 come from the Okabe-Ito palette and stay distinguishable under deuteranopia, protanopia and tritanopia (Okabe &amp; Ito, 2008).</w:t>
      </w:r>
    </w:p>
    <w:p w14:paraId="7E531663" w14:textId="22C0ADEB" w:rsidR="00235918" w:rsidRDefault="00235918" w:rsidP="00235918">
      <w:pPr>
        <w:spacing w:after="160" w:line="276" w:lineRule="auto"/>
        <w:jc w:val="both"/>
      </w:pPr>
      <w:r>
        <w:t>That single convention does three jobs. On the slope chart the growing cohort is blue and the shrinking one orange, the stable cohorts grey. On regional penetration a diverging scheme splits the associations at the national average, with a dashed red line marking that threshold so the split can be verified rather than assumed. On the European benchmark a highlight scheme keeps the hue for Germany and greys the other markets, directing attention without a legend.</w:t>
      </w:r>
    </w:p>
    <w:p w14:paraId="35C47487" w14:textId="1158B191" w:rsidR="00235918" w:rsidRDefault="00EA6B69" w:rsidP="00EA6B69">
      <w:pPr>
        <w:pStyle w:val="Heading2"/>
        <w:numPr>
          <w:ilvl w:val="1"/>
          <w:numId w:val="2"/>
        </w:numPr>
        <w:spacing w:before="240" w:after="120"/>
        <w:jc w:val="both"/>
      </w:pPr>
      <w:bookmarkStart w:id="5" w:name="_Toc241279949"/>
      <w:r w:rsidRPr="00EA6B69">
        <w:rPr>
          <w:b/>
          <w:bCs/>
          <w:color w:val="2E5496"/>
          <w:sz w:val="24"/>
          <w:szCs w:val="24"/>
        </w:rPr>
        <w:t>Layout and cognitive load</w:t>
      </w:r>
      <w:bookmarkEnd w:id="5"/>
    </w:p>
    <w:p w14:paraId="04FD73CB" w14:textId="22D1AD8E" w:rsidR="00304D3F" w:rsidRDefault="00000000" w:rsidP="00EA6B69">
      <w:pPr>
        <w:spacing w:after="160" w:line="276" w:lineRule="auto"/>
        <w:jc w:val="both"/>
      </w:pPr>
      <w:r>
        <w:t xml:space="preserve">Pre-attentive attributes were applied consistently: colour for significance, length for magnitude, position for reading order, so the layout runs from the current position, through the opportunity, to the structural problem and where investment should go. Gestalt principles reinforce this </w:t>
      </w:r>
      <w:r w:rsidR="008C04D9">
        <w:t xml:space="preserve">- </w:t>
      </w:r>
      <w:r>
        <w:t>identical colour signals identical meaning across all seven charts, the indicators form one enclosed band beneath the title, and connected markers make time series read as continuous.</w:t>
      </w:r>
    </w:p>
    <w:p w14:paraId="2D2FFEFC" w14:textId="7D19EE48" w:rsidR="00235918" w:rsidRDefault="00000000" w:rsidP="00EA6B69">
      <w:pPr>
        <w:spacing w:after="160" w:line="276" w:lineRule="auto"/>
        <w:jc w:val="both"/>
      </w:pPr>
      <w:r>
        <w:t>Clutter was removed rather than tolerated. Gridlines, borders and decorative fills were deleted</w:t>
      </w:r>
      <w:r w:rsidR="00166CAB">
        <w:t xml:space="preserve"> where they weren’t necessary</w:t>
      </w:r>
      <w:r>
        <w:t>, and legends dropped wherever a single series or direct label already identifies the data. Every chart carries a heading stating its finding rather than naming its measure, so the reader need not decode the chart. Text is sans-serif throughout.</w:t>
      </w:r>
    </w:p>
    <w:p w14:paraId="54B77CF4" w14:textId="77777777" w:rsidR="00235918" w:rsidRDefault="00235918" w:rsidP="00EA6B69">
      <w:pPr>
        <w:spacing w:after="160" w:line="276" w:lineRule="auto"/>
        <w:jc w:val="both"/>
      </w:pPr>
    </w:p>
    <w:p w14:paraId="52650798" w14:textId="77777777" w:rsidR="00235918" w:rsidRDefault="00235918" w:rsidP="00EA6B69">
      <w:pPr>
        <w:spacing w:after="160" w:line="276" w:lineRule="auto"/>
        <w:jc w:val="both"/>
      </w:pPr>
    </w:p>
    <w:p w14:paraId="6FFB4E15" w14:textId="77777777" w:rsidR="00235918" w:rsidRDefault="00235918" w:rsidP="00EA6B69">
      <w:pPr>
        <w:spacing w:after="160" w:line="276" w:lineRule="auto"/>
        <w:jc w:val="both"/>
      </w:pPr>
    </w:p>
    <w:p w14:paraId="37B4CF60" w14:textId="77777777" w:rsidR="00235918" w:rsidRDefault="00235918" w:rsidP="00EA6B69">
      <w:pPr>
        <w:spacing w:after="160" w:line="276" w:lineRule="auto"/>
        <w:jc w:val="both"/>
      </w:pPr>
    </w:p>
    <w:p w14:paraId="47D3DA2C" w14:textId="77777777" w:rsidR="00235918" w:rsidRDefault="00235918" w:rsidP="00EA6B69">
      <w:pPr>
        <w:spacing w:after="160" w:line="276" w:lineRule="auto"/>
        <w:jc w:val="both"/>
      </w:pPr>
    </w:p>
    <w:p w14:paraId="7FDAF211" w14:textId="77777777" w:rsidR="00235918" w:rsidRPr="00235918" w:rsidRDefault="00235918" w:rsidP="00235918">
      <w:pPr>
        <w:pStyle w:val="Heading1"/>
        <w:numPr>
          <w:ilvl w:val="0"/>
          <w:numId w:val="2"/>
        </w:numPr>
        <w:spacing w:before="320" w:after="160"/>
        <w:jc w:val="both"/>
        <w:rPr>
          <w:b/>
          <w:bCs/>
          <w:color w:val="1F3864"/>
          <w:sz w:val="36"/>
          <w:szCs w:val="36"/>
        </w:rPr>
      </w:pPr>
      <w:bookmarkStart w:id="6" w:name="_Toc241279950"/>
      <w:r w:rsidRPr="00235918">
        <w:rPr>
          <w:b/>
          <w:bCs/>
          <w:color w:val="1F3864"/>
        </w:rPr>
        <w:lastRenderedPageBreak/>
        <w:t>Insights, Usefulness and Recommendations</w:t>
      </w:r>
      <w:bookmarkEnd w:id="6"/>
    </w:p>
    <w:p w14:paraId="124D8474" w14:textId="673DF08E" w:rsidR="00235918" w:rsidRPr="00235918" w:rsidRDefault="00000000" w:rsidP="00235918">
      <w:pPr>
        <w:pStyle w:val="Heading1"/>
        <w:numPr>
          <w:ilvl w:val="1"/>
          <w:numId w:val="2"/>
        </w:numPr>
        <w:spacing w:before="320" w:after="160"/>
        <w:jc w:val="both"/>
        <w:rPr>
          <w:b/>
          <w:bCs/>
          <w:color w:val="1F3864"/>
          <w:sz w:val="36"/>
          <w:szCs w:val="36"/>
        </w:rPr>
      </w:pPr>
      <w:bookmarkStart w:id="7" w:name="_Toc241279951"/>
      <w:r w:rsidRPr="00235918">
        <w:rPr>
          <w:b/>
          <w:bCs/>
          <w:color w:val="2E5496"/>
          <w:sz w:val="24"/>
          <w:szCs w:val="24"/>
        </w:rPr>
        <w:t>What the dashboard shows</w:t>
      </w:r>
      <w:bookmarkEnd w:id="7"/>
    </w:p>
    <w:p w14:paraId="2FDB1FDC" w14:textId="51C30D96" w:rsidR="00304D3F" w:rsidRDefault="00000000" w:rsidP="00EA6B69">
      <w:pPr>
        <w:spacing w:after="160" w:line="276" w:lineRule="auto"/>
        <w:jc w:val="both"/>
      </w:pPr>
      <w:r>
        <w:t xml:space="preserve">Membership rose by 52,459 between 2016 and 2025, yet the group aged 61 and over grew by 53,506 </w:t>
      </w:r>
      <w:r w:rsidR="00235918">
        <w:t>-</w:t>
      </w:r>
      <w:r>
        <w:t xml:space="preserve"> more than the entire net gain. Over the same period the 41-to-60 cohort</w:t>
      </w:r>
      <w:r w:rsidR="00235918">
        <w:t xml:space="preserve"> </w:t>
      </w:r>
      <w:r>
        <w:t>lost 31,421 members, and the slope chart shows the two crossing. Projections that one in four Germans will be aged 67 or over by 2035</w:t>
      </w:r>
      <w:r w:rsidR="008228FA">
        <w:t xml:space="preserve"> </w:t>
      </w:r>
      <w:r w:rsidR="008228FA">
        <w:t>(Statistisches Bundesamt, 2025b)</w:t>
      </w:r>
      <w:r>
        <w:t xml:space="preserve"> make that trajectory harder.</w:t>
      </w:r>
    </w:p>
    <w:p w14:paraId="418475EB" w14:textId="258B39BB" w:rsidR="008C04D9" w:rsidRDefault="008C04D9" w:rsidP="00EA6B69">
      <w:pPr>
        <w:spacing w:after="160" w:line="276" w:lineRule="auto"/>
        <w:jc w:val="both"/>
      </w:pPr>
      <w:r>
        <w:t>Survey data shows where the opportunity sits, and that it is being missed at an increasing rate. In 2025, 3.4 million people play golf while only 0.70 million hold a membership</w:t>
      </w:r>
      <w:r w:rsidR="00166CAB">
        <w:t xml:space="preserve"> </w:t>
      </w:r>
      <w:r w:rsidR="00166CAB">
        <w:t>(Institut für Demoskopie Allensbach, 2025)</w:t>
      </w:r>
      <w:r>
        <w:t>. Between 2019 and 2025 the playing population grew by 17.0 per cent against 8.2 per cent for membership, so 437,000 of the 490,000 additional players — 89 per cent — did not join a club, and 2.68 million now play without a membership.</w:t>
      </w:r>
    </w:p>
    <w:p w14:paraId="3CFDA57A" w14:textId="202188A9" w:rsidR="00304D3F" w:rsidRDefault="00000000" w:rsidP="00EA6B69">
      <w:pPr>
        <w:spacing w:after="160" w:line="276" w:lineRule="auto"/>
        <w:jc w:val="both"/>
      </w:pPr>
      <w:r>
        <w:t>The gender pattern is a recruitment finding rather than an attrition one. Of the 31,529 net members added in the 19-to-40 cohort since 2016, 89 per cent were men, and in the 36-to-40 band the two moved in opposite directions: women fell by 2,216 while men rose by 2,213. A life-stage explanation does not fit, because family formation would affect both parents, and it does not explain why the female share already falls from 34.4 per cent at ages 7 to 14 to 29.3 per cent at 15 to 18.</w:t>
      </w:r>
    </w:p>
    <w:p w14:paraId="69C20572" w14:textId="606E5913" w:rsidR="00304D3F" w:rsidRDefault="00000000" w:rsidP="00EA6B69">
      <w:pPr>
        <w:spacing w:after="160" w:line="276" w:lineRule="auto"/>
        <w:jc w:val="both"/>
      </w:pPr>
      <w:r>
        <w:t>Two capacity findings complete the picture. Penetration ranges from 18.4 players per thousand residents in Schleswig-Holstein to 1.0 in Saxony-Anhalt, with seven of twelve associations below the national average of 8.3; closing those gaps would add 115,301 members</w:t>
      </w:r>
      <w:r w:rsidR="00C7226A">
        <w:t xml:space="preserve">. </w:t>
      </w:r>
      <w:r w:rsidR="00C7226A">
        <w:t>Germany reaches 8.2 players per thousand residents, thirteenth of the seventeen European markets in the benchmark and a third of the Dutch rate of 25.0</w:t>
      </w:r>
      <w:r w:rsidR="00166CAB">
        <w:t xml:space="preserve"> </w:t>
      </w:r>
      <w:r w:rsidR="00166CAB">
        <w:t>(The R&amp;A, 2025)</w:t>
      </w:r>
      <w:r w:rsidR="00C7226A">
        <w:t>.</w:t>
      </w:r>
    </w:p>
    <w:p w14:paraId="31906413" w14:textId="5771782A" w:rsidR="00235918" w:rsidRPr="00235918" w:rsidRDefault="00235918" w:rsidP="00235918">
      <w:pPr>
        <w:pStyle w:val="Heading1"/>
        <w:numPr>
          <w:ilvl w:val="1"/>
          <w:numId w:val="2"/>
        </w:numPr>
        <w:spacing w:before="320" w:after="160"/>
        <w:jc w:val="both"/>
        <w:rPr>
          <w:b/>
          <w:bCs/>
          <w:color w:val="1F3864"/>
          <w:sz w:val="36"/>
          <w:szCs w:val="36"/>
        </w:rPr>
      </w:pPr>
      <w:bookmarkStart w:id="8" w:name="_Toc241279952"/>
      <w:r w:rsidRPr="00235918">
        <w:rPr>
          <w:b/>
          <w:bCs/>
          <w:color w:val="2E5496"/>
          <w:sz w:val="24"/>
          <w:szCs w:val="24"/>
        </w:rPr>
        <w:t>Recommendations</w:t>
      </w:r>
      <w:bookmarkEnd w:id="8"/>
    </w:p>
    <w:p w14:paraId="6B9C2B12" w14:textId="7D01CEB0" w:rsidR="00304D3F" w:rsidRDefault="00000000" w:rsidP="00EA6B69">
      <w:pPr>
        <w:spacing w:after="160" w:line="276" w:lineRule="auto"/>
        <w:jc w:val="both"/>
      </w:pPr>
      <w:r>
        <w:t xml:space="preserve">First, fund conversion rather than awareness. With 2.68 million people already playing without a membership, and that pool growing by roughly 70,000 a year, converting one per cent would add some 27,000 members </w:t>
      </w:r>
      <w:r w:rsidR="008C04D9">
        <w:t>-</w:t>
      </w:r>
      <w:r>
        <w:t xml:space="preserve"> three times the net gain recorded in 2025. Flexible, non-club and trial membership formats are the instrument, and the orange segment of the second chart is the measure against which to track them.</w:t>
      </w:r>
    </w:p>
    <w:p w14:paraId="612D4E4B" w14:textId="2714D446" w:rsidR="00304D3F" w:rsidRDefault="00000000" w:rsidP="00EA6B69">
      <w:pPr>
        <w:spacing w:after="160" w:line="276" w:lineRule="auto"/>
        <w:jc w:val="both"/>
      </w:pPr>
      <w:r>
        <w:t>Second, investigate attrition in the 41-to-60 cohort before committing to any acquisition campaign. A net loss of 31,421 members in the segment with the highest willingness to pay is the largest negative item in the data</w:t>
      </w:r>
      <w:r w:rsidR="008C04D9">
        <w:t>.</w:t>
      </w:r>
    </w:p>
    <w:p w14:paraId="22217DB9" w14:textId="59A640C7" w:rsidR="00304D3F" w:rsidRDefault="00000000" w:rsidP="00EA6B69">
      <w:pPr>
        <w:spacing w:after="160" w:line="276" w:lineRule="auto"/>
        <w:jc w:val="both"/>
      </w:pPr>
      <w:r>
        <w:t>Third, audit the recruitment channels rather than the retention programmes. Because the growth of the past decade reached men almost exclusively, the question is which formats, pricing and communications reach women aged 19 to 40. The R&amp;A Women in Golf Charter offers a ready framework</w:t>
      </w:r>
      <w:r w:rsidR="00166CAB">
        <w:t xml:space="preserve"> (</w:t>
      </w:r>
      <w:r w:rsidR="00166CAB">
        <w:t>The R&amp;A, 2021)</w:t>
      </w:r>
      <w:r>
        <w:t>.</w:t>
      </w:r>
    </w:p>
    <w:p w14:paraId="79E0D9F3" w14:textId="77777777" w:rsidR="00304D3F" w:rsidRDefault="00000000" w:rsidP="00EA6B69">
      <w:pPr>
        <w:spacing w:after="160" w:line="276" w:lineRule="auto"/>
        <w:jc w:val="both"/>
      </w:pPr>
      <w:r>
        <w:t>Fourth, direct capacity investment by penetration rather than absolute market size. Saxony/Thuringia and Berlin/Brandenburg together account for 61,606 of the 115,301 members of untapped potential, yet hold only forty facilities between them. The map identifies the territory and the ranked chart quantifies the prize.</w:t>
      </w:r>
    </w:p>
    <w:p w14:paraId="421644E0" w14:textId="77777777" w:rsidR="00304D3F" w:rsidRDefault="00000000" w:rsidP="00EA6B69">
      <w:pPr>
        <w:spacing w:after="160" w:line="276" w:lineRule="auto"/>
        <w:jc w:val="both"/>
      </w:pPr>
      <w:r>
        <w:t>Fifth, adopt the Netherlands rather than Sweden as the benchmark: at 25.0 players per thousand in a comparably dense, non-Nordic market it is a credible medium-term target.</w:t>
      </w:r>
    </w:p>
    <w:p w14:paraId="6B5D1A1E" w14:textId="77777777" w:rsidR="00304D3F" w:rsidRDefault="00000000" w:rsidP="00EA6B69">
      <w:pPr>
        <w:spacing w:after="160" w:line="276" w:lineRule="auto"/>
        <w:jc w:val="both"/>
      </w:pPr>
      <w:r>
        <w:lastRenderedPageBreak/>
        <w:t>Finally, rebuild the junior pipeline. Membership under nineteen stands at 42,798 against 43,953 in 2016, so the base narrows while the top of the age distribution widens. Without intervention the ageing profile compounds rather than corrects.</w:t>
      </w:r>
    </w:p>
    <w:p w14:paraId="6DBFDB72" w14:textId="77777777" w:rsidR="00304D3F" w:rsidRDefault="00000000" w:rsidP="00EA6B69">
      <w:pPr>
        <w:spacing w:after="160" w:line="276" w:lineRule="auto"/>
        <w:jc w:val="both"/>
      </w:pPr>
      <w:r>
        <w:t>Used together, these views turn an annual statistical release into a review instrument: the board sets the comparison year, reads the six indicators, and establishes in one screen whether the year moved the federation towards recruitment or further into drift.</w:t>
      </w:r>
    </w:p>
    <w:p w14:paraId="7452897D" w14:textId="77777777" w:rsidR="00304D3F" w:rsidRDefault="00000000" w:rsidP="00EA6B69">
      <w:pPr>
        <w:pStyle w:val="Heading1"/>
        <w:spacing w:before="320" w:after="160"/>
        <w:jc w:val="both"/>
      </w:pPr>
      <w:bookmarkStart w:id="9" w:name="_Toc241279953"/>
      <w:r>
        <w:rPr>
          <w:b/>
          <w:bCs/>
          <w:color w:val="1F3864"/>
          <w:sz w:val="30"/>
          <w:szCs w:val="30"/>
        </w:rPr>
        <w:t>Acknowledgement of Artificial Intelligence Use</w:t>
      </w:r>
      <w:bookmarkEnd w:id="9"/>
    </w:p>
    <w:p w14:paraId="2C12187C" w14:textId="77777777" w:rsidR="00166CAB" w:rsidRDefault="00EA6B69" w:rsidP="00166CAB">
      <w:pPr>
        <w:spacing w:after="160" w:line="276" w:lineRule="auto"/>
        <w:jc w:val="both"/>
        <w:sectPr w:rsidR="00166CAB">
          <w:footerReference w:type="default" r:id="rId9"/>
          <w:pgSz w:w="11906" w:h="16838"/>
          <w:pgMar w:top="1134" w:right="1134" w:bottom="1134" w:left="1134" w:header="708" w:footer="708" w:gutter="0"/>
          <w:pgNumType w:start="1"/>
          <w:cols w:space="720"/>
          <w:docGrid w:linePitch="360"/>
        </w:sectPr>
      </w:pPr>
      <w:r>
        <w:t>I used Claude (Anthropic) at several stages of this assessment. In preparing the data, I used it to extract the published DGV statistical tables from PDF into spreadsheet form and to cross-check each year against independently published figures; I verified every reconciliation against the original reports before using the figures. In building the artefact, I used it as a sounding board on chart selection, colour encoding and layout, testing my choices against the principles taught in the course; the structure of the dashboard, the questions it answers and the final design decisions are my own. In writing the report, I used it for proofreading and grammar correction, for alternative phrasing where my own wording was unclear, and as a feedback tool to check my argument structure and APA 7 citation formatting against the rubric criteria. All analysis, interpretation, recommendations and final wording are my own. AI suggestions were reviewed, verified against the primary sources, and accepted, modified or rejected by me before inclusion.</w:t>
      </w:r>
    </w:p>
    <w:p w14:paraId="26939675" w14:textId="3EF2BE6E" w:rsidR="00304D3F" w:rsidRDefault="00000000" w:rsidP="00166CAB">
      <w:pPr>
        <w:spacing w:after="160" w:line="276" w:lineRule="auto"/>
        <w:jc w:val="both"/>
      </w:pPr>
      <w:r>
        <w:rPr>
          <w:b/>
          <w:bCs/>
          <w:color w:val="1F3864"/>
          <w:sz w:val="30"/>
          <w:szCs w:val="30"/>
        </w:rPr>
        <w:lastRenderedPageBreak/>
        <w:t>References</w:t>
      </w:r>
    </w:p>
    <w:p w14:paraId="06FFC30D" w14:textId="77777777" w:rsidR="00304D3F" w:rsidRDefault="00000000">
      <w:pPr>
        <w:spacing w:after="140"/>
        <w:ind w:left="567" w:hanging="567"/>
      </w:pPr>
      <w:r>
        <w:t>Camm, J. D., Cochran, J. J., Fry, M. J., &amp; Ohlmann, J. W. (2021). Data visualization: Exploring and explaining with data (1st ed.). Cengage.</w:t>
      </w:r>
    </w:p>
    <w:p w14:paraId="1CEA7436" w14:textId="67DAD0A0" w:rsidR="00304D3F" w:rsidRDefault="00000000">
      <w:pPr>
        <w:spacing w:after="140"/>
        <w:ind w:left="567" w:hanging="567"/>
      </w:pPr>
      <w:r>
        <w:t xml:space="preserve">Deutscher Golf Verband. (2017–2026). DGV-Statistiken 2016–2025 [DGV statistics 2016–2025]. </w:t>
      </w:r>
      <w:hyperlink r:id="rId10" w:history="1">
        <w:r w:rsidR="00C7226A" w:rsidRPr="00790979">
          <w:rPr>
            <w:rStyle w:val="Hyperlink"/>
          </w:rPr>
          <w:t>https://serviceportal.dgv-intranet.de/marketing-betrieb/markt-daten/allgemeine-statistiken.cfm</w:t>
        </w:r>
      </w:hyperlink>
      <w:r w:rsidR="00C7226A">
        <w:t xml:space="preserve"> </w:t>
      </w:r>
    </w:p>
    <w:p w14:paraId="6978EEB7" w14:textId="25683F26" w:rsidR="00304D3F" w:rsidRDefault="00000000">
      <w:pPr>
        <w:spacing w:after="140"/>
        <w:ind w:left="567" w:hanging="567"/>
      </w:pPr>
      <w:r>
        <w:t xml:space="preserve">Deutscher Golf Verband. (2026, January 21). Golf in Deutschland erreicht neue Höchstwerte [Golf in Germany reaches new highs] [Press release]. </w:t>
      </w:r>
      <w:hyperlink r:id="rId11" w:history="1">
        <w:r w:rsidR="00C7226A" w:rsidRPr="00790979">
          <w:rPr>
            <w:rStyle w:val="Hyperlink"/>
          </w:rPr>
          <w:t>https://serviceportal.dgv-intranet.de/files/pdf3/26-01-21-01-pm-golferzahlen.pdf</w:t>
        </w:r>
      </w:hyperlink>
      <w:r w:rsidR="00C7226A">
        <w:t xml:space="preserve"> </w:t>
      </w:r>
    </w:p>
    <w:p w14:paraId="5F6ADE09" w14:textId="1FE9B0A1" w:rsidR="00304D3F" w:rsidRDefault="00000000">
      <w:pPr>
        <w:spacing w:after="140"/>
        <w:ind w:left="567" w:hanging="567"/>
      </w:pPr>
      <w:r>
        <w:t xml:space="preserve">Huth, C., &amp; Billion, F. (2022). Impacts of the COVID-19 pandemic on German golf — a comparison between club-owned and commercial golf clubs. Quality in Sport, 8(1), 21–27. </w:t>
      </w:r>
      <w:hyperlink r:id="rId12" w:history="1">
        <w:r w:rsidR="00C7226A" w:rsidRPr="00790979">
          <w:rPr>
            <w:rStyle w:val="Hyperlink"/>
          </w:rPr>
          <w:t>https://doi.org/10.12775</w:t>
        </w:r>
        <w:r w:rsidR="00C7226A" w:rsidRPr="00790979">
          <w:rPr>
            <w:rStyle w:val="Hyperlink"/>
          </w:rPr>
          <w:t>/</w:t>
        </w:r>
        <w:r w:rsidR="00C7226A" w:rsidRPr="00790979">
          <w:rPr>
            <w:rStyle w:val="Hyperlink"/>
          </w:rPr>
          <w:t>QS.2022.08.01.002</w:t>
        </w:r>
      </w:hyperlink>
      <w:r w:rsidR="00C7226A">
        <w:t xml:space="preserve"> </w:t>
      </w:r>
    </w:p>
    <w:p w14:paraId="21D4ED44" w14:textId="6132E1EA" w:rsidR="00304D3F" w:rsidRDefault="00000000">
      <w:pPr>
        <w:spacing w:after="140"/>
        <w:ind w:left="567" w:hanging="567"/>
      </w:pPr>
      <w:r>
        <w:t>Institut für Demoskopie Allensbach. (2025). Allensbacher Markt- und Werbeträgeranalyse 2025 [Data set]. Statista.</w:t>
      </w:r>
      <w:r w:rsidR="008228FA">
        <w:t xml:space="preserve"> </w:t>
      </w:r>
      <w:hyperlink r:id="rId13" w:history="1">
        <w:r w:rsidR="008228FA" w:rsidRPr="00790979">
          <w:rPr>
            <w:rStyle w:val="Hyperlink"/>
          </w:rPr>
          <w:t>https://de.statista.com/statistik/studie/id/7269/dokument/golfmarkt-statista-dossier/</w:t>
        </w:r>
      </w:hyperlink>
      <w:r w:rsidR="008228FA">
        <w:t xml:space="preserve"> </w:t>
      </w:r>
    </w:p>
    <w:p w14:paraId="009F160F" w14:textId="3A856DA2" w:rsidR="00304D3F" w:rsidRDefault="00000000">
      <w:pPr>
        <w:spacing w:after="140"/>
        <w:ind w:left="567" w:hanging="567"/>
      </w:pPr>
      <w:r>
        <w:t xml:space="preserve">Okabe, M., &amp; Ito, K. (2008). Color universal design (CUD): How to make figures and presentations that are friendly to colorblind people. </w:t>
      </w:r>
      <w:hyperlink r:id="rId14" w:history="1">
        <w:r w:rsidR="00C7226A" w:rsidRPr="00790979">
          <w:rPr>
            <w:rStyle w:val="Hyperlink"/>
          </w:rPr>
          <w:t>https://jfly.uni-koel</w:t>
        </w:r>
        <w:r w:rsidR="00C7226A" w:rsidRPr="00790979">
          <w:rPr>
            <w:rStyle w:val="Hyperlink"/>
          </w:rPr>
          <w:t>n</w:t>
        </w:r>
        <w:r w:rsidR="00C7226A" w:rsidRPr="00790979">
          <w:rPr>
            <w:rStyle w:val="Hyperlink"/>
          </w:rPr>
          <w:t>.de/color/</w:t>
        </w:r>
      </w:hyperlink>
      <w:r w:rsidR="00C7226A">
        <w:t xml:space="preserve"> </w:t>
      </w:r>
    </w:p>
    <w:p w14:paraId="721DF472" w14:textId="2A253525" w:rsidR="00304D3F" w:rsidRDefault="00000000">
      <w:pPr>
        <w:spacing w:after="140"/>
        <w:ind w:left="567" w:hanging="567"/>
      </w:pPr>
      <w:r>
        <w:t xml:space="preserve">Statistisches Bundesamt. (2025). Bundesländer mit Hauptstädten nach Fläche, Bevölkerung und Bevölkerungsdichte am 31.12.2024 [Federal states by area and population]. </w:t>
      </w:r>
      <w:hyperlink r:id="rId15" w:history="1">
        <w:r w:rsidR="00C7226A" w:rsidRPr="00790979">
          <w:rPr>
            <w:rStyle w:val="Hyperlink"/>
          </w:rPr>
          <w:t>https://www.destatis.de/DE/Them</w:t>
        </w:r>
        <w:r w:rsidR="00C7226A" w:rsidRPr="00790979">
          <w:rPr>
            <w:rStyle w:val="Hyperlink"/>
          </w:rPr>
          <w:t>e</w:t>
        </w:r>
        <w:r w:rsidR="00C7226A" w:rsidRPr="00790979">
          <w:rPr>
            <w:rStyle w:val="Hyperlink"/>
          </w:rPr>
          <w:t>n/Laender-Regionen/Regionales/Gemeindeverzeichnis/Administrativ/02-bundeslaender.html</w:t>
        </w:r>
      </w:hyperlink>
      <w:r w:rsidR="00C7226A">
        <w:t xml:space="preserve"> </w:t>
      </w:r>
    </w:p>
    <w:p w14:paraId="29F886D7" w14:textId="3400E998" w:rsidR="008228FA" w:rsidRDefault="008228FA" w:rsidP="008228FA">
      <w:pPr>
        <w:spacing w:after="140"/>
        <w:ind w:left="567" w:hanging="567"/>
      </w:pPr>
      <w:r>
        <w:t xml:space="preserve">Statistisches Bundesamt. (2025, December 11). By 2035, one quarter of Germany's population will be aged 67 or over [Press release No. 446]. </w:t>
      </w:r>
      <w:r>
        <w:t xml:space="preserve"> </w:t>
      </w:r>
      <w:r>
        <w:fldChar w:fldCharType="begin"/>
      </w:r>
      <w:r>
        <w:instrText>HYPERLINK "</w:instrText>
      </w:r>
      <w:r w:rsidRPr="008228FA">
        <w:instrText>https://www.destatis.de/EN/Press/2025/12/PE25_446_12.html</w:instrText>
      </w:r>
      <w:r>
        <w:instrText>"</w:instrText>
      </w:r>
      <w:r>
        <w:fldChar w:fldCharType="separate"/>
      </w:r>
      <w:r w:rsidRPr="00790979">
        <w:rPr>
          <w:rStyle w:val="Hyperlink"/>
        </w:rPr>
        <w:t>https://www.destatis.de/EN/Press/2025/12/PE25_446_12.html</w:t>
      </w:r>
      <w:r>
        <w:fldChar w:fldCharType="end"/>
      </w:r>
    </w:p>
    <w:p w14:paraId="2AF62C48" w14:textId="220E4A7B" w:rsidR="00304D3F" w:rsidRDefault="00000000" w:rsidP="008228FA">
      <w:pPr>
        <w:spacing w:after="140"/>
        <w:ind w:left="567" w:hanging="567"/>
      </w:pPr>
      <w:r>
        <w:t>Summers, J., &amp; Smith, B. (2014). Communication skills handbook (4th ed.). Wiley.</w:t>
      </w:r>
      <w:r w:rsidR="008228FA">
        <w:t xml:space="preserve"> </w:t>
      </w:r>
    </w:p>
    <w:p w14:paraId="410D9DFA" w14:textId="7D6B58B7" w:rsidR="00304D3F" w:rsidRDefault="00000000">
      <w:pPr>
        <w:spacing w:after="140"/>
        <w:ind w:left="567" w:hanging="567"/>
      </w:pPr>
      <w:r>
        <w:t xml:space="preserve">The R&amp;A. (2021). Women in Golf Charter: Impact studies. </w:t>
      </w:r>
      <w:hyperlink r:id="rId16" w:history="1">
        <w:r w:rsidR="00C7226A" w:rsidRPr="00790979">
          <w:rPr>
            <w:rStyle w:val="Hyperlink"/>
          </w:rPr>
          <w:t>https://assets.randa.org/c42c7bf4-dca7-00ea-4f2e-373223f80f76/f9b6c9b3-2d9a-4cb1-a7ed-c6379fd0f943/Women%20in%20Golf%20Case%20Study%20-%20Charter.pdf</w:t>
        </w:r>
      </w:hyperlink>
      <w:r w:rsidR="00C7226A">
        <w:t xml:space="preserve"> </w:t>
      </w:r>
    </w:p>
    <w:p w14:paraId="427245CE" w14:textId="18917C76" w:rsidR="00304D3F" w:rsidRDefault="00000000">
      <w:pPr>
        <w:spacing w:after="140"/>
        <w:ind w:left="567" w:hanging="567"/>
      </w:pPr>
      <w:r>
        <w:t xml:space="preserve">The R&amp;A. (2025). Global golf participation 2024. </w:t>
      </w:r>
      <w:hyperlink r:id="rId17" w:history="1">
        <w:r w:rsidR="00C7226A" w:rsidRPr="00790979">
          <w:rPr>
            <w:rStyle w:val="Hyperlink"/>
          </w:rPr>
          <w:t>https://assets.randa.org/c42c7bf4-dca7-00ea-4f2e-373223f80f76/53c40191-17dc-4a7b-8767-b9f582d6607c/The%20R%26A%20Global%20Golf%20Participation%202024.pdf</w:t>
        </w:r>
      </w:hyperlink>
      <w:r w:rsidR="00C7226A">
        <w:t xml:space="preserve"> </w:t>
      </w:r>
    </w:p>
    <w:sectPr w:rsidR="00304D3F">
      <w:footerReference w:type="default" r:id="rId18"/>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6B4B04" w14:textId="77777777" w:rsidR="00B65D20" w:rsidRDefault="00B65D20">
      <w:r>
        <w:separator/>
      </w:r>
    </w:p>
  </w:endnote>
  <w:endnote w:type="continuationSeparator" w:id="0">
    <w:p w14:paraId="03FCE9BD" w14:textId="77777777" w:rsidR="00B65D20" w:rsidRDefault="00B65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8DBAE" w14:textId="77777777" w:rsidR="00304D3F" w:rsidRDefault="00000000">
    <w:pPr>
      <w:jc w:val="center"/>
    </w:pPr>
    <w:r>
      <w:rPr>
        <w:color w:val="808080"/>
        <w:sz w:val="18"/>
        <w:szCs w:val="18"/>
      </w:rPr>
      <w:t xml:space="preserve">Adam Heier  |  ICT702 Task 2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EA6B69">
      <w:rPr>
        <w:noProof/>
        <w:color w:val="808080"/>
        <w:sz w:val="18"/>
        <w:szCs w:val="18"/>
      </w:rPr>
      <w:t>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A021D" w14:textId="77777777" w:rsidR="00304D3F" w:rsidRDefault="00000000">
    <w:pPr>
      <w:jc w:val="center"/>
    </w:pPr>
    <w:r>
      <w:rPr>
        <w:color w:val="808080"/>
        <w:sz w:val="18"/>
        <w:szCs w:val="18"/>
      </w:rPr>
      <w:t xml:space="preserve">Adam Heier  |  ICT702 Task 2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EA6B69">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6A436" w14:textId="0B0EFEF3" w:rsidR="00166CAB" w:rsidRDefault="00166CAB">
    <w:pPr>
      <w:jc w:val="center"/>
    </w:pPr>
    <w:r>
      <w:rPr>
        <w:color w:val="808080"/>
        <w:sz w:val="18"/>
        <w:szCs w:val="18"/>
      </w:rPr>
      <w:t>Adam Heier  |  ICT702 Task 2  |  Page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C7E165" w14:textId="77777777" w:rsidR="00B65D20" w:rsidRDefault="00B65D20">
      <w:r>
        <w:separator/>
      </w:r>
    </w:p>
  </w:footnote>
  <w:footnote w:type="continuationSeparator" w:id="0">
    <w:p w14:paraId="52F75CA4" w14:textId="77777777" w:rsidR="00B65D20" w:rsidRDefault="00B65D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B2CE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C422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056917"/>
    <w:multiLevelType w:val="multilevel"/>
    <w:tmpl w:val="2E84F8CC"/>
    <w:lvl w:ilvl="0">
      <w:start w:val="1"/>
      <w:numFmt w:val="decimal"/>
      <w:lvlText w:val="%1."/>
      <w:lvlJc w:val="left"/>
      <w:pPr>
        <w:ind w:left="360" w:hanging="360"/>
      </w:pPr>
      <w:rPr>
        <w:b/>
        <w:bCs/>
        <w:color w:val="1F3764"/>
      </w:rPr>
    </w:lvl>
    <w:lvl w:ilvl="1">
      <w:start w:val="1"/>
      <w:numFmt w:val="decimal"/>
      <w:lvlText w:val="%1.%2."/>
      <w:lvlJc w:val="left"/>
      <w:pPr>
        <w:ind w:left="715" w:hanging="432"/>
      </w:pPr>
      <w:rPr>
        <w:b/>
        <w:bCs/>
        <w:color w:val="2E5496"/>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605D8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A0C8C"/>
    <w:multiLevelType w:val="hybridMultilevel"/>
    <w:tmpl w:val="2B4444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F13D1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C9019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8A373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36294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CD52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E54D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397CC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42579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013B8B"/>
    <w:multiLevelType w:val="multilevel"/>
    <w:tmpl w:val="2E84F8CC"/>
    <w:lvl w:ilvl="0">
      <w:start w:val="1"/>
      <w:numFmt w:val="decimal"/>
      <w:lvlText w:val="%1."/>
      <w:lvlJc w:val="left"/>
      <w:pPr>
        <w:ind w:left="360" w:hanging="360"/>
      </w:pPr>
      <w:rPr>
        <w:b/>
        <w:bCs/>
        <w:color w:val="1F3764"/>
      </w:rPr>
    </w:lvl>
    <w:lvl w:ilvl="1">
      <w:start w:val="1"/>
      <w:numFmt w:val="decimal"/>
      <w:lvlText w:val="%1.%2."/>
      <w:lvlJc w:val="left"/>
      <w:pPr>
        <w:ind w:left="715" w:hanging="432"/>
      </w:pPr>
      <w:rPr>
        <w:b/>
        <w:bCs/>
        <w:color w:val="2E5496"/>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0E7A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BE42A9"/>
    <w:multiLevelType w:val="hybridMultilevel"/>
    <w:tmpl w:val="230CE0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EC7A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B1068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D403E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0E3A4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67772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457F65"/>
    <w:multiLevelType w:val="hybridMultilevel"/>
    <w:tmpl w:val="2776330C"/>
    <w:lvl w:ilvl="0" w:tplc="CF0C9B5E">
      <w:start w:val="1"/>
      <w:numFmt w:val="bullet"/>
      <w:lvlText w:val="●"/>
      <w:lvlJc w:val="left"/>
      <w:pPr>
        <w:ind w:left="720" w:hanging="360"/>
      </w:pPr>
    </w:lvl>
    <w:lvl w:ilvl="1" w:tplc="0EB6D5EC">
      <w:start w:val="1"/>
      <w:numFmt w:val="bullet"/>
      <w:lvlText w:val="○"/>
      <w:lvlJc w:val="left"/>
      <w:pPr>
        <w:ind w:left="1440" w:hanging="360"/>
      </w:pPr>
    </w:lvl>
    <w:lvl w:ilvl="2" w:tplc="40045824">
      <w:start w:val="1"/>
      <w:numFmt w:val="bullet"/>
      <w:lvlText w:val="■"/>
      <w:lvlJc w:val="left"/>
      <w:pPr>
        <w:ind w:left="2160" w:hanging="360"/>
      </w:pPr>
    </w:lvl>
    <w:lvl w:ilvl="3" w:tplc="D48A41FE">
      <w:start w:val="1"/>
      <w:numFmt w:val="bullet"/>
      <w:lvlText w:val="●"/>
      <w:lvlJc w:val="left"/>
      <w:pPr>
        <w:ind w:left="2880" w:hanging="360"/>
      </w:pPr>
    </w:lvl>
    <w:lvl w:ilvl="4" w:tplc="2020B7AA">
      <w:start w:val="1"/>
      <w:numFmt w:val="bullet"/>
      <w:lvlText w:val="○"/>
      <w:lvlJc w:val="left"/>
      <w:pPr>
        <w:ind w:left="3600" w:hanging="360"/>
      </w:pPr>
    </w:lvl>
    <w:lvl w:ilvl="5" w:tplc="969EC898">
      <w:start w:val="1"/>
      <w:numFmt w:val="bullet"/>
      <w:lvlText w:val="■"/>
      <w:lvlJc w:val="left"/>
      <w:pPr>
        <w:ind w:left="4320" w:hanging="360"/>
      </w:pPr>
    </w:lvl>
    <w:lvl w:ilvl="6" w:tplc="F3349E6A">
      <w:start w:val="1"/>
      <w:numFmt w:val="bullet"/>
      <w:lvlText w:val="●"/>
      <w:lvlJc w:val="left"/>
      <w:pPr>
        <w:ind w:left="5040" w:hanging="360"/>
      </w:pPr>
    </w:lvl>
    <w:lvl w:ilvl="7" w:tplc="E5E40B1A">
      <w:start w:val="1"/>
      <w:numFmt w:val="bullet"/>
      <w:lvlText w:val="●"/>
      <w:lvlJc w:val="left"/>
      <w:pPr>
        <w:ind w:left="5760" w:hanging="360"/>
      </w:pPr>
    </w:lvl>
    <w:lvl w:ilvl="8" w:tplc="65A4CFEC">
      <w:start w:val="1"/>
      <w:numFmt w:val="bullet"/>
      <w:lvlText w:val="●"/>
      <w:lvlJc w:val="left"/>
      <w:pPr>
        <w:ind w:left="6480" w:hanging="360"/>
      </w:pPr>
    </w:lvl>
  </w:abstractNum>
  <w:num w:numId="1" w16cid:durableId="357779719">
    <w:abstractNumId w:val="21"/>
    <w:lvlOverride w:ilvl="0">
      <w:startOverride w:val="1"/>
    </w:lvlOverride>
  </w:num>
  <w:num w:numId="2" w16cid:durableId="1422138066">
    <w:abstractNumId w:val="2"/>
  </w:num>
  <w:num w:numId="3" w16cid:durableId="1209992723">
    <w:abstractNumId w:val="10"/>
  </w:num>
  <w:num w:numId="4" w16cid:durableId="424303791">
    <w:abstractNumId w:val="17"/>
  </w:num>
  <w:num w:numId="5" w16cid:durableId="1789157910">
    <w:abstractNumId w:val="5"/>
  </w:num>
  <w:num w:numId="6" w16cid:durableId="1700429131">
    <w:abstractNumId w:val="0"/>
  </w:num>
  <w:num w:numId="7" w16cid:durableId="4404022">
    <w:abstractNumId w:val="11"/>
  </w:num>
  <w:num w:numId="8" w16cid:durableId="99572241">
    <w:abstractNumId w:val="20"/>
  </w:num>
  <w:num w:numId="9" w16cid:durableId="294681439">
    <w:abstractNumId w:val="7"/>
  </w:num>
  <w:num w:numId="10" w16cid:durableId="1765494102">
    <w:abstractNumId w:val="3"/>
  </w:num>
  <w:num w:numId="11" w16cid:durableId="1721977932">
    <w:abstractNumId w:val="9"/>
  </w:num>
  <w:num w:numId="12" w16cid:durableId="189074978">
    <w:abstractNumId w:val="15"/>
  </w:num>
  <w:num w:numId="13" w16cid:durableId="353921431">
    <w:abstractNumId w:val="4"/>
  </w:num>
  <w:num w:numId="14" w16cid:durableId="1396970887">
    <w:abstractNumId w:val="1"/>
  </w:num>
  <w:num w:numId="15" w16cid:durableId="1734163074">
    <w:abstractNumId w:val="12"/>
  </w:num>
  <w:num w:numId="16" w16cid:durableId="802771335">
    <w:abstractNumId w:val="19"/>
  </w:num>
  <w:num w:numId="17" w16cid:durableId="178323643">
    <w:abstractNumId w:val="8"/>
  </w:num>
  <w:num w:numId="18" w16cid:durableId="2095927525">
    <w:abstractNumId w:val="6"/>
  </w:num>
  <w:num w:numId="19" w16cid:durableId="2134666316">
    <w:abstractNumId w:val="16"/>
  </w:num>
  <w:num w:numId="20" w16cid:durableId="2013025331">
    <w:abstractNumId w:val="18"/>
  </w:num>
  <w:num w:numId="21" w16cid:durableId="806361909">
    <w:abstractNumId w:val="14"/>
  </w:num>
  <w:num w:numId="22" w16cid:durableId="19709216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3F"/>
    <w:rsid w:val="00166CAB"/>
    <w:rsid w:val="00235918"/>
    <w:rsid w:val="00304D3F"/>
    <w:rsid w:val="008228FA"/>
    <w:rsid w:val="008C04D9"/>
    <w:rsid w:val="009737D0"/>
    <w:rsid w:val="00B65D20"/>
    <w:rsid w:val="00C7226A"/>
    <w:rsid w:val="00EA6B6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AAB2335"/>
  <w15:docId w15:val="{FF36DDA5-3A8B-A24E-A431-0D1474B1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6B69"/>
    <w:pPr>
      <w:spacing w:after="100"/>
    </w:pPr>
  </w:style>
  <w:style w:type="paragraph" w:styleId="TOC2">
    <w:name w:val="toc 2"/>
    <w:basedOn w:val="Normal"/>
    <w:next w:val="Normal"/>
    <w:autoRedefine/>
    <w:uiPriority w:val="39"/>
    <w:unhideWhenUsed/>
    <w:rsid w:val="00EA6B69"/>
    <w:pPr>
      <w:spacing w:after="100"/>
      <w:ind w:left="220"/>
    </w:pPr>
  </w:style>
  <w:style w:type="character" w:styleId="UnresolvedMention">
    <w:name w:val="Unresolved Mention"/>
    <w:basedOn w:val="DefaultParagraphFont"/>
    <w:uiPriority w:val="99"/>
    <w:semiHidden/>
    <w:unhideWhenUsed/>
    <w:rsid w:val="00C7226A"/>
    <w:rPr>
      <w:color w:val="605E5C"/>
      <w:shd w:val="clear" w:color="auto" w:fill="E1DFDD"/>
    </w:rPr>
  </w:style>
  <w:style w:type="character" w:styleId="FollowedHyperlink">
    <w:name w:val="FollowedHyperlink"/>
    <w:basedOn w:val="DefaultParagraphFont"/>
    <w:uiPriority w:val="99"/>
    <w:semiHidden/>
    <w:unhideWhenUsed/>
    <w:rsid w:val="00C7226A"/>
    <w:rPr>
      <w:color w:val="96607D" w:themeColor="followedHyperlink"/>
      <w:u w:val="single"/>
    </w:rPr>
  </w:style>
  <w:style w:type="paragraph" w:styleId="Header">
    <w:name w:val="header"/>
    <w:basedOn w:val="Normal"/>
    <w:link w:val="HeaderChar"/>
    <w:uiPriority w:val="99"/>
    <w:unhideWhenUsed/>
    <w:rsid w:val="00166CAB"/>
    <w:pPr>
      <w:tabs>
        <w:tab w:val="center" w:pos="4513"/>
        <w:tab w:val="right" w:pos="9026"/>
      </w:tabs>
    </w:pPr>
  </w:style>
  <w:style w:type="character" w:customStyle="1" w:styleId="HeaderChar">
    <w:name w:val="Header Char"/>
    <w:basedOn w:val="DefaultParagraphFont"/>
    <w:link w:val="Header"/>
    <w:uiPriority w:val="99"/>
    <w:rsid w:val="00166CAB"/>
  </w:style>
  <w:style w:type="paragraph" w:styleId="Footer">
    <w:name w:val="footer"/>
    <w:basedOn w:val="Normal"/>
    <w:link w:val="FooterChar"/>
    <w:uiPriority w:val="99"/>
    <w:unhideWhenUsed/>
    <w:rsid w:val="00166CAB"/>
    <w:pPr>
      <w:tabs>
        <w:tab w:val="center" w:pos="4513"/>
        <w:tab w:val="right" w:pos="9026"/>
      </w:tabs>
    </w:pPr>
  </w:style>
  <w:style w:type="character" w:customStyle="1" w:styleId="FooterChar">
    <w:name w:val="Footer Char"/>
    <w:basedOn w:val="DefaultParagraphFont"/>
    <w:link w:val="Footer"/>
    <w:uiPriority w:val="99"/>
    <w:rsid w:val="00166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statista.com/statistik/studie/id/7269/dokument/golfmarkt-statista-dossier/"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2775/QS.2022.08.01.002" TargetMode="External"/><Relationship Id="rId17" Type="http://schemas.openxmlformats.org/officeDocument/2006/relationships/hyperlink" Target="https://assets.randa.org/c42c7bf4-dca7-00ea-4f2e-373223f80f76/53c40191-17dc-4a7b-8767-b9f582d6607c/The%20R%26A%20Global%20Golf%20Participation%202024.pdf" TargetMode="External"/><Relationship Id="rId2" Type="http://schemas.openxmlformats.org/officeDocument/2006/relationships/styles" Target="styles.xml"/><Relationship Id="rId16" Type="http://schemas.openxmlformats.org/officeDocument/2006/relationships/hyperlink" Target="https://assets.randa.org/c42c7bf4-dca7-00ea-4f2e-373223f80f76/f9b6c9b3-2d9a-4cb1-a7ed-c6379fd0f943/Women%20in%20Golf%20Case%20Study%20-%20Charter.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viceportal.dgv-intranet.de/files/pdf3/26-01-21-01-pm-golferzahlen.pdf" TargetMode="External"/><Relationship Id="rId5" Type="http://schemas.openxmlformats.org/officeDocument/2006/relationships/footnotes" Target="footnotes.xml"/><Relationship Id="rId15" Type="http://schemas.openxmlformats.org/officeDocument/2006/relationships/hyperlink" Target="https://www.destatis.de/DE/Themen/Laender-Regionen/Regionales/Gemeindeverzeichnis/Administrativ/02-bundeslaender.html" TargetMode="External"/><Relationship Id="rId10" Type="http://schemas.openxmlformats.org/officeDocument/2006/relationships/hyperlink" Target="https://serviceportal.dgv-intranet.de/marketing-betrieb/markt-daten/allgemeine-statistiken.cf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jfly.uni-koeln.de/co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ICT702 Task 2 — Growing Golf in Germany</vt:lpstr>
    </vt:vector>
  </TitlesOfParts>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ICT702 Task 2 — Growing Golf in Germany</dc:title>
  <dc:creator>Adam Heier</dc:creator>
  <cp:lastModifiedBy>Adam Heier</cp:lastModifiedBy>
  <cp:revision>2</cp:revision>
  <dcterms:created xsi:type="dcterms:W3CDTF">2026-09-25T14:54:00Z</dcterms:created>
  <dcterms:modified xsi:type="dcterms:W3CDTF">2026-09-25T15:54:00Z</dcterms:modified>
</cp:coreProperties>
</file>