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36"/>
          <w:szCs w:val="36"/>
        </w:rPr>
      </w:pPr>
      <w:r w:rsidDel="00000000" w:rsidR="00000000" w:rsidRPr="00000000">
        <w:rPr>
          <w:b w:val="1"/>
          <w:sz w:val="32"/>
          <w:szCs w:val="32"/>
        </w:rPr>
        <w:drawing>
          <wp:inline distB="0" distT="0" distL="0" distR="0">
            <wp:extent cx="5843937" cy="1739309"/>
            <wp:effectExtent b="0" l="0" r="0" t="0"/>
            <wp:docPr id="150347008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843937" cy="173930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b w:val="1"/>
          <w:sz w:val="36"/>
          <w:szCs w:val="36"/>
        </w:rPr>
      </w:pPr>
      <w:r w:rsidDel="00000000" w:rsidR="00000000" w:rsidRPr="00000000">
        <w:rPr>
          <w:b w:val="1"/>
          <w:sz w:val="36"/>
          <w:szCs w:val="36"/>
          <w:rtl w:val="0"/>
        </w:rPr>
        <w:t xml:space="preserve">Shapley Values: Unlocking Fair Attribution in Adtech</w:t>
      </w:r>
    </w:p>
    <w:p w:rsidR="00000000" w:rsidDel="00000000" w:rsidP="00000000" w:rsidRDefault="00000000" w:rsidRPr="00000000" w14:paraId="00000003">
      <w:pPr>
        <w:rPr/>
      </w:pPr>
      <w:r w:rsidDel="00000000" w:rsidR="00000000" w:rsidRPr="00000000">
        <w:rPr>
          <w:b w:val="1"/>
          <w:rtl w:val="0"/>
        </w:rPr>
        <w:t xml:space="preserve">Introduction</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In the fast-evolving world of adtech, accurately attributing value across data sources, models, and campaign strategies is a persistent challenge. As campaigns grow more sophisticated—incorporating seed data, audience analytics, and machine learning models—the question of </w:t>
      </w:r>
      <w:r w:rsidDel="00000000" w:rsidR="00000000" w:rsidRPr="00000000">
        <w:rPr>
          <w:i w:val="1"/>
          <w:rtl w:val="0"/>
        </w:rPr>
        <w:t xml:space="preserve">who</w:t>
      </w:r>
      <w:r w:rsidDel="00000000" w:rsidR="00000000" w:rsidRPr="00000000">
        <w:rPr>
          <w:rtl w:val="0"/>
        </w:rPr>
        <w:t xml:space="preserve"> or </w:t>
      </w:r>
      <w:r w:rsidDel="00000000" w:rsidR="00000000" w:rsidRPr="00000000">
        <w:rPr>
          <w:i w:val="1"/>
          <w:rtl w:val="0"/>
        </w:rPr>
        <w:t xml:space="preserve">what</w:t>
      </w:r>
      <w:r w:rsidDel="00000000" w:rsidR="00000000" w:rsidRPr="00000000">
        <w:rPr>
          <w:rtl w:val="0"/>
        </w:rPr>
        <w:t xml:space="preserve"> deserves credit for performance becomes both more complex and more important. Enter the Shapley value: a mathematically rigorous approach borrowed from cooperative game theory, now finding new relevance in advertising attribution and machine learning interpretability.</w:t>
      </w:r>
    </w:p>
    <w:p w:rsidR="00000000" w:rsidDel="00000000" w:rsidP="00000000" w:rsidRDefault="00000000" w:rsidRPr="00000000" w14:paraId="0000000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rPr/>
      </w:pPr>
      <w:r w:rsidDel="00000000" w:rsidR="00000000" w:rsidRPr="00000000">
        <w:rPr>
          <w:b w:val="1"/>
          <w:rtl w:val="0"/>
        </w:rPr>
        <w:t xml:space="preserve">What Are Shapley Values?</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Shapley values provide a principled way to distribute gains among a coalition of players, ensuring each participant receives a "fair" share of the total value generated by their cooperation. In the adtech context, these "players" might be data sources, audience segments, or predictive models, and the "gain" is typically campaign performance—often measured as revenue per ad spend.</w:t>
      </w:r>
    </w:p>
    <w:p w:rsidR="00000000" w:rsidDel="00000000" w:rsidP="00000000" w:rsidRDefault="00000000" w:rsidRPr="00000000" w14:paraId="00000008">
      <w:pPr>
        <w:rPr/>
      </w:pPr>
      <w:r w:rsidDel="00000000" w:rsidR="00000000" w:rsidRPr="00000000">
        <w:rPr>
          <w:rtl w:val="0"/>
        </w:rPr>
        <w:t xml:space="preserve">Formally, for a set N</w:t>
      </w:r>
      <w:r w:rsidDel="00000000" w:rsidR="00000000" w:rsidRPr="00000000">
        <w:rPr>
          <w:i w:val="1"/>
          <w:rtl w:val="0"/>
        </w:rPr>
        <w:t xml:space="preserve">N</w:t>
      </w:r>
      <w:r w:rsidDel="00000000" w:rsidR="00000000" w:rsidRPr="00000000">
        <w:rPr>
          <w:rtl w:val="0"/>
        </w:rPr>
        <w:t xml:space="preserve"> of n</w:t>
      </w:r>
      <w:r w:rsidDel="00000000" w:rsidR="00000000" w:rsidRPr="00000000">
        <w:rPr>
          <w:i w:val="1"/>
          <w:rtl w:val="0"/>
        </w:rPr>
        <w:t xml:space="preserve">n</w:t>
      </w:r>
      <w:r w:rsidDel="00000000" w:rsidR="00000000" w:rsidRPr="00000000">
        <w:rPr>
          <w:rtl w:val="0"/>
        </w:rPr>
        <w:t xml:space="preserve"> players and a characteristic function v</w:t>
      </w:r>
      <w:r w:rsidDel="00000000" w:rsidR="00000000" w:rsidRPr="00000000">
        <w:rPr>
          <w:i w:val="1"/>
          <w:rtl w:val="0"/>
        </w:rPr>
        <w:t xml:space="preserve">v</w:t>
      </w:r>
      <w:r w:rsidDel="00000000" w:rsidR="00000000" w:rsidRPr="00000000">
        <w:rPr>
          <w:rtl w:val="0"/>
        </w:rPr>
        <w:t xml:space="preserve"> mapping subsets of players to real numbers, the Shapley value for player i</w:t>
      </w:r>
      <w:r w:rsidDel="00000000" w:rsidR="00000000" w:rsidRPr="00000000">
        <w:rPr>
          <w:i w:val="1"/>
          <w:rtl w:val="0"/>
        </w:rPr>
        <w:t xml:space="preserve">i</w:t>
      </w:r>
      <w:r w:rsidDel="00000000" w:rsidR="00000000" w:rsidRPr="00000000">
        <w:rPr>
          <w:rtl w:val="0"/>
        </w:rPr>
        <w:t xml:space="preserve"> is:</w:t>
      </w:r>
    </w:p>
    <w:p w:rsidR="00000000" w:rsidDel="00000000" w:rsidP="00000000" w:rsidRDefault="00000000" w:rsidRPr="00000000" w14:paraId="00000009">
      <w:pPr>
        <w:rPr/>
      </w:pPr>
      <w:r w:rsidDel="00000000" w:rsidR="00000000" w:rsidRPr="00000000">
        <w:rPr>
          <w:rtl w:val="0"/>
        </w:rPr>
        <w:t xml:space="preserve">φi(v)=1n∑S</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N</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{i}(n</w:t>
      </w:r>
      <w:r w:rsidDel="00000000" w:rsidR="00000000" w:rsidRPr="00000000">
        <w:rPr>
          <w:rFonts w:ascii="Aptos" w:cs="Aptos" w:eastAsia="Aptos" w:hAnsi="Aptos"/>
          <w:rtl w:val="0"/>
        </w:rPr>
        <w:t xml:space="preserve">−</w:t>
      </w:r>
      <w:r w:rsidDel="00000000" w:rsidR="00000000" w:rsidRPr="00000000">
        <w:rPr>
          <w:rtl w:val="0"/>
        </w:rPr>
        <w:t xml:space="preserve">1</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S</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w:t>
      </w:r>
      <w:r w:rsidDel="00000000" w:rsidR="00000000" w:rsidRPr="00000000">
        <w:rPr>
          <w:rFonts w:ascii="Aptos" w:cs="Aptos" w:eastAsia="Aptos" w:hAnsi="Aptos"/>
          <w:rtl w:val="0"/>
        </w:rPr>
        <w:t xml:space="preserve">−</w:t>
      </w:r>
      <w:r w:rsidDel="00000000" w:rsidR="00000000" w:rsidRPr="00000000">
        <w:rPr>
          <w:rtl w:val="0"/>
        </w:rPr>
        <w:t xml:space="preserve">1(v(S</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{i})</w:t>
      </w:r>
      <w:r w:rsidDel="00000000" w:rsidR="00000000" w:rsidRPr="00000000">
        <w:rPr>
          <w:rFonts w:ascii="Aptos" w:cs="Aptos" w:eastAsia="Aptos" w:hAnsi="Aptos"/>
          <w:rtl w:val="0"/>
        </w:rPr>
        <w:t xml:space="preserve">−</w:t>
      </w:r>
      <w:r w:rsidDel="00000000" w:rsidR="00000000" w:rsidRPr="00000000">
        <w:rPr>
          <w:rtl w:val="0"/>
        </w:rPr>
        <w:t xml:space="preserve">v(S))</w:t>
      </w:r>
      <w:r w:rsidDel="00000000" w:rsidR="00000000" w:rsidRPr="00000000">
        <w:rPr>
          <w:i w:val="1"/>
          <w:rtl w:val="0"/>
        </w:rPr>
        <w:t xml:space="preserve">φi</w:t>
      </w:r>
      <w:r w:rsidDel="00000000" w:rsidR="00000000" w:rsidRPr="00000000">
        <w:rPr>
          <w:rtl w:val="0"/>
        </w:rPr>
        <w:t xml:space="preserve">(</w:t>
      </w:r>
      <w:r w:rsidDel="00000000" w:rsidR="00000000" w:rsidRPr="00000000">
        <w:rPr>
          <w:i w:val="1"/>
          <w:rtl w:val="0"/>
        </w:rPr>
        <w:t xml:space="preserve">v</w:t>
      </w:r>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1</w:t>
      </w:r>
      <w:r w:rsidDel="00000000" w:rsidR="00000000" w:rsidRPr="00000000">
        <w:rPr>
          <w:i w:val="1"/>
          <w:rtl w:val="0"/>
        </w:rPr>
        <w:t xml:space="preserve">S</w:t>
      </w:r>
      <w:r w:rsidDel="00000000" w:rsidR="00000000" w:rsidRPr="00000000">
        <w:rPr>
          <w:rFonts w:ascii="Cambria Math" w:cs="Cambria Math" w:eastAsia="Cambria Math" w:hAnsi="Cambria Math"/>
          <w:rtl w:val="0"/>
        </w:rPr>
        <w:t xml:space="preserve">⊆</w:t>
      </w:r>
      <w:r w:rsidDel="00000000" w:rsidR="00000000" w:rsidRPr="00000000">
        <w:rPr>
          <w:i w:val="1"/>
          <w:rtl w:val="0"/>
        </w:rPr>
        <w:t xml:space="preserve">N</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w:t>
      </w:r>
      <w:r w:rsidDel="00000000" w:rsidR="00000000" w:rsidRPr="00000000">
        <w:rPr>
          <w:i w:val="1"/>
          <w:rtl w:val="0"/>
        </w:rPr>
        <w:t xml:space="preserve">i</w:t>
      </w:r>
      <w:r w:rsidDel="00000000" w:rsidR="00000000" w:rsidRPr="00000000">
        <w:rPr>
          <w:rtl w:val="0"/>
        </w:rPr>
        <w:t xml:space="preserve">}∑(</w:t>
      </w:r>
      <w:r w:rsidDel="00000000" w:rsidR="00000000" w:rsidRPr="00000000">
        <w:rPr>
          <w:rFonts w:ascii="Cambria Math" w:cs="Cambria Math" w:eastAsia="Cambria Math" w:hAnsi="Cambria Math"/>
          <w:rtl w:val="0"/>
        </w:rPr>
        <w:t xml:space="preserve">∣</w:t>
      </w:r>
      <w:r w:rsidDel="00000000" w:rsidR="00000000" w:rsidRPr="00000000">
        <w:rPr>
          <w:i w:val="1"/>
          <w:rtl w:val="0"/>
        </w:rPr>
        <w:t xml:space="preserve">S</w:t>
      </w:r>
      <w:r w:rsidDel="00000000" w:rsidR="00000000" w:rsidRPr="00000000">
        <w:rPr>
          <w:rFonts w:ascii="Cambria Math" w:cs="Cambria Math" w:eastAsia="Cambria Math" w:hAnsi="Cambria Math"/>
          <w:rtl w:val="0"/>
        </w:rPr>
        <w:t xml:space="preserve">∣</w:t>
      </w:r>
      <w:r w:rsidDel="00000000" w:rsidR="00000000" w:rsidRPr="00000000">
        <w:rPr>
          <w:i w:val="1"/>
          <w:rtl w:val="0"/>
        </w:rPr>
        <w:t xml:space="preserve">n</w:t>
      </w:r>
      <w:r w:rsidDel="00000000" w:rsidR="00000000" w:rsidRPr="00000000">
        <w:rPr>
          <w:rtl w:val="0"/>
        </w:rPr>
        <w:t xml:space="preserve">−1)−1(</w:t>
      </w:r>
      <w:r w:rsidDel="00000000" w:rsidR="00000000" w:rsidRPr="00000000">
        <w:rPr>
          <w:i w:val="1"/>
          <w:rtl w:val="0"/>
        </w:rPr>
        <w:t xml:space="preserve">v</w:t>
      </w:r>
      <w:r w:rsidDel="00000000" w:rsidR="00000000" w:rsidRPr="00000000">
        <w:rPr>
          <w:rtl w:val="0"/>
        </w:rPr>
        <w:t xml:space="preserve">(</w:t>
      </w:r>
      <w:r w:rsidDel="00000000" w:rsidR="00000000" w:rsidRPr="00000000">
        <w:rPr>
          <w:i w:val="1"/>
          <w:rtl w:val="0"/>
        </w:rPr>
        <w:t xml:space="preserve">S</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w:t>
      </w:r>
      <w:r w:rsidDel="00000000" w:rsidR="00000000" w:rsidRPr="00000000">
        <w:rPr>
          <w:i w:val="1"/>
          <w:rtl w:val="0"/>
        </w:rPr>
        <w:t xml:space="preserve">i</w:t>
      </w:r>
      <w:r w:rsidDel="00000000" w:rsidR="00000000" w:rsidRPr="00000000">
        <w:rPr>
          <w:rtl w:val="0"/>
        </w:rPr>
        <w:t xml:space="preserve">})−</w:t>
      </w:r>
      <w:r w:rsidDel="00000000" w:rsidR="00000000" w:rsidRPr="00000000">
        <w:rPr>
          <w:i w:val="1"/>
          <w:rtl w:val="0"/>
        </w:rPr>
        <w:t xml:space="preserve">v</w:t>
      </w:r>
      <w:r w:rsidDel="00000000" w:rsidR="00000000" w:rsidRPr="00000000">
        <w:rPr>
          <w:rtl w:val="0"/>
        </w:rPr>
        <w:t xml:space="preserve">(</w:t>
      </w:r>
      <w:r w:rsidDel="00000000" w:rsidR="00000000" w:rsidRPr="00000000">
        <w:rPr>
          <w:i w:val="1"/>
          <w:rtl w:val="0"/>
        </w:rPr>
        <w:t xml:space="preserve">S</w:t>
      </w:r>
      <w:r w:rsidDel="00000000" w:rsidR="00000000" w:rsidRPr="00000000">
        <w:rPr>
          <w:rtl w:val="0"/>
        </w:rPr>
        <w:t xml:space="preserve">))</w:t>
      </w:r>
    </w:p>
    <w:p w:rsidR="00000000" w:rsidDel="00000000" w:rsidP="00000000" w:rsidRDefault="00000000" w:rsidRPr="00000000" w14:paraId="0000000A">
      <w:pPr>
        <w:rPr/>
      </w:pPr>
      <w:r w:rsidDel="00000000" w:rsidR="00000000" w:rsidRPr="00000000">
        <w:rPr>
          <w:rtl w:val="0"/>
        </w:rPr>
        <w:t xml:space="preserve">This formula sums the marginal contributions player i</w:t>
      </w:r>
      <w:r w:rsidDel="00000000" w:rsidR="00000000" w:rsidRPr="00000000">
        <w:rPr>
          <w:i w:val="1"/>
          <w:rtl w:val="0"/>
        </w:rPr>
        <w:t xml:space="preserve">i</w:t>
      </w:r>
      <w:r w:rsidDel="00000000" w:rsidR="00000000" w:rsidRPr="00000000">
        <w:rPr>
          <w:rtl w:val="0"/>
        </w:rPr>
        <w:t xml:space="preserve"> makes to every possible subset S</w:t>
      </w:r>
      <w:r w:rsidDel="00000000" w:rsidR="00000000" w:rsidRPr="00000000">
        <w:rPr>
          <w:i w:val="1"/>
          <w:rtl w:val="0"/>
        </w:rPr>
        <w:t xml:space="preserve">S</w:t>
      </w:r>
      <w:r w:rsidDel="00000000" w:rsidR="00000000" w:rsidRPr="00000000">
        <w:rPr>
          <w:rtl w:val="0"/>
        </w:rPr>
        <w:t xml:space="preserve"> of the coalition, normalizing to ensure fairness.</w:t>
      </w:r>
    </w:p>
    <w:p w:rsidR="00000000" w:rsidDel="00000000" w:rsidP="00000000" w:rsidRDefault="00000000" w:rsidRPr="00000000" w14:paraId="0000000B">
      <w:pPr>
        <w:rPr/>
      </w:pPr>
      <w:r w:rsidDel="00000000" w:rsidR="00000000" w:rsidRPr="00000000">
        <w:rPr/>
        <w:drawing>
          <wp:inline distB="0" distT="0" distL="0" distR="0">
            <wp:extent cx="5683883" cy="3321624"/>
            <wp:effectExtent b="0" l="0" r="0" t="0"/>
            <wp:docPr id="150347008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683883" cy="3321624"/>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rPr>
          <w:sz w:val="28"/>
          <w:szCs w:val="28"/>
          <w:u w:val="single"/>
        </w:rPr>
      </w:pPr>
      <w:r w:rsidDel="00000000" w:rsidR="00000000" w:rsidRPr="00000000">
        <w:rPr>
          <w:b w:val="1"/>
          <w:sz w:val="28"/>
          <w:szCs w:val="28"/>
          <w:u w:val="single"/>
          <w:rtl w:val="0"/>
        </w:rPr>
        <w:t xml:space="preserve">Why Shapley Values Matter in Adtech</w:t>
      </w:r>
      <w:r w:rsidDel="00000000" w:rsidR="00000000" w:rsidRPr="00000000">
        <w:rPr>
          <w:rtl w:val="0"/>
        </w:rPr>
      </w:r>
    </w:p>
    <w:p w:rsidR="00000000" w:rsidDel="00000000" w:rsidP="00000000" w:rsidRDefault="00000000" w:rsidRPr="00000000" w14:paraId="0000000E">
      <w:pPr>
        <w:rPr/>
      </w:pPr>
      <w:r w:rsidDel="00000000" w:rsidR="00000000" w:rsidRPr="00000000">
        <w:rPr>
          <w:b w:val="1"/>
          <w:rtl w:val="0"/>
        </w:rPr>
        <w:t xml:space="preserve">Fair Attribution Across Data and Models</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Consider a campaign using three key components:</w:t>
      </w:r>
    </w:p>
    <w:p w:rsidR="00000000" w:rsidDel="00000000" w:rsidP="00000000" w:rsidRDefault="00000000" w:rsidRPr="00000000" w14:paraId="00000010">
      <w:pPr>
        <w:numPr>
          <w:ilvl w:val="0"/>
          <w:numId w:val="2"/>
        </w:numPr>
        <w:ind w:left="720" w:hanging="360"/>
        <w:rPr/>
      </w:pPr>
      <w:r w:rsidDel="00000000" w:rsidR="00000000" w:rsidRPr="00000000">
        <w:rPr>
          <w:b w:val="1"/>
          <w:rtl w:val="0"/>
        </w:rPr>
        <w:t xml:space="preserve">Seed Data (S)</w:t>
      </w:r>
      <w:r w:rsidDel="00000000" w:rsidR="00000000" w:rsidRPr="00000000">
        <w:rPr>
          <w:rtl w:val="0"/>
        </w:rPr>
      </w:r>
    </w:p>
    <w:p w:rsidR="00000000" w:rsidDel="00000000" w:rsidP="00000000" w:rsidRDefault="00000000" w:rsidRPr="00000000" w14:paraId="00000011">
      <w:pPr>
        <w:numPr>
          <w:ilvl w:val="0"/>
          <w:numId w:val="2"/>
        </w:numPr>
        <w:ind w:left="720" w:hanging="360"/>
        <w:rPr/>
      </w:pPr>
      <w:r w:rsidDel="00000000" w:rsidR="00000000" w:rsidRPr="00000000">
        <w:rPr>
          <w:b w:val="1"/>
          <w:rtl w:val="0"/>
        </w:rPr>
        <w:t xml:space="preserve">3</w:t>
      </w:r>
      <w:r w:rsidDel="00000000" w:rsidR="00000000" w:rsidRPr="00000000">
        <w:rPr>
          <w:b w:val="1"/>
          <w:vertAlign w:val="superscript"/>
          <w:rtl w:val="0"/>
        </w:rPr>
        <w:t xml:space="preserve">rd</w:t>
      </w:r>
      <w:r w:rsidDel="00000000" w:rsidR="00000000" w:rsidRPr="00000000">
        <w:rPr>
          <w:b w:val="1"/>
          <w:rtl w:val="0"/>
        </w:rPr>
        <w:t xml:space="preserve"> Party Data Provider Data (A)</w:t>
      </w:r>
      <w:r w:rsidDel="00000000" w:rsidR="00000000" w:rsidRPr="00000000">
        <w:rPr>
          <w:rtl w:val="0"/>
        </w:rPr>
      </w:r>
    </w:p>
    <w:p w:rsidR="00000000" w:rsidDel="00000000" w:rsidP="00000000" w:rsidRDefault="00000000" w:rsidRPr="00000000" w14:paraId="00000012">
      <w:pPr>
        <w:numPr>
          <w:ilvl w:val="0"/>
          <w:numId w:val="2"/>
        </w:numPr>
        <w:ind w:left="720" w:hanging="360"/>
        <w:rPr/>
      </w:pPr>
      <w:r w:rsidDel="00000000" w:rsidR="00000000" w:rsidRPr="00000000">
        <w:rPr>
          <w:b w:val="1"/>
          <w:rtl w:val="0"/>
        </w:rPr>
        <w:t xml:space="preserve">Logistic Regression Model (LR)</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Each of these can contribute to different audience segments, but none can drive meaningful results alone. The challenge is to fairly distribute the campaign's total value (e.g., revenue/ad spend) among these contributors.</w:t>
      </w:r>
    </w:p>
    <w:p w:rsidR="00000000" w:rsidDel="00000000" w:rsidP="00000000" w:rsidRDefault="00000000" w:rsidRPr="00000000" w14:paraId="00000014">
      <w:pPr>
        <w:rPr/>
      </w:pPr>
      <w:r w:rsidDel="00000000" w:rsidR="00000000" w:rsidRPr="00000000">
        <w:rPr>
          <w:b w:val="1"/>
          <w:rtl w:val="0"/>
        </w:rPr>
        <w:t xml:space="preserve">Properties That Make Shapley Values Unique:</w:t>
      </w:r>
      <w:r w:rsidDel="00000000" w:rsidR="00000000" w:rsidRPr="00000000">
        <w:rPr>
          <w:rtl w:val="0"/>
        </w:rPr>
      </w:r>
    </w:p>
    <w:p w:rsidR="00000000" w:rsidDel="00000000" w:rsidP="00000000" w:rsidRDefault="00000000" w:rsidRPr="00000000" w14:paraId="00000015">
      <w:pPr>
        <w:numPr>
          <w:ilvl w:val="0"/>
          <w:numId w:val="3"/>
        </w:numPr>
        <w:ind w:left="720" w:hanging="360"/>
        <w:rPr/>
      </w:pPr>
      <w:r w:rsidDel="00000000" w:rsidR="00000000" w:rsidRPr="00000000">
        <w:rPr>
          <w:b w:val="1"/>
          <w:rtl w:val="0"/>
        </w:rPr>
        <w:t xml:space="preserve">Efficiency:</w:t>
      </w:r>
      <w:r w:rsidDel="00000000" w:rsidR="00000000" w:rsidRPr="00000000">
        <w:rPr>
          <w:rtl w:val="0"/>
        </w:rPr>
        <w:t xml:space="preserve"> The total value is fully distributed—no more, no less.</w:t>
      </w:r>
    </w:p>
    <w:p w:rsidR="00000000" w:rsidDel="00000000" w:rsidP="00000000" w:rsidRDefault="00000000" w:rsidRPr="00000000" w14:paraId="00000016">
      <w:pPr>
        <w:numPr>
          <w:ilvl w:val="0"/>
          <w:numId w:val="3"/>
        </w:numPr>
        <w:ind w:left="720" w:hanging="360"/>
        <w:rPr/>
      </w:pPr>
      <w:r w:rsidDel="00000000" w:rsidR="00000000" w:rsidRPr="00000000">
        <w:rPr>
          <w:b w:val="1"/>
          <w:rtl w:val="0"/>
        </w:rPr>
        <w:t xml:space="preserve">Symmetry:</w:t>
      </w:r>
      <w:r w:rsidDel="00000000" w:rsidR="00000000" w:rsidRPr="00000000">
        <w:rPr>
          <w:rtl w:val="0"/>
        </w:rPr>
        <w:t xml:space="preserve"> Equivalent contributors receive equal credit.</w:t>
      </w:r>
    </w:p>
    <w:p w:rsidR="00000000" w:rsidDel="00000000" w:rsidP="00000000" w:rsidRDefault="00000000" w:rsidRPr="00000000" w14:paraId="00000017">
      <w:pPr>
        <w:numPr>
          <w:ilvl w:val="0"/>
          <w:numId w:val="3"/>
        </w:numPr>
        <w:ind w:left="720" w:hanging="360"/>
        <w:rPr/>
      </w:pPr>
      <w:r w:rsidDel="00000000" w:rsidR="00000000" w:rsidRPr="00000000">
        <w:rPr>
          <w:b w:val="1"/>
          <w:rtl w:val="0"/>
        </w:rPr>
        <w:t xml:space="preserve">Linearity:</w:t>
      </w:r>
      <w:r w:rsidDel="00000000" w:rsidR="00000000" w:rsidRPr="00000000">
        <w:rPr>
          <w:rtl w:val="0"/>
        </w:rPr>
        <w:t xml:space="preserve"> Contributions add up logically across combined scenarios.</w:t>
      </w:r>
    </w:p>
    <w:p w:rsidR="00000000" w:rsidDel="00000000" w:rsidP="00000000" w:rsidRDefault="00000000" w:rsidRPr="00000000" w14:paraId="00000018">
      <w:pPr>
        <w:numPr>
          <w:ilvl w:val="0"/>
          <w:numId w:val="3"/>
        </w:numPr>
        <w:ind w:left="720" w:hanging="360"/>
        <w:rPr/>
      </w:pPr>
      <w:r w:rsidDel="00000000" w:rsidR="00000000" w:rsidRPr="00000000">
        <w:rPr>
          <w:b w:val="1"/>
          <w:rtl w:val="0"/>
        </w:rPr>
        <w:t xml:space="preserve">Null Player:</w:t>
      </w:r>
      <w:r w:rsidDel="00000000" w:rsidR="00000000" w:rsidRPr="00000000">
        <w:rPr>
          <w:rtl w:val="0"/>
        </w:rPr>
        <w:t xml:space="preserve"> Contributors that add no value receive none.</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0" distT="0" distL="0" distR="0">
            <wp:extent cx="5850957" cy="1735202"/>
            <wp:effectExtent b="0" l="0" r="0" t="0"/>
            <wp:docPr id="150347008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850957" cy="1735202"/>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rPr/>
      </w:pPr>
      <w:r w:rsidDel="00000000" w:rsidR="00000000" w:rsidRPr="00000000">
        <w:rPr>
          <w:b w:val="1"/>
          <w:rtl w:val="0"/>
        </w:rPr>
        <w:t xml:space="preserve">Applying Shapley Values to Campaign Attribution</w:t>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Let's see how this works in practice with three audience segments:</w:t>
      </w:r>
    </w:p>
    <w:tbl>
      <w:tblPr>
        <w:tblStyle w:val="Table1"/>
        <w:tblW w:w="85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27"/>
        <w:gridCol w:w="3058"/>
        <w:gridCol w:w="3060"/>
        <w:tblGridChange w:id="0">
          <w:tblGrid>
            <w:gridCol w:w="2427"/>
            <w:gridCol w:w="3058"/>
            <w:gridCol w:w="3060"/>
          </w:tblGrid>
        </w:tblGridChange>
      </w:tblGrid>
      <w:tr>
        <w:trPr>
          <w:cantSplit w:val="0"/>
          <w:tblHeader w:val="1"/>
        </w:trPr>
        <w:tc>
          <w:tcPr>
            <w:tcMar>
              <w:top w:w="120.0" w:type="dxa"/>
              <w:left w:w="120.0" w:type="dxa"/>
              <w:bottom w:w="120.0" w:type="dxa"/>
              <w:right w:w="120.0" w:type="dxa"/>
            </w:tcMar>
          </w:tcPr>
          <w:p w:rsidR="00000000" w:rsidDel="00000000" w:rsidP="00000000" w:rsidRDefault="00000000" w:rsidRPr="00000000" w14:paraId="0000001E">
            <w:pPr>
              <w:rPr>
                <w:b w:val="1"/>
              </w:rPr>
            </w:pPr>
            <w:r w:rsidDel="00000000" w:rsidR="00000000" w:rsidRPr="00000000">
              <w:rPr>
                <w:b w:val="1"/>
                <w:rtl w:val="0"/>
              </w:rPr>
              <w:t xml:space="preserve">Segment ID</w:t>
            </w:r>
          </w:p>
        </w:tc>
        <w:tc>
          <w:tcPr>
            <w:tcMar>
              <w:top w:w="120.0" w:type="dxa"/>
              <w:left w:w="120.0" w:type="dxa"/>
              <w:bottom w:w="120.0" w:type="dxa"/>
              <w:right w:w="120.0" w:type="dxa"/>
            </w:tcMar>
          </w:tcPr>
          <w:p w:rsidR="00000000" w:rsidDel="00000000" w:rsidP="00000000" w:rsidRDefault="00000000" w:rsidRPr="00000000" w14:paraId="0000001F">
            <w:pPr>
              <w:rPr>
                <w:b w:val="1"/>
              </w:rPr>
            </w:pPr>
            <w:r w:rsidDel="00000000" w:rsidR="00000000" w:rsidRPr="00000000">
              <w:rPr>
                <w:b w:val="1"/>
                <w:rtl w:val="0"/>
              </w:rPr>
              <w:t xml:space="preserve">Description</w:t>
            </w:r>
          </w:p>
        </w:tc>
        <w:tc>
          <w:tcPr>
            <w:tcMar>
              <w:top w:w="120.0" w:type="dxa"/>
              <w:left w:w="120.0" w:type="dxa"/>
              <w:bottom w:w="120.0" w:type="dxa"/>
              <w:right w:w="120.0" w:type="dxa"/>
            </w:tcMar>
          </w:tcPr>
          <w:p w:rsidR="00000000" w:rsidDel="00000000" w:rsidP="00000000" w:rsidRDefault="00000000" w:rsidRPr="00000000" w14:paraId="00000020">
            <w:pPr>
              <w:rPr>
                <w:b w:val="1"/>
              </w:rPr>
            </w:pPr>
            <w:r w:rsidDel="00000000" w:rsidR="00000000" w:rsidRPr="00000000">
              <w:rPr>
                <w:b w:val="1"/>
                <w:rtl w:val="0"/>
              </w:rPr>
              <w:t xml:space="preserve">Sources Used</w:t>
            </w:r>
          </w:p>
        </w:tc>
      </w:tr>
      <w:tr>
        <w:trPr>
          <w:cantSplit w:val="0"/>
          <w:tblHeader w:val="0"/>
        </w:trPr>
        <w:tc>
          <w:tcPr>
            <w:tcMar>
              <w:top w:w="137.0" w:type="dxa"/>
              <w:left w:w="120.0" w:type="dxa"/>
              <w:bottom w:w="137.0" w:type="dxa"/>
              <w:right w:w="120.0" w:type="dxa"/>
            </w:tcMar>
            <w:vAlign w:val="bottom"/>
          </w:tcPr>
          <w:p w:rsidR="00000000" w:rsidDel="00000000" w:rsidP="00000000" w:rsidRDefault="00000000" w:rsidRPr="00000000" w14:paraId="00000021">
            <w:pPr>
              <w:rPr/>
            </w:pPr>
            <w:r w:rsidDel="00000000" w:rsidR="00000000" w:rsidRPr="00000000">
              <w:rPr>
                <w:rtl w:val="0"/>
              </w:rPr>
              <w:t xml:space="preserve">PR-BRAND-001</w:t>
            </w:r>
          </w:p>
        </w:tc>
        <w:tc>
          <w:tcPr>
            <w:tcMar>
              <w:top w:w="137.0" w:type="dxa"/>
              <w:left w:w="120.0" w:type="dxa"/>
              <w:bottom w:w="137.0" w:type="dxa"/>
              <w:right w:w="120.0" w:type="dxa"/>
            </w:tcMar>
            <w:vAlign w:val="bottom"/>
          </w:tcPr>
          <w:p w:rsidR="00000000" w:rsidDel="00000000" w:rsidP="00000000" w:rsidRDefault="00000000" w:rsidRPr="00000000" w14:paraId="00000022">
            <w:pPr>
              <w:rPr/>
            </w:pPr>
            <w:r w:rsidDel="00000000" w:rsidR="00000000" w:rsidRPr="00000000">
              <w:rPr>
                <w:rtl w:val="0"/>
              </w:rPr>
              <w:t xml:space="preserve">Lookalike segment</w:t>
            </w:r>
          </w:p>
        </w:tc>
        <w:tc>
          <w:tcPr>
            <w:tcMar>
              <w:top w:w="137.0" w:type="dxa"/>
              <w:left w:w="120.0" w:type="dxa"/>
              <w:bottom w:w="137.0" w:type="dxa"/>
              <w:right w:w="120.0" w:type="dxa"/>
            </w:tcMar>
            <w:vAlign w:val="bottom"/>
          </w:tcPr>
          <w:p w:rsidR="00000000" w:rsidDel="00000000" w:rsidP="00000000" w:rsidRDefault="00000000" w:rsidRPr="00000000" w14:paraId="00000023">
            <w:pPr>
              <w:rPr/>
            </w:pPr>
            <w:r w:rsidDel="00000000" w:rsidR="00000000" w:rsidRPr="00000000">
              <w:rPr>
                <w:rtl w:val="0"/>
              </w:rPr>
              <w:t xml:space="preserve">S + A + LR</w:t>
            </w:r>
          </w:p>
        </w:tc>
      </w:tr>
      <w:tr>
        <w:trPr>
          <w:cantSplit w:val="0"/>
          <w:trHeight w:val="438" w:hRule="atLeast"/>
          <w:tblHeader w:val="0"/>
        </w:trPr>
        <w:tc>
          <w:tcPr>
            <w:tcMar>
              <w:top w:w="137.0" w:type="dxa"/>
              <w:left w:w="120.0" w:type="dxa"/>
              <w:bottom w:w="137.0" w:type="dxa"/>
              <w:right w:w="120.0" w:type="dxa"/>
            </w:tcMar>
            <w:vAlign w:val="bottom"/>
          </w:tcPr>
          <w:p w:rsidR="00000000" w:rsidDel="00000000" w:rsidP="00000000" w:rsidRDefault="00000000" w:rsidRPr="00000000" w14:paraId="00000024">
            <w:pPr>
              <w:rPr/>
            </w:pPr>
            <w:r w:rsidDel="00000000" w:rsidR="00000000" w:rsidRPr="00000000">
              <w:rPr>
                <w:rtl w:val="0"/>
              </w:rPr>
              <w:t xml:space="preserve">PR-BRAND-002</w:t>
            </w:r>
          </w:p>
        </w:tc>
        <w:tc>
          <w:tcPr>
            <w:tcMar>
              <w:top w:w="137.0" w:type="dxa"/>
              <w:left w:w="120.0" w:type="dxa"/>
              <w:bottom w:w="137.0" w:type="dxa"/>
              <w:right w:w="120.0" w:type="dxa"/>
            </w:tcMar>
            <w:vAlign w:val="bottom"/>
          </w:tcPr>
          <w:p w:rsidR="00000000" w:rsidDel="00000000" w:rsidP="00000000" w:rsidRDefault="00000000" w:rsidRPr="00000000" w14:paraId="00000025">
            <w:pPr>
              <w:rPr/>
            </w:pPr>
            <w:r w:rsidDel="00000000" w:rsidR="00000000" w:rsidRPr="00000000">
              <w:rPr>
                <w:rtl w:val="0"/>
              </w:rPr>
              <w:t xml:space="preserve">Lookalike/historic</w:t>
            </w:r>
          </w:p>
        </w:tc>
        <w:tc>
          <w:tcPr>
            <w:tcMar>
              <w:top w:w="137.0" w:type="dxa"/>
              <w:left w:w="120.0" w:type="dxa"/>
              <w:bottom w:w="137.0" w:type="dxa"/>
              <w:right w:w="120.0" w:type="dxa"/>
            </w:tcMar>
            <w:vAlign w:val="bottom"/>
          </w:tcPr>
          <w:p w:rsidR="00000000" w:rsidDel="00000000" w:rsidP="00000000" w:rsidRDefault="00000000" w:rsidRPr="00000000" w14:paraId="00000026">
            <w:pPr>
              <w:rPr/>
            </w:pPr>
            <w:r w:rsidDel="00000000" w:rsidR="00000000" w:rsidRPr="00000000">
              <w:rPr>
                <w:rtl w:val="0"/>
              </w:rPr>
              <w:t xml:space="preserve">S + A, S + A + LR</w:t>
            </w:r>
          </w:p>
        </w:tc>
      </w:tr>
      <w:tr>
        <w:trPr>
          <w:cantSplit w:val="0"/>
          <w:trHeight w:val="285" w:hRule="atLeast"/>
          <w:tblHeader w:val="0"/>
        </w:trPr>
        <w:tc>
          <w:tcPr>
            <w:tcMar>
              <w:top w:w="137.0" w:type="dxa"/>
              <w:left w:w="120.0" w:type="dxa"/>
              <w:bottom w:w="137.0" w:type="dxa"/>
              <w:right w:w="120.0" w:type="dxa"/>
            </w:tcMar>
            <w:vAlign w:val="bottom"/>
          </w:tcPr>
          <w:p w:rsidR="00000000" w:rsidDel="00000000" w:rsidP="00000000" w:rsidRDefault="00000000" w:rsidRPr="00000000" w14:paraId="00000027">
            <w:pPr>
              <w:rPr/>
            </w:pPr>
            <w:r w:rsidDel="00000000" w:rsidR="00000000" w:rsidRPr="00000000">
              <w:rPr>
                <w:rtl w:val="0"/>
              </w:rPr>
              <w:t xml:space="preserve">PR-BRAND-003</w:t>
            </w:r>
          </w:p>
        </w:tc>
        <w:tc>
          <w:tcPr>
            <w:tcMar>
              <w:top w:w="137.0" w:type="dxa"/>
              <w:left w:w="120.0" w:type="dxa"/>
              <w:bottom w:w="137.0" w:type="dxa"/>
              <w:right w:w="120.0" w:type="dxa"/>
            </w:tcMar>
            <w:vAlign w:val="bottom"/>
          </w:tcPr>
          <w:p w:rsidR="00000000" w:rsidDel="00000000" w:rsidP="00000000" w:rsidRDefault="00000000" w:rsidRPr="00000000" w14:paraId="00000028">
            <w:pPr>
              <w:rPr/>
            </w:pPr>
            <w:r w:rsidDel="00000000" w:rsidR="00000000" w:rsidRPr="00000000">
              <w:rPr>
                <w:rtl w:val="0"/>
              </w:rPr>
              <w:t xml:space="preserve">Historic SGT buyers</w:t>
            </w:r>
          </w:p>
        </w:tc>
        <w:tc>
          <w:tcPr>
            <w:tcMar>
              <w:top w:w="137.0" w:type="dxa"/>
              <w:left w:w="120.0" w:type="dxa"/>
              <w:bottom w:w="137.0" w:type="dxa"/>
              <w:right w:w="120.0" w:type="dxa"/>
            </w:tcMar>
            <w:vAlign w:val="bottom"/>
          </w:tcPr>
          <w:p w:rsidR="00000000" w:rsidDel="00000000" w:rsidP="00000000" w:rsidRDefault="00000000" w:rsidRPr="00000000" w14:paraId="00000029">
            <w:pPr>
              <w:rPr/>
            </w:pPr>
            <w:r w:rsidDel="00000000" w:rsidR="00000000" w:rsidRPr="00000000">
              <w:rPr>
                <w:rtl w:val="0"/>
              </w:rPr>
              <w:t xml:space="preserve">S + A</w:t>
            </w:r>
          </w:p>
        </w:tc>
      </w:tr>
    </w:tbl>
    <w:p w:rsidR="00000000" w:rsidDel="00000000" w:rsidP="00000000" w:rsidRDefault="00000000" w:rsidRPr="00000000" w14:paraId="0000002A">
      <w:pPr>
        <w:rPr/>
      </w:pPr>
      <w:r w:rsidDel="00000000" w:rsidR="00000000" w:rsidRPr="00000000">
        <w:rPr>
          <w:rtl w:val="0"/>
        </w:rPr>
        <w:t xml:space="preserve">The value for each subset (e.g., S+A, S+A+LR) is calculated as total revenue divided by total ad spend across relevant segments.</w:t>
      </w:r>
    </w:p>
    <w:p w:rsidR="00000000" w:rsidDel="00000000" w:rsidP="00000000" w:rsidRDefault="00000000" w:rsidRPr="00000000" w14:paraId="0000002B">
      <w:pPr>
        <w:numPr>
          <w:ilvl w:val="0"/>
          <w:numId w:val="4"/>
        </w:numPr>
        <w:ind w:left="720" w:hanging="360"/>
        <w:rPr/>
      </w:pPr>
      <w:r w:rsidDel="00000000" w:rsidR="00000000" w:rsidRPr="00000000">
        <w:rPr>
          <w:rtl w:val="0"/>
        </w:rPr>
        <w:t xml:space="preserve">V(S+A)=Rev003+Rev002Spend003+Spend002</w:t>
      </w:r>
      <w:r w:rsidDel="00000000" w:rsidR="00000000" w:rsidRPr="00000000">
        <w:rPr>
          <w:i w:val="1"/>
          <w:rtl w:val="0"/>
        </w:rPr>
        <w:t xml:space="preserve">V</w:t>
      </w:r>
      <w:r w:rsidDel="00000000" w:rsidR="00000000" w:rsidRPr="00000000">
        <w:rPr>
          <w:rtl w:val="0"/>
        </w:rPr>
        <w:t xml:space="preserve">(</w:t>
      </w:r>
      <w:r w:rsidDel="00000000" w:rsidR="00000000" w:rsidRPr="00000000">
        <w:rPr>
          <w:i w:val="1"/>
          <w:rtl w:val="0"/>
        </w:rPr>
        <w:t xml:space="preserve">S</w:t>
      </w:r>
      <w:r w:rsidDel="00000000" w:rsidR="00000000" w:rsidRPr="00000000">
        <w:rPr>
          <w:rtl w:val="0"/>
        </w:rPr>
        <w:t xml:space="preserve">+</w:t>
      </w:r>
      <w:r w:rsidDel="00000000" w:rsidR="00000000" w:rsidRPr="00000000">
        <w:rPr>
          <w:i w:val="1"/>
          <w:rtl w:val="0"/>
        </w:rPr>
        <w:t xml:space="preserve">A</w:t>
      </w:r>
      <w:r w:rsidDel="00000000" w:rsidR="00000000" w:rsidRPr="00000000">
        <w:rPr>
          <w:rtl w:val="0"/>
        </w:rPr>
        <w:t xml:space="preserve">)=</w:t>
      </w:r>
      <w:r w:rsidDel="00000000" w:rsidR="00000000" w:rsidRPr="00000000">
        <w:rPr>
          <w:i w:val="1"/>
          <w:rtl w:val="0"/>
        </w:rPr>
        <w:t xml:space="preserve">Spend</w:t>
      </w:r>
      <w:r w:rsidDel="00000000" w:rsidR="00000000" w:rsidRPr="00000000">
        <w:rPr>
          <w:rtl w:val="0"/>
        </w:rPr>
        <w:t xml:space="preserve">003+</w:t>
      </w:r>
      <w:r w:rsidDel="00000000" w:rsidR="00000000" w:rsidRPr="00000000">
        <w:rPr>
          <w:i w:val="1"/>
          <w:rtl w:val="0"/>
        </w:rPr>
        <w:t xml:space="preserve">Spend</w:t>
      </w:r>
      <w:r w:rsidDel="00000000" w:rsidR="00000000" w:rsidRPr="00000000">
        <w:rPr>
          <w:rtl w:val="0"/>
        </w:rPr>
        <w:t xml:space="preserve">002</w:t>
      </w:r>
      <w:r w:rsidDel="00000000" w:rsidR="00000000" w:rsidRPr="00000000">
        <w:rPr>
          <w:i w:val="1"/>
          <w:rtl w:val="0"/>
        </w:rPr>
        <w:t xml:space="preserve">Rev</w:t>
      </w:r>
      <w:r w:rsidDel="00000000" w:rsidR="00000000" w:rsidRPr="00000000">
        <w:rPr>
          <w:rtl w:val="0"/>
        </w:rPr>
        <w:t xml:space="preserve">003+</w:t>
      </w:r>
      <w:r w:rsidDel="00000000" w:rsidR="00000000" w:rsidRPr="00000000">
        <w:rPr>
          <w:i w:val="1"/>
          <w:rtl w:val="0"/>
        </w:rPr>
        <w:t xml:space="preserve">Rev</w:t>
      </w:r>
      <w:r w:rsidDel="00000000" w:rsidR="00000000" w:rsidRPr="00000000">
        <w:rPr>
          <w:rtl w:val="0"/>
        </w:rPr>
        <w:t xml:space="preserve">002</w:t>
      </w:r>
    </w:p>
    <w:p w:rsidR="00000000" w:rsidDel="00000000" w:rsidP="00000000" w:rsidRDefault="00000000" w:rsidRPr="00000000" w14:paraId="0000002C">
      <w:pPr>
        <w:numPr>
          <w:ilvl w:val="0"/>
          <w:numId w:val="4"/>
        </w:numPr>
        <w:ind w:left="720" w:hanging="360"/>
        <w:rPr/>
      </w:pPr>
      <w:r w:rsidDel="00000000" w:rsidR="00000000" w:rsidRPr="00000000">
        <w:rPr>
          <w:rtl w:val="0"/>
        </w:rPr>
        <w:t xml:space="preserve">V(S+A+LR)=Rev003+Rev002+Rev001Spend003+Spend002+Spend001</w:t>
      </w:r>
      <w:r w:rsidDel="00000000" w:rsidR="00000000" w:rsidRPr="00000000">
        <w:rPr>
          <w:i w:val="1"/>
          <w:rtl w:val="0"/>
        </w:rPr>
        <w:t xml:space="preserve">V</w:t>
      </w:r>
      <w:r w:rsidDel="00000000" w:rsidR="00000000" w:rsidRPr="00000000">
        <w:rPr>
          <w:rtl w:val="0"/>
        </w:rPr>
        <w:t xml:space="preserve">(</w:t>
      </w:r>
      <w:r w:rsidDel="00000000" w:rsidR="00000000" w:rsidRPr="00000000">
        <w:rPr>
          <w:i w:val="1"/>
          <w:rtl w:val="0"/>
        </w:rPr>
        <w:t xml:space="preserve">S</w:t>
      </w:r>
      <w:r w:rsidDel="00000000" w:rsidR="00000000" w:rsidRPr="00000000">
        <w:rPr>
          <w:rtl w:val="0"/>
        </w:rPr>
        <w:t xml:space="preserve">+</w:t>
      </w:r>
      <w:r w:rsidDel="00000000" w:rsidR="00000000" w:rsidRPr="00000000">
        <w:rPr>
          <w:i w:val="1"/>
          <w:rtl w:val="0"/>
        </w:rPr>
        <w:t xml:space="preserve">A</w:t>
      </w:r>
      <w:r w:rsidDel="00000000" w:rsidR="00000000" w:rsidRPr="00000000">
        <w:rPr>
          <w:rtl w:val="0"/>
        </w:rPr>
        <w:t xml:space="preserve">+</w:t>
      </w:r>
      <w:r w:rsidDel="00000000" w:rsidR="00000000" w:rsidRPr="00000000">
        <w:rPr>
          <w:i w:val="1"/>
          <w:rtl w:val="0"/>
        </w:rPr>
        <w:t xml:space="preserve">LR</w:t>
      </w:r>
      <w:r w:rsidDel="00000000" w:rsidR="00000000" w:rsidRPr="00000000">
        <w:rPr>
          <w:rtl w:val="0"/>
        </w:rPr>
        <w:t xml:space="preserve">)=</w:t>
      </w:r>
      <w:r w:rsidDel="00000000" w:rsidR="00000000" w:rsidRPr="00000000">
        <w:rPr>
          <w:i w:val="1"/>
          <w:rtl w:val="0"/>
        </w:rPr>
        <w:t xml:space="preserve">Spend</w:t>
      </w:r>
      <w:r w:rsidDel="00000000" w:rsidR="00000000" w:rsidRPr="00000000">
        <w:rPr>
          <w:rtl w:val="0"/>
        </w:rPr>
        <w:t xml:space="preserve">003+</w:t>
      </w:r>
      <w:r w:rsidDel="00000000" w:rsidR="00000000" w:rsidRPr="00000000">
        <w:rPr>
          <w:i w:val="1"/>
          <w:rtl w:val="0"/>
        </w:rPr>
        <w:t xml:space="preserve">Spend</w:t>
      </w:r>
      <w:r w:rsidDel="00000000" w:rsidR="00000000" w:rsidRPr="00000000">
        <w:rPr>
          <w:rtl w:val="0"/>
        </w:rPr>
        <w:t xml:space="preserve">002+</w:t>
      </w:r>
      <w:r w:rsidDel="00000000" w:rsidR="00000000" w:rsidRPr="00000000">
        <w:rPr>
          <w:i w:val="1"/>
          <w:rtl w:val="0"/>
        </w:rPr>
        <w:t xml:space="preserve">Spend</w:t>
      </w:r>
      <w:r w:rsidDel="00000000" w:rsidR="00000000" w:rsidRPr="00000000">
        <w:rPr>
          <w:rtl w:val="0"/>
        </w:rPr>
        <w:t xml:space="preserve">001</w:t>
      </w:r>
      <w:r w:rsidDel="00000000" w:rsidR="00000000" w:rsidRPr="00000000">
        <w:rPr>
          <w:i w:val="1"/>
          <w:rtl w:val="0"/>
        </w:rPr>
        <w:t xml:space="preserve">Rev</w:t>
      </w:r>
      <w:r w:rsidDel="00000000" w:rsidR="00000000" w:rsidRPr="00000000">
        <w:rPr>
          <w:rtl w:val="0"/>
        </w:rPr>
        <w:t xml:space="preserve">003+</w:t>
      </w:r>
      <w:r w:rsidDel="00000000" w:rsidR="00000000" w:rsidRPr="00000000">
        <w:rPr>
          <w:i w:val="1"/>
          <w:rtl w:val="0"/>
        </w:rPr>
        <w:t xml:space="preserve">Rev</w:t>
      </w:r>
      <w:r w:rsidDel="00000000" w:rsidR="00000000" w:rsidRPr="00000000">
        <w:rPr>
          <w:rtl w:val="0"/>
        </w:rPr>
        <w:t xml:space="preserve">002+</w:t>
      </w:r>
      <w:r w:rsidDel="00000000" w:rsidR="00000000" w:rsidRPr="00000000">
        <w:rPr>
          <w:i w:val="1"/>
          <w:rtl w:val="0"/>
        </w:rPr>
        <w:t xml:space="preserve">Rev</w:t>
      </w:r>
      <w:r w:rsidDel="00000000" w:rsidR="00000000" w:rsidRPr="00000000">
        <w:rPr>
          <w:rtl w:val="0"/>
        </w:rPr>
        <w:t xml:space="preserve">0011</w:t>
      </w:r>
    </w:p>
    <w:p w:rsidR="00000000" w:rsidDel="00000000" w:rsidP="00000000" w:rsidRDefault="00000000" w:rsidRPr="00000000" w14:paraId="0000002D">
      <w:pPr>
        <w:rPr/>
      </w:pPr>
      <w:r w:rsidDel="00000000" w:rsidR="00000000" w:rsidRPr="00000000">
        <w:rPr>
          <w:b w:val="1"/>
          <w:rtl w:val="0"/>
        </w:rPr>
        <w:t xml:space="preserve">Shapley Value Calculations:</w:t>
      </w:r>
      <w:r w:rsidDel="00000000" w:rsidR="00000000" w:rsidRPr="00000000">
        <w:rPr>
          <w:rtl w:val="0"/>
        </w:rPr>
      </w:r>
    </w:p>
    <w:p w:rsidR="00000000" w:rsidDel="00000000" w:rsidP="00000000" w:rsidRDefault="00000000" w:rsidRPr="00000000" w14:paraId="0000002E">
      <w:pPr>
        <w:numPr>
          <w:ilvl w:val="0"/>
          <w:numId w:val="5"/>
        </w:numPr>
        <w:ind w:left="720" w:hanging="360"/>
        <w:rPr/>
      </w:pPr>
      <w:r w:rsidDel="00000000" w:rsidR="00000000" w:rsidRPr="00000000">
        <w:rPr>
          <w:b w:val="1"/>
          <w:rtl w:val="0"/>
        </w:rPr>
        <w:t xml:space="preserve">For LR:</w:t>
      </w:r>
      <w:r w:rsidDel="00000000" w:rsidR="00000000" w:rsidRPr="00000000">
        <w:rPr>
          <w:rtl w:val="0"/>
        </w:rPr>
        <w:t xml:space="preserve"> 13(V(S+A+LR)−V(S+A))31(</w:t>
      </w:r>
      <w:r w:rsidDel="00000000" w:rsidR="00000000" w:rsidRPr="00000000">
        <w:rPr>
          <w:i w:val="1"/>
          <w:rtl w:val="0"/>
        </w:rPr>
        <w:t xml:space="preserve">V</w:t>
      </w:r>
      <w:r w:rsidDel="00000000" w:rsidR="00000000" w:rsidRPr="00000000">
        <w:rPr>
          <w:rtl w:val="0"/>
        </w:rPr>
        <w:t xml:space="preserve">(</w:t>
      </w:r>
      <w:r w:rsidDel="00000000" w:rsidR="00000000" w:rsidRPr="00000000">
        <w:rPr>
          <w:i w:val="1"/>
          <w:rtl w:val="0"/>
        </w:rPr>
        <w:t xml:space="preserve">S</w:t>
      </w:r>
      <w:r w:rsidDel="00000000" w:rsidR="00000000" w:rsidRPr="00000000">
        <w:rPr>
          <w:rtl w:val="0"/>
        </w:rPr>
        <w:t xml:space="preserve">+</w:t>
      </w:r>
      <w:r w:rsidDel="00000000" w:rsidR="00000000" w:rsidRPr="00000000">
        <w:rPr>
          <w:i w:val="1"/>
          <w:rtl w:val="0"/>
        </w:rPr>
        <w:t xml:space="preserve">A</w:t>
      </w:r>
      <w:r w:rsidDel="00000000" w:rsidR="00000000" w:rsidRPr="00000000">
        <w:rPr>
          <w:rtl w:val="0"/>
        </w:rPr>
        <w:t xml:space="preserve">+</w:t>
      </w:r>
      <w:r w:rsidDel="00000000" w:rsidR="00000000" w:rsidRPr="00000000">
        <w:rPr>
          <w:i w:val="1"/>
          <w:rtl w:val="0"/>
        </w:rPr>
        <w:t xml:space="preserve">LR</w:t>
      </w:r>
      <w:r w:rsidDel="00000000" w:rsidR="00000000" w:rsidRPr="00000000">
        <w:rPr>
          <w:rtl w:val="0"/>
        </w:rPr>
        <w:t xml:space="preserve">)−</w:t>
      </w:r>
      <w:r w:rsidDel="00000000" w:rsidR="00000000" w:rsidRPr="00000000">
        <w:rPr>
          <w:i w:val="1"/>
          <w:rtl w:val="0"/>
        </w:rPr>
        <w:t xml:space="preserve">V</w:t>
      </w:r>
      <w:r w:rsidDel="00000000" w:rsidR="00000000" w:rsidRPr="00000000">
        <w:rPr>
          <w:rtl w:val="0"/>
        </w:rPr>
        <w:t xml:space="preserve">(</w:t>
      </w:r>
      <w:r w:rsidDel="00000000" w:rsidR="00000000" w:rsidRPr="00000000">
        <w:rPr>
          <w:i w:val="1"/>
          <w:rtl w:val="0"/>
        </w:rPr>
        <w:t xml:space="preserve">S</w:t>
      </w:r>
      <w:r w:rsidDel="00000000" w:rsidR="00000000" w:rsidRPr="00000000">
        <w:rPr>
          <w:rtl w:val="0"/>
        </w:rPr>
        <w:t xml:space="preserve">+</w:t>
      </w:r>
      <w:r w:rsidDel="00000000" w:rsidR="00000000" w:rsidRPr="00000000">
        <w:rPr>
          <w:i w:val="1"/>
          <w:rtl w:val="0"/>
        </w:rPr>
        <w:t xml:space="preserve">A</w:t>
      </w:r>
      <w:r w:rsidDel="00000000" w:rsidR="00000000" w:rsidRPr="00000000">
        <w:rPr>
          <w:rtl w:val="0"/>
        </w:rPr>
        <w:t xml:space="preserve">))</w:t>
      </w:r>
    </w:p>
    <w:p w:rsidR="00000000" w:rsidDel="00000000" w:rsidP="00000000" w:rsidRDefault="00000000" w:rsidRPr="00000000" w14:paraId="0000002F">
      <w:pPr>
        <w:numPr>
          <w:ilvl w:val="0"/>
          <w:numId w:val="5"/>
        </w:numPr>
        <w:ind w:left="720" w:hanging="360"/>
        <w:rPr/>
      </w:pPr>
      <w:r w:rsidDel="00000000" w:rsidR="00000000" w:rsidRPr="00000000">
        <w:rPr>
          <w:b w:val="1"/>
          <w:rtl w:val="0"/>
        </w:rPr>
        <w:t xml:space="preserve">For S and A:</w:t>
      </w:r>
      <w:r w:rsidDel="00000000" w:rsidR="00000000" w:rsidRPr="00000000">
        <w:rPr>
          <w:rtl w:val="0"/>
        </w:rPr>
        <w:t xml:space="preserve"> 16V(S+A)+13V(S+A+LR)61</w:t>
      </w:r>
      <w:r w:rsidDel="00000000" w:rsidR="00000000" w:rsidRPr="00000000">
        <w:rPr>
          <w:i w:val="1"/>
          <w:rtl w:val="0"/>
        </w:rPr>
        <w:t xml:space="preserve">V</w:t>
      </w:r>
      <w:r w:rsidDel="00000000" w:rsidR="00000000" w:rsidRPr="00000000">
        <w:rPr>
          <w:rtl w:val="0"/>
        </w:rPr>
        <w:t xml:space="preserve">(</w:t>
      </w:r>
      <w:r w:rsidDel="00000000" w:rsidR="00000000" w:rsidRPr="00000000">
        <w:rPr>
          <w:i w:val="1"/>
          <w:rtl w:val="0"/>
        </w:rPr>
        <w:t xml:space="preserve">S</w:t>
      </w:r>
      <w:r w:rsidDel="00000000" w:rsidR="00000000" w:rsidRPr="00000000">
        <w:rPr>
          <w:rtl w:val="0"/>
        </w:rPr>
        <w:t xml:space="preserve">+</w:t>
      </w:r>
      <w:r w:rsidDel="00000000" w:rsidR="00000000" w:rsidRPr="00000000">
        <w:rPr>
          <w:i w:val="1"/>
          <w:rtl w:val="0"/>
        </w:rPr>
        <w:t xml:space="preserve">A</w:t>
      </w:r>
      <w:r w:rsidDel="00000000" w:rsidR="00000000" w:rsidRPr="00000000">
        <w:rPr>
          <w:rtl w:val="0"/>
        </w:rPr>
        <w:t xml:space="preserve">)+31</w:t>
      </w:r>
      <w:r w:rsidDel="00000000" w:rsidR="00000000" w:rsidRPr="00000000">
        <w:rPr>
          <w:i w:val="1"/>
          <w:rtl w:val="0"/>
        </w:rPr>
        <w:t xml:space="preserve">V</w:t>
      </w:r>
      <w:r w:rsidDel="00000000" w:rsidR="00000000" w:rsidRPr="00000000">
        <w:rPr>
          <w:rtl w:val="0"/>
        </w:rPr>
        <w:t xml:space="preserve">(</w:t>
      </w:r>
      <w:r w:rsidDel="00000000" w:rsidR="00000000" w:rsidRPr="00000000">
        <w:rPr>
          <w:i w:val="1"/>
          <w:rtl w:val="0"/>
        </w:rPr>
        <w:t xml:space="preserve">S</w:t>
      </w:r>
      <w:r w:rsidDel="00000000" w:rsidR="00000000" w:rsidRPr="00000000">
        <w:rPr>
          <w:rtl w:val="0"/>
        </w:rPr>
        <w:t xml:space="preserve">+</w:t>
      </w:r>
      <w:r w:rsidDel="00000000" w:rsidR="00000000" w:rsidRPr="00000000">
        <w:rPr>
          <w:i w:val="1"/>
          <w:rtl w:val="0"/>
        </w:rPr>
        <w:t xml:space="preserve">A</w:t>
      </w:r>
      <w:r w:rsidDel="00000000" w:rsidR="00000000" w:rsidRPr="00000000">
        <w:rPr>
          <w:rtl w:val="0"/>
        </w:rPr>
        <w:t xml:space="preserve">+</w:t>
      </w:r>
      <w:r w:rsidDel="00000000" w:rsidR="00000000" w:rsidRPr="00000000">
        <w:rPr>
          <w:i w:val="1"/>
          <w:rtl w:val="0"/>
        </w:rPr>
        <w:t xml:space="preserve">LR</w:t>
      </w:r>
      <w:r w:rsidDel="00000000" w:rsidR="00000000" w:rsidRPr="00000000">
        <w:rPr>
          <w:rtl w:val="0"/>
        </w:rPr>
        <w:t xml:space="preserve">)</w:t>
      </w:r>
    </w:p>
    <w:p w:rsidR="00000000" w:rsidDel="00000000" w:rsidP="00000000" w:rsidRDefault="00000000" w:rsidRPr="00000000" w14:paraId="00000030">
      <w:pPr>
        <w:rPr/>
      </w:pPr>
      <w:r w:rsidDel="00000000" w:rsidR="00000000" w:rsidRPr="00000000">
        <w:rPr>
          <w:rtl w:val="0"/>
        </w:rPr>
        <w:t xml:space="preserve">This ensures that each contributor's marginal impact is considered across all possible combinations, yielding a fair and transparent attribution1.</w:t>
      </w:r>
    </w:p>
    <w:p w:rsidR="00000000" w:rsidDel="00000000" w:rsidP="00000000" w:rsidRDefault="00000000" w:rsidRPr="00000000" w14:paraId="0000003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rPr/>
      </w:pPr>
      <w:r w:rsidDel="00000000" w:rsidR="00000000" w:rsidRPr="00000000">
        <w:rPr>
          <w:b w:val="1"/>
          <w:rtl w:val="0"/>
        </w:rPr>
        <w:t xml:space="preserve">Addressing Attribution Challenges</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One insight from applying Shapley values is that foundational data sources (like S and A) often receive significant credit—because they're prerequisites for advanced modeling. However, this can sometimes overstate their unique value, especially if alternative data sources could be substituted without loss of performance.</w:t>
      </w:r>
    </w:p>
    <w:p w:rsidR="00000000" w:rsidDel="00000000" w:rsidP="00000000" w:rsidRDefault="00000000" w:rsidRPr="00000000" w14:paraId="00000034">
      <w:pPr>
        <w:rPr/>
      </w:pPr>
      <w:r w:rsidDel="00000000" w:rsidR="00000000" w:rsidRPr="00000000">
        <w:rPr>
          <w:b w:val="1"/>
          <w:rtl w:val="0"/>
        </w:rPr>
        <w:t xml:space="preserve">Alternative Attribution Strategies:</w:t>
      </w:r>
      <w:r w:rsidDel="00000000" w:rsidR="00000000" w:rsidRPr="00000000">
        <w:rPr>
          <w:rtl w:val="0"/>
        </w:rPr>
      </w:r>
    </w:p>
    <w:p w:rsidR="00000000" w:rsidDel="00000000" w:rsidP="00000000" w:rsidRDefault="00000000" w:rsidRPr="00000000" w14:paraId="00000035">
      <w:pPr>
        <w:numPr>
          <w:ilvl w:val="0"/>
          <w:numId w:val="1"/>
        </w:numPr>
        <w:ind w:left="720" w:hanging="360"/>
        <w:rPr/>
      </w:pPr>
      <w:r w:rsidDel="00000000" w:rsidR="00000000" w:rsidRPr="00000000">
        <w:rPr>
          <w:b w:val="1"/>
          <w:rtl w:val="0"/>
        </w:rPr>
        <w:t xml:space="preserve">Full Credit to LR:</w:t>
      </w:r>
      <w:r w:rsidDel="00000000" w:rsidR="00000000" w:rsidRPr="00000000">
        <w:rPr>
          <w:rtl w:val="0"/>
        </w:rPr>
        <w:t xml:space="preserve"> Assign all value from lookalike segments to the LR model, reflecting its central role in those results.</w:t>
      </w:r>
    </w:p>
    <w:p w:rsidR="00000000" w:rsidDel="00000000" w:rsidP="00000000" w:rsidRDefault="00000000" w:rsidRPr="00000000" w14:paraId="00000036">
      <w:pPr>
        <w:numPr>
          <w:ilvl w:val="0"/>
          <w:numId w:val="1"/>
        </w:numPr>
        <w:ind w:left="720" w:hanging="360"/>
        <w:rPr/>
      </w:pPr>
      <w:r w:rsidDel="00000000" w:rsidR="00000000" w:rsidRPr="00000000">
        <w:rPr>
          <w:b w:val="1"/>
          <w:rtl w:val="0"/>
        </w:rPr>
        <w:t xml:space="preserve">Split Credit:</w:t>
      </w:r>
      <w:r w:rsidDel="00000000" w:rsidR="00000000" w:rsidRPr="00000000">
        <w:rPr>
          <w:rtl w:val="0"/>
        </w:rPr>
        <w:t xml:space="preserve"> Divide lookalike segment value between LR and the data sources (e.g., 50/50 split), acknowledging both the model's and the data's contributions.</w:t>
      </w:r>
    </w:p>
    <w:p w:rsidR="00000000" w:rsidDel="00000000" w:rsidP="00000000" w:rsidRDefault="00000000" w:rsidRPr="00000000" w14:paraId="00000037">
      <w:pPr>
        <w:rPr/>
      </w:pPr>
      <w:r w:rsidDel="00000000" w:rsidR="00000000" w:rsidRPr="00000000">
        <w:rPr>
          <w:rtl w:val="0"/>
        </w:rPr>
        <w:t xml:space="preserve">These variations can be modeled by adjusting the value functions and Shapley formulas accordingly, allowing for flexible and context-sensitive attribution.</w:t>
      </w:r>
    </w:p>
    <w:p w:rsidR="00000000" w:rsidDel="00000000" w:rsidP="00000000" w:rsidRDefault="00000000" w:rsidRPr="00000000" w14:paraId="0000003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rPr/>
      </w:pPr>
      <w:r w:rsidDel="00000000" w:rsidR="00000000" w:rsidRPr="00000000">
        <w:rPr>
          <w:b w:val="1"/>
          <w:rtl w:val="0"/>
        </w:rPr>
        <w:t xml:space="preserve">Shapley Values in Machine Learning Interpretability</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Shapley values also underpin leading methods for interpreting machine learning models, such as SHAP. Here, each feature is treated as a "player," and the Shapley value quantifies its contribution to a specific prediction. This approach unifies disparate feature attribution methods and ensures explanations are locally accurate, consistent, and fair.</w:t>
      </w:r>
    </w:p>
    <w:p w:rsidR="00000000" w:rsidDel="00000000" w:rsidP="00000000" w:rsidRDefault="00000000" w:rsidRPr="00000000" w14:paraId="0000003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C">
      <w:pPr>
        <w:rPr/>
      </w:pPr>
      <w:r w:rsidDel="00000000" w:rsidR="00000000" w:rsidRPr="00000000">
        <w:rPr>
          <w:b w:val="1"/>
          <w:rtl w:val="0"/>
        </w:rPr>
        <w:t xml:space="preserve">Summary</w:t>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Shapley values offer a robust, mathematically grounded framework for attribution in adtech. Whether distributing credit among data sources, models, or campaign strategies, they ensure transparency and fairness—qualities essential for optimizing spend and fostering trust among stakeholders. As adtech continues to integrate more complex data and modeling approaches, Shapley-based attribution is poised to become a cornerstone of effective campaign measurement and optimization as well as more efficient workflow.</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u w:val="single"/>
          <w:rtl w:val="0"/>
        </w:rPr>
        <w:t xml:space="preserve">About Precise.ai</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Precise is a leader in data verification and secure collaboration, specializing in Proof of Data technology to ensure transparency, trust, and compliance. Through blockchain-backed proof methodologies, Precise provides data owners with an immutable record of accuracy, lineage, and responsible data use. In addition to data verification, Precise enables privacy-preserving data collaboration through federated machine learning, allowing organizations to extract insights and drive value while keeping sensitive data protected and decentralized. By establishing verifiable data integrity and privacy-first data activation, Precise empowers businesses to confidently leverage their data while maintaining compliance and accountability.  Contact us at </w:t>
      </w:r>
      <w:hyperlink r:id="rId10">
        <w:r w:rsidDel="00000000" w:rsidR="00000000" w:rsidRPr="00000000">
          <w:rPr>
            <w:color w:val="467886"/>
            <w:u w:val="single"/>
            <w:rtl w:val="0"/>
          </w:rPr>
          <w:t xml:space="preserve">info@precise.ai</w:t>
        </w:r>
      </w:hyperlink>
      <w:r w:rsidDel="00000000" w:rsidR="00000000" w:rsidRPr="00000000">
        <w:rPr>
          <w:rtl w:val="0"/>
        </w:rPr>
        <w:t xml:space="preserve">.  </w:t>
      </w:r>
    </w:p>
    <w:p w:rsidR="00000000" w:rsidDel="00000000" w:rsidP="00000000" w:rsidRDefault="00000000" w:rsidRPr="00000000" w14:paraId="0000004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2F06DC"/>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2F06DC"/>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2F06DC"/>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2F06DC"/>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2F06DC"/>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2F06DC"/>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2F06DC"/>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2F06DC"/>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2F06DC"/>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2F06DC"/>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2F06DC"/>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2F06DC"/>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2F06DC"/>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2F06DC"/>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2F06DC"/>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2F06DC"/>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2F06DC"/>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2F06DC"/>
    <w:rPr>
      <w:rFonts w:cstheme="majorBidi" w:eastAsiaTheme="majorEastAsia"/>
      <w:color w:val="272727" w:themeColor="text1" w:themeTint="0000D8"/>
    </w:rPr>
  </w:style>
  <w:style w:type="paragraph" w:styleId="Title">
    <w:name w:val="Title"/>
    <w:basedOn w:val="Normal"/>
    <w:next w:val="Normal"/>
    <w:link w:val="TitleChar"/>
    <w:uiPriority w:val="10"/>
    <w:qFormat w:val="1"/>
    <w:rsid w:val="002F06DC"/>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2F06DC"/>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2F06DC"/>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2F06DC"/>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2F06DC"/>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2F06DC"/>
    <w:rPr>
      <w:i w:val="1"/>
      <w:iCs w:val="1"/>
      <w:color w:val="404040" w:themeColor="text1" w:themeTint="0000BF"/>
    </w:rPr>
  </w:style>
  <w:style w:type="paragraph" w:styleId="ListParagraph">
    <w:name w:val="List Paragraph"/>
    <w:basedOn w:val="Normal"/>
    <w:uiPriority w:val="34"/>
    <w:qFormat w:val="1"/>
    <w:rsid w:val="002F06DC"/>
    <w:pPr>
      <w:ind w:left="720"/>
      <w:contextualSpacing w:val="1"/>
    </w:pPr>
  </w:style>
  <w:style w:type="character" w:styleId="IntenseEmphasis">
    <w:name w:val="Intense Emphasis"/>
    <w:basedOn w:val="DefaultParagraphFont"/>
    <w:uiPriority w:val="21"/>
    <w:qFormat w:val="1"/>
    <w:rsid w:val="002F06DC"/>
    <w:rPr>
      <w:i w:val="1"/>
      <w:iCs w:val="1"/>
      <w:color w:val="0f4761" w:themeColor="accent1" w:themeShade="0000BF"/>
    </w:rPr>
  </w:style>
  <w:style w:type="paragraph" w:styleId="IntenseQuote">
    <w:name w:val="Intense Quote"/>
    <w:basedOn w:val="Normal"/>
    <w:next w:val="Normal"/>
    <w:link w:val="IntenseQuoteChar"/>
    <w:uiPriority w:val="30"/>
    <w:qFormat w:val="1"/>
    <w:rsid w:val="002F06DC"/>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2F06DC"/>
    <w:rPr>
      <w:i w:val="1"/>
      <w:iCs w:val="1"/>
      <w:color w:val="0f4761" w:themeColor="accent1" w:themeShade="0000BF"/>
    </w:rPr>
  </w:style>
  <w:style w:type="character" w:styleId="IntenseReference">
    <w:name w:val="Intense Reference"/>
    <w:basedOn w:val="DefaultParagraphFont"/>
    <w:uiPriority w:val="32"/>
    <w:qFormat w:val="1"/>
    <w:rsid w:val="002F06DC"/>
    <w:rPr>
      <w:b w:val="1"/>
      <w:bCs w:val="1"/>
      <w:smallCaps w:val="1"/>
      <w:color w:val="0f4761" w:themeColor="accent1" w:themeShade="0000BF"/>
      <w:spacing w:val="5"/>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mailto:info@precise.ai" TargetMode="Externa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3NnC3ZNEqyprDJ2DTPzcRLDLww==">CgMxLjA4AHIhMTlLQlY0VHJGTGRqVnFsYWhCUzktNy10ODdVRVhtYmsz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2025-06-02T20:14:00Z</dcterms:created>
  <dc:creator>Kyoo Kim</dc:creator>
</cp:coreProperties>
</file>