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eps" ContentType="application/eps"/>
  <Override PartName="/word/media/rId95.eps" ContentType="application/eps"/>
  <Override PartName="/word/media/rId97.eps" ContentType="application/eps"/>
  <Override PartName="/word/media/rId99.eps" ContentType="application/eps"/>
  <Override PartName="/word/media/rId101.eps" ContentType="application/eps"/>
  <Override PartName="/word/media/rId103.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w:t>
      </w:r>
    </w:p>
    <w:p>
      <w:pPr>
        <w:pStyle w:val="Heading1"/>
      </w:pPr>
      <w:bookmarkStart w:id="21" w:name="introduction"/>
      <w:r>
        <w:t xml:space="preserve">Introduction</w:t>
      </w:r>
      <w:bookmarkEnd w:id="21"/>
    </w:p>
    <w:p>
      <w:pPr>
        <w:pStyle w:val="FirstParagraph"/>
      </w:pPr>
      <w:r>
        <w:t xml:space="preserve">Sheath blight disease, caused by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 </w:t>
      </w:r>
      <w:r>
        <w:t xml:space="preserve">(2000)</w:t>
      </w:r>
      <w:r>
        <w:t xml:space="preserve"> </w:t>
      </w:r>
      <w:r>
        <w:t xml:space="preserve">estimated normal yield losses in tropical irrigated lowland rice in Asia at 5–10  % annually. 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with water standing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could trigger unintended effects, for example changes in disease intensity or severity.</w:t>
      </w:r>
    </w:p>
    <w:p>
      <w:pPr>
        <w:pStyle w:val="BodyText"/>
      </w:pPr>
      <w:r>
        <w:t xml:space="preserve">While the effects of climate change directly on rice disease have been studied</w:t>
      </w:r>
      <w:r>
        <w:t xml:space="preserve"> </w:t>
      </w:r>
      <w:r>
        <w:t xml:space="preserve">(Duku et al. 2016; Luo et al. 1998)</w:t>
      </w:r>
      <w:r>
        <w:t xml:space="preserve"> </w:t>
      </w:r>
      <w:r>
        <w:t xml:space="preserve">the effects of mitigation practices have not. And because of the well 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Heading2"/>
      </w:pPr>
      <w:bookmarkStart w:id="23" w:name="experimental-site"/>
      <w:r>
        <w:t xml:space="preserve">Experimental Site</w:t>
      </w:r>
      <w:bookmarkEnd w:id="23"/>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4" w:name="pathogen"/>
      <w:r>
        <w:t xml:space="preserve">Pathogen</w:t>
      </w:r>
      <w:bookmarkEnd w:id="24"/>
    </w:p>
    <w:p>
      <w:pPr>
        <w:pStyle w:val="FirstParagraph"/>
      </w:pPr>
      <w:r>
        <w:t xml:space="preserve">An isolate of</w:t>
      </w:r>
      <w:r>
        <w:t xml:space="preserve"> </w:t>
      </w:r>
      <w:r>
        <w:rPr>
          <w:i/>
        </w:rPr>
        <w:t xml:space="preserve">Rhizoctonia solani</w:t>
      </w:r>
      <w:r>
        <w:t xml:space="preserve"> </w:t>
      </w:r>
      <w:r>
        <w:t xml:space="preserve">belonging to anasomosis group AG1–1a previously isolated from infected lowland rice was maintained on potato dextrose agar (PDA) medium slants. The isolate was transferred to 90 mm Petri dishes containing PDA and incubated a room temperature (20 to 27°C) for five days. 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5" w:name="host-plant"/>
      <w:r>
        <w:t xml:space="preserve">Host Plant</w:t>
      </w:r>
      <w:bookmarkEnd w:id="25"/>
    </w:p>
    <w:p>
      <w:pPr>
        <w:pStyle w:val="FirstParagraph"/>
      </w:pPr>
      <w:r>
        <w:t xml:space="preserve">NSIC Rc222 an inbred semi-dwarf, high-yielding variety released by the Philippine Rice Research Institute (PhilRice), with a 114 day maturity when transplanted was used in both experiments. 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6" w:name="experiment"/>
      <w:r>
        <w:t xml:space="preserve">2015 Experiment</w:t>
      </w:r>
      <w:bookmarkEnd w:id="26"/>
    </w:p>
    <w:p>
      <w:pPr>
        <w:pStyle w:val="Heading3"/>
      </w:pPr>
      <w:bookmarkStart w:id="27" w:name="experimental-design"/>
      <w:r>
        <w:t xml:space="preserve">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w:t>
      </w:r>
      <w:r>
        <w:rPr>
          <w:vertAlign w:val="superscript"/>
        </w:rPr>
        <w:t xml:space="preserve">2</w:t>
      </w:r>
      <w:r>
        <w:t xml:space="preserve">), with a split–plot size of 5 m x 5 m (25 m</w:t>
      </w:r>
      <w:r>
        <w:rPr>
          <w:vertAlign w:val="superscript"/>
        </w:rPr>
        <w:t xml:space="preserve">2</w:t>
      </w:r>
      <w:r>
        <w:t xml:space="preserve">). 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puddled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8" w:name="crop-establishment"/>
      <w:r>
        <w:t xml:space="preserve">Crop Establishment</w:t>
      </w:r>
      <w:bookmarkEnd w:id="28"/>
    </w:p>
    <w:p>
      <w:pPr>
        <w:pStyle w:val="FirstParagraph"/>
      </w:pPr>
      <w:r>
        <w:t xml:space="preserve">Trays of NSIC Rc222 were seeded on 19 December 2014. Plots were established by manually transplanting seedlings on 9 January 2015 in hills with six to eight seedlings per hill and a distance of 20 cm within and between rows.</w:t>
      </w:r>
    </w:p>
    <w:p>
      <w:pPr>
        <w:pStyle w:val="Heading3"/>
      </w:pPr>
      <w:bookmarkStart w:id="29" w:name="inoculation-procedure"/>
      <w:r>
        <w:t xml:space="preserve">Inoculation Procedure</w:t>
      </w:r>
      <w:bookmarkEnd w:id="29"/>
    </w:p>
    <w:p>
      <w:pPr>
        <w:pStyle w:val="FirstParagraph"/>
      </w:pPr>
      <w:r>
        <w:t xml:space="preserve">The plots were inoculated 20 days after transplanting by applying 151 g of inoculum over the split–plot area with a 1 m buffer on either end (4 m x 11 m).</w:t>
      </w:r>
    </w:p>
    <w:p>
      <w:pPr>
        <w:pStyle w:val="Heading2"/>
      </w:pPr>
      <w:bookmarkStart w:id="30" w:name="experiment-1"/>
      <w:r>
        <w:t xml:space="preserve">2016 Experiment</w:t>
      </w:r>
      <w:bookmarkEnd w:id="30"/>
    </w:p>
    <w:p>
      <w:pPr>
        <w:pStyle w:val="Heading3"/>
      </w:pPr>
      <w:bookmarkStart w:id="31" w:name="experimental-design-1"/>
      <w:r>
        <w:t xml:space="preserve">Experimental Design</w:t>
      </w:r>
      <w:bookmarkEnd w:id="31"/>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due to differences in the blocks. 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 The replication sizes were B1 — 42 m x 20.5 m (861 m</w:t>
      </w:r>
      <w:r>
        <w:rPr>
          <w:vertAlign w:val="superscript"/>
        </w:rPr>
        <w:t xml:space="preserve">2</w:t>
      </w:r>
      <w:r>
        <w:t xml:space="preserve">) and B2 — 40.5 m x 21.6 m (874.8 m</w:t>
      </w:r>
      <w:r>
        <w:rPr>
          <w:vertAlign w:val="superscript"/>
        </w:rPr>
        <w:t xml:space="preserve">2</w:t>
      </w:r>
      <w:r>
        <w:t xml:space="preserve">). 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 / ha as urea split into two applications) and N180 (180 kg / ha in three splits) being applied (Tab. @ref(tab:N_rate)).</w:t>
      </w:r>
    </w:p>
    <w:p>
      <w:pPr>
        <w:pStyle w:val="Heading3"/>
      </w:pPr>
      <w:bookmarkStart w:id="32" w:name="crop-establishment-1"/>
      <w:r>
        <w:t xml:space="preserve">Crop Establishment</w:t>
      </w:r>
      <w:bookmarkEnd w:id="32"/>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3" w:name="inoculation-procedure-1"/>
      <w:r>
        <w:t xml:space="preserve">Inoculation Procedure</w:t>
      </w:r>
      <w:bookmarkEnd w:id="33"/>
    </w:p>
    <w:p>
      <w:pPr>
        <w:pStyle w:val="FirstParagraph"/>
      </w:pPr>
      <w:r>
        <w:t xml:space="preserve">Based on the 2015 results, the inoculum application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each 1 m x 1 m area.</w:t>
      </w:r>
    </w:p>
    <w:p>
      <w:pPr>
        <w:pStyle w:val="Heading2"/>
      </w:pPr>
      <w:bookmarkStart w:id="34" w:name="data-collection"/>
      <w:r>
        <w:t xml:space="preserve">Data Collection</w:t>
      </w:r>
      <w:bookmarkEnd w:id="34"/>
    </w:p>
    <w:p>
      <w:pPr>
        <w:pStyle w:val="FirstParagraph"/>
      </w:pPr>
      <w:r>
        <w:t xml:space="preserve">In both experiments, two sample areas, sized 1 m x 1 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severity; 3 – 5 to 15 % severity; 4 – 15 to 50 % severity; 5 – 50 to 100 % severity. Severity was considered to be the amount of leaf or sheath tissue covered by sheath blight lesions. A leaf was considered living if at least 50 % of its area was not brown or dark brown due to natural senescence. A leaf that was yellow green or light green due to a disease, such as tungro or nitrogen deficiency was still considered a living leaf. The same rating methodology was used in both experiments. Five disease assessments were made in the 2015 experiment and four disease assessments were made in the 2016 experiment, respectively.</w:t>
      </w:r>
    </w:p>
    <w:p>
      <w:pPr>
        <w:pStyle w:val="Heading2"/>
      </w:pPr>
      <w:bookmarkStart w:id="35" w:name="statistical-analysis"/>
      <w:r>
        <w:t xml:space="preserve">Statistical Analysis</w:t>
      </w:r>
      <w:bookmarkEnd w:id="35"/>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R, version 3.5.0</w:t>
      </w:r>
      <w:r>
        <w:t xml:space="preserve"> </w:t>
      </w:r>
      <w:r>
        <w:t xml:space="preserve">(R Core Team 2018)</w:t>
      </w:r>
      <w:r>
        <w:t xml:space="preserve">, package</w:t>
      </w:r>
      <w:r>
        <w:t xml:space="preserve"> </w:t>
      </w:r>
      <w:r>
        <w:rPr>
          <w:rStyle w:val="VerbatimChar"/>
        </w:rPr>
        <w:t xml:space="preserve">agricolae</w:t>
      </w:r>
      <w:r>
        <w:t xml:space="preserve">, version 1.2-8,</w:t>
      </w:r>
      <w:r>
        <w:t xml:space="preserve"> </w:t>
      </w:r>
      <w:r>
        <w:t xml:space="preserve">(de Mendiburu 2017)</w:t>
      </w:r>
      <w:r>
        <w:t xml:space="preserve">. Due to the use of a severity scale for data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version 2.26.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6" w:name="results"/>
      <w:r>
        <w:t xml:space="preserve">Results</w:t>
      </w:r>
      <w:bookmarkEnd w:id="36"/>
    </w:p>
    <w:p>
      <w:pPr>
        <w:pStyle w:val="Heading2"/>
      </w:pPr>
      <w:bookmarkStart w:id="37" w:name="experiment-2"/>
      <w:r>
        <w:t xml:space="preserve">2015 Experiment</w:t>
      </w:r>
      <w:bookmarkEnd w:id="37"/>
    </w:p>
    <w:p>
      <w:pPr>
        <w:pStyle w:val="Heading3"/>
      </w:pPr>
      <w:bookmarkStart w:id="38" w:name="tiller-sheath-blight-incidence"/>
      <w:r>
        <w:t xml:space="preserve">Tiller Sheath Blight Incidence</w:t>
      </w:r>
      <w:bookmarkEnd w:id="38"/>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clearly statistically different (Fig. </w:t>
      </w:r>
      <w:r>
        <w:t xml:space="preserve">3</w:t>
      </w:r>
      <w:r>
        <w:t xml:space="preserve">a,</w:t>
      </w:r>
      <w:r>
        <w:t xml:space="preserve"> </w:t>
      </w:r>
      <w:r>
        <w:t xml:space="preserve">5</w:t>
      </w:r>
      <w:r>
        <w:t xml:space="preserve">a). However, the effects of N treatments N100 and N120 on tiller incidence caused both to be higher and clearly statistically different when compared with the control N0 treatment (Fig. </w:t>
      </w:r>
      <w:r>
        <w:t xml:space="preserve">4</w:t>
      </w:r>
      <w:r>
        <w:t xml:space="preserve">a,</w:t>
      </w:r>
      <w:r>
        <w:t xml:space="preserve"> </w:t>
      </w:r>
      <w:r>
        <w:t xml:space="preserve">5</w:t>
      </w:r>
      <w:r>
        <w:t xml:space="preserve">a).</w:t>
      </w:r>
    </w:p>
    <w:p>
      <w:pPr>
        <w:pStyle w:val="Heading3"/>
      </w:pPr>
      <w:bookmarkStart w:id="39" w:name="tiller-sheath-blight-severity"/>
      <w:r>
        <w:t xml:space="preserve">Tiller Sheath Blight Severity</w:t>
      </w:r>
      <w:bookmarkEnd w:id="39"/>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 However, the AWD water management was not clearly statistically different from the puddled treatment (Fig. </w:t>
      </w:r>
      <w:r>
        <w:t xml:space="preserve">3</w:t>
      </w:r>
      <w:r>
        <w:t xml:space="preserve">c,</w:t>
      </w:r>
      <w:r>
        <w:t xml:space="preserve"> </w:t>
      </w:r>
      <w:r>
        <w:t xml:space="preserve">5</w:t>
      </w:r>
      <w:r>
        <w:t xml:space="preserve">c).</w:t>
      </w:r>
    </w:p>
    <w:p>
      <w:pPr>
        <w:pStyle w:val="Heading3"/>
      </w:pPr>
      <w:bookmarkStart w:id="40" w:name="leaf-sheath-blight-severity"/>
      <w:r>
        <w:t xml:space="preserve">Leaf Sheath Blight Severity</w:t>
      </w:r>
      <w:bookmarkEnd w:id="40"/>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 However, the AWD water management was not clearly statistically different from the puddled treatment (Fig. </w:t>
      </w:r>
      <w:r>
        <w:t xml:space="preserve">3</w:t>
      </w:r>
      <w:r>
        <w:t xml:space="preserve">e,</w:t>
      </w:r>
      <w:r>
        <w:t xml:space="preserve"> </w:t>
      </w:r>
      <w:r>
        <w:t xml:space="preserve">5</w:t>
      </w:r>
      <w:r>
        <w:t xml:space="preserve">e).</w:t>
      </w:r>
    </w:p>
    <w:p>
      <w:pPr>
        <w:pStyle w:val="Heading3"/>
      </w:pPr>
      <w:bookmarkStart w:id="41" w:name="Xa9eae90277baea87fed73a504d36eef8bb5f585"/>
      <w:r>
        <w:t xml:space="preserve">The Interaction of Irrigation and N Management</w:t>
      </w:r>
      <w:bookmarkEnd w:id="41"/>
    </w:p>
    <w:p>
      <w:pPr>
        <w:pStyle w:val="Heading2"/>
      </w:pPr>
      <w:bookmarkStart w:id="42" w:name="experiment-3"/>
      <w:r>
        <w:t xml:space="preserve">2016 Experiment</w:t>
      </w:r>
      <w:bookmarkEnd w:id="42"/>
    </w:p>
    <w:p>
      <w:pPr>
        <w:pStyle w:val="Heading3"/>
      </w:pPr>
      <w:bookmarkStart w:id="43" w:name="tiller-sheath-blight-incidence-1"/>
      <w:r>
        <w:t xml:space="preserve">Tiller Sheath Blight Incidence</w:t>
      </w:r>
      <w:bookmarkEnd w:id="43"/>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Heading3"/>
      </w:pPr>
      <w:bookmarkStart w:id="44" w:name="tiller-sheath-blight-severity-1"/>
      <w:r>
        <w:t xml:space="preserve">Tiller Sheath Blight Severity</w:t>
      </w:r>
      <w:bookmarkEnd w:id="44"/>
    </w:p>
    <w:p>
      <w:pPr>
        <w:pStyle w:val="FirstParagraph"/>
      </w:pPr>
      <w:r>
        <w:t xml:space="preserve">As with the tiller incidence, the tiller severity increased with the changed inoculation methods with a maximum of 7.6% for the puddled treatment (Fig. </w:t>
      </w:r>
      <w:r>
        <w:t xml:space="preserve">2</w:t>
      </w:r>
      <w:r>
        <w:t xml:space="preserve">d). 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 The AWD water management, which was lower than the puddled treatment, was also clearly statistically different (Fig. </w:t>
      </w:r>
      <w:r>
        <w:t xml:space="preserve">3</w:t>
      </w:r>
      <w:r>
        <w:t xml:space="preserve">d,</w:t>
      </w:r>
      <w:r>
        <w:t xml:space="preserve"> </w:t>
      </w:r>
      <w:r>
        <w:t xml:space="preserve">5</w:t>
      </w:r>
      <w:r>
        <w:t xml:space="preserve">d).</w:t>
      </w:r>
    </w:p>
    <w:p>
      <w:pPr>
        <w:pStyle w:val="Heading3"/>
      </w:pPr>
      <w:bookmarkStart w:id="45" w:name="leaf-sheath-blight-severity-1"/>
      <w:r>
        <w:t xml:space="preserve">Leaf Sheath Blight Severity</w:t>
      </w:r>
      <w:bookmarkEnd w:id="45"/>
    </w:p>
    <w:p>
      <w:pPr>
        <w:pStyle w:val="FirstParagraph"/>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6" w:name="Xa016f6df75402d797c5433184948fab97c32c8f"/>
      <w:r>
        <w:t xml:space="preserve">The Interaction of Irrigation and N Management</w:t>
      </w:r>
      <w:bookmarkEnd w:id="46"/>
    </w:p>
    <w:p>
      <w:pPr>
        <w:pStyle w:val="FirstParagraph"/>
      </w:pPr>
      <w:r>
        <w:t xml:space="preserve">The interaction of irrigation treatment AWD with N rate N0 in 2015 or N180 in 2016 was not clearly different from the control puddled irrigation and N60 for tiller incidence or severity in either experiment. For leaf severity in the 2015 experiment the interaction was not clearly different. In 2016 the interaction of N180 and N180 was clearly lower than the control puddled irrigation and N60 rate.</w:t>
      </w:r>
    </w:p>
    <w:p>
      <w:pPr>
        <w:pStyle w:val="Heading1"/>
      </w:pPr>
      <w:bookmarkStart w:id="47" w:name="discussion"/>
      <w:r>
        <w:t xml:space="preserve">Discussion</w:t>
      </w:r>
      <w:bookmarkEnd w:id="47"/>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statistically clear effect of AWD on sheath blight. 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 As AWD can only feasibly be implemented in the dry season. Therefor,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As the rice establishment method is known to affect the spread of sheath blight</w:t>
      </w:r>
      <w:r>
        <w:t xml:space="preserve"> </w:t>
      </w:r>
      <w:r>
        <w:t xml:space="preserve">(Willocquet et al. 2000)</w:t>
      </w:r>
      <w:r>
        <w:t xml:space="preserve">. Manually transplanted rice had higher apparent infection rates than direct seeded rice. As manual transplanting becomes less common due to labor constraints, sheath blight risk may be decreased (CITATION XXXX) due changes in establishment practices. A combination of AWD and directd seeded rice could be beneficial for both saving water and reducing the risk of sheath blight.</w:t>
      </w:r>
    </w:p>
    <w:p>
      <w:pPr>
        <w:pStyle w:val="BodyText"/>
      </w:pPr>
      <w:r>
        <w:t xml:space="preserve">Climate change is predicted to decrease sheath blight risk in the Korean peninsula over the longer term. However, over the next 10 – 20 years the risk is predicted to remain the same as from 2000 – 2010</w:t>
      </w:r>
      <w:r>
        <w:t xml:space="preserve"> </w:t>
      </w:r>
      <w:r>
        <w:t xml:space="preserve">(Kim et al. 2015)</w:t>
      </w:r>
      <w:r>
        <w:t xml:space="preserve">. Therefore, it is likely to remain an important diease in the near future with little resistance available in current varieties. However, based on these studies the use of AWD technologies would not appear to be a factor that increases the incidence or severity of rice sheath blight disease.</w:t>
      </w:r>
    </w:p>
    <w:p>
      <w:pPr>
        <w:pStyle w:val="BodyText"/>
      </w:pPr>
      <w:r>
        <w:t xml:space="preserve">Readers may find a reproducible research compendium that recreates this paper, that includes all data generated from this project and code used for analysis as a reproducible research compendium from</w:t>
      </w:r>
      <w:r>
        <w:t xml:space="preserve"> </w:t>
      </w:r>
      <w:hyperlink r:id="rId20">
        <w:r>
          <w:rPr>
            <w:rStyle w:val="Hyperlink"/>
          </w:rPr>
          <w:t xml:space="preserve">https://github.com/openplantpathology/rice_awd_pests</w:t>
        </w:r>
      </w:hyperlink>
      <w:r>
        <w:t xml:space="preserve"> </w:t>
      </w:r>
      <w:r>
        <w:t xml:space="preserve">(Sparks et al. 2019)</w:t>
      </w:r>
      <w:r>
        <w:t xml:space="preserve">.</w:t>
      </w:r>
    </w:p>
    <w:p>
      <w:pPr>
        <w:pStyle w:val="Heading1"/>
      </w:pPr>
      <w:bookmarkStart w:id="48" w:name="notes"/>
      <w:r>
        <w:t xml:space="preserve">Notes</w:t>
      </w:r>
      <w:bookmarkEnd w:id="48"/>
    </w:p>
    <w:p>
      <w:pPr>
        <w:pStyle w:val="Heading2"/>
      </w:pPr>
      <w:bookmarkStart w:id="49" w:name="acknowledgments"/>
      <w:r>
        <w:t xml:space="preserve">Acknowledgments</w:t>
      </w:r>
      <w:bookmarkEnd w:id="49"/>
    </w:p>
    <w:p>
      <w:pPr>
        <w:pStyle w:val="FirstParagraph"/>
      </w:pPr>
      <w:r>
        <w:t xml:space="preserve">The authors wish to thank the IRRI Biometrics group for their input in the design of the experiments and Dr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 mate Michael Noel, a part of the plant disease management team at IRRI and who helped design and managed the first year of the project but passed away in September 2016.</w:t>
      </w:r>
    </w:p>
    <w:p>
      <w:pPr>
        <w:pStyle w:val="Heading5"/>
      </w:pPr>
      <w:bookmarkStart w:id="50" w:name="pagebreak"/>
      <w:r>
        <w:t xml:space="preserve">pagebreak</w:t>
      </w:r>
      <w:bookmarkEnd w:id="50"/>
    </w:p>
    <w:p>
      <w:pPr>
        <w:pStyle w:val="Heading1"/>
      </w:pPr>
      <w:bookmarkStart w:id="51" w:name="references"/>
      <w:r>
        <w:t xml:space="preserve">References</w:t>
      </w:r>
      <w:bookmarkEnd w:id="51"/>
    </w:p>
    <w:bookmarkStart w:id="87" w:name="refs"/>
    <w:bookmarkStart w:id="53" w:name="ref-Bouman2001"/>
    <w:p>
      <w:pPr>
        <w:pStyle w:val="Bibliography"/>
      </w:pPr>
      <w:r>
        <w:t xml:space="preserve">Bouman, B. A. M., &amp; Tuong, T. P.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52">
        <w:r>
          <w:rPr>
            <w:rStyle w:val="Hyperlink"/>
          </w:rPr>
          <w:t xml:space="preserve">10.1016/S0378-3774(00)00128-1</w:t>
        </w:r>
      </w:hyperlink>
    </w:p>
    <w:bookmarkEnd w:id="53"/>
    <w:bookmarkStart w:id="54" w:name="ref-Castilla1996"/>
    <w:p>
      <w:pPr>
        <w:pStyle w:val="Bibliography"/>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4"/>
    <w:bookmarkStart w:id="56" w:name="ref-deMendiburu2017"/>
    <w:p>
      <w:pPr>
        <w:pStyle w:val="Bibliography"/>
      </w:pPr>
      <w:r>
        <w:t xml:space="preserve">de Mendiburu, F. (2017).</w:t>
      </w:r>
      <w:r>
        <w:t xml:space="preserve"> </w:t>
      </w:r>
      <w:r>
        <w:rPr>
          <w:i/>
        </w:rPr>
        <w:t xml:space="preserve">agricolae: Statistical Procedures for Agricultural Research</w:t>
      </w:r>
      <w:r>
        <w:t xml:space="preserve">.</w:t>
      </w:r>
      <w:r>
        <w:t xml:space="preserve"> </w:t>
      </w:r>
      <w:hyperlink r:id="rId55">
        <w:r>
          <w:rPr>
            <w:rStyle w:val="Hyperlink"/>
          </w:rPr>
          <w:t xml:space="preserve">https://CRAN.R-project.org/package=agricolae</w:t>
        </w:r>
      </w:hyperlink>
    </w:p>
    <w:bookmarkEnd w:id="56"/>
    <w:bookmarkStart w:id="58" w:name="ref-Duku2016"/>
    <w:p>
      <w:pPr>
        <w:pStyle w:val="Bibliography"/>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7">
        <w:r>
          <w:rPr>
            <w:rStyle w:val="Hyperlink"/>
          </w:rPr>
          <w:t xml:space="preserve">10.1007/s10584-015-1580-2</w:t>
        </w:r>
      </w:hyperlink>
    </w:p>
    <w:bookmarkEnd w:id="58"/>
    <w:bookmarkStart w:id="59" w:name="ref-Groth2008"/>
    <w:p>
      <w:pPr>
        <w:pStyle w:val="Bibliography"/>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9"/>
    <w:bookmarkStart w:id="61" w:name="ref-MCMCglmm2010"/>
    <w:p>
      <w:pPr>
        <w:pStyle w:val="Bibliography"/>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60">
        <w:r>
          <w:rPr>
            <w:rStyle w:val="Hyperlink"/>
          </w:rPr>
          <w:t xml:space="preserve">http://www.jstatsoft.org/v33/i02/</w:t>
        </w:r>
      </w:hyperlink>
    </w:p>
    <w:bookmarkEnd w:id="61"/>
    <w:bookmarkStart w:id="62" w:name="ref-kim2015predicting"/>
    <w:p>
      <w:pPr>
        <w:pStyle w:val="Bibliography"/>
      </w:pPr>
      <w:r>
        <w:t xml:space="preserve">Kim, K.-H., Cho, J., Lee, Y. H., &amp; Lee, W.-S. (2015). Predicting potential epidemics of rice leaf blast and sheath blight in South Korea under the RCP 4.5 and RCP 8.5 climate change scenarios using a rice disease epidemiology model, EPIRICE.</w:t>
      </w:r>
      <w:r>
        <w:t xml:space="preserve"> </w:t>
      </w:r>
      <w:r>
        <w:rPr>
          <w:i/>
        </w:rPr>
        <w:t xml:space="preserve">Agricultural and forest meteorology</w:t>
      </w:r>
      <w:r>
        <w:t xml:space="preserve">,</w:t>
      </w:r>
      <w:r>
        <w:t xml:space="preserve"> </w:t>
      </w:r>
      <w:r>
        <w:rPr>
          <w:i/>
        </w:rPr>
        <w:t xml:space="preserve">203</w:t>
      </w:r>
      <w:r>
        <w:t xml:space="preserve">, 191–207.</w:t>
      </w:r>
    </w:p>
    <w:bookmarkEnd w:id="62"/>
    <w:bookmarkStart w:id="63" w:name="ref-Kumar2009"/>
    <w:p>
      <w:pPr>
        <w:pStyle w:val="Bibliography"/>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63"/>
    <w:bookmarkStart w:id="65" w:name="ref-Feng2007"/>
    <w:p>
      <w:pPr>
        <w:pStyle w:val="Bibliography"/>
      </w:pPr>
      <w:r>
        <w:t xml:space="preserve">Liping, F., Bouman, B. A. M., Tuong, T. P., Cabangon, R. J.,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64">
        <w:r>
          <w:rPr>
            <w:rStyle w:val="Hyperlink"/>
          </w:rPr>
          <w:t xml:space="preserve">10.1016/j.agwat.2006.10.006</w:t>
        </w:r>
      </w:hyperlink>
    </w:p>
    <w:bookmarkEnd w:id="65"/>
    <w:bookmarkStart w:id="66" w:name="ref-luo1998effects"/>
    <w:p>
      <w:pPr>
        <w:pStyle w:val="Bibliography"/>
      </w:pPr>
      <w:r>
        <w:t xml:space="preserve">Luo, Y., Teng, P. S., Fabellar, N. G., &amp; TeBeest, D. O. (1998). The effects of global temperature change on rice leaf blast epidemics: A simulation study in three agroecological zones.</w:t>
      </w:r>
      <w:r>
        <w:t xml:space="preserve"> </w:t>
      </w:r>
      <w:r>
        <w:rPr>
          <w:i/>
        </w:rPr>
        <w:t xml:space="preserve">Agriculture, Ecosystems &amp; Environment</w:t>
      </w:r>
      <w:r>
        <w:t xml:space="preserve">,</w:t>
      </w:r>
      <w:r>
        <w:t xml:space="preserve"> </w:t>
      </w:r>
      <w:r>
        <w:rPr>
          <w:i/>
        </w:rPr>
        <w:t xml:space="preserve">68</w:t>
      </w:r>
      <w:r>
        <w:t xml:space="preserve">(3), 187–196.</w:t>
      </w:r>
    </w:p>
    <w:bookmarkEnd w:id="66"/>
    <w:bookmarkStart w:id="67" w:name="ref-Marchetti1991"/>
    <w:p>
      <w:pPr>
        <w:pStyle w:val="Bibliography"/>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7"/>
    <w:bookmarkStart w:id="69" w:name="ref-MOEF2015"/>
    <w:p>
      <w:pPr>
        <w:pStyle w:val="Bibliography"/>
      </w:pPr>
      <w:r>
        <w:t xml:space="preserve">Ministry of Environment and Forests (MOEF) Government of the People’s Republic of Bangladesh. (2015). Intended nationally determined contributions (INDC).</w:t>
      </w:r>
      <w:r>
        <w:t xml:space="preserve"> </w:t>
      </w:r>
      <w:hyperlink r:id="rId68">
        <w:r>
          <w:rPr>
            <w:rStyle w:val="Hyperlink"/>
          </w:rPr>
          <w:t xml:space="preserve">http://www4.unfccc.int/ndcregistry/PublishedDocuments/Bangladesh%20First/INDC_2015_of_Bangladesh.pdf</w:t>
        </w:r>
      </w:hyperlink>
    </w:p>
    <w:bookmarkEnd w:id="69"/>
    <w:bookmarkStart w:id="71" w:name="ref-coda2006"/>
    <w:p>
      <w:pPr>
        <w:pStyle w:val="Bibliography"/>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70">
        <w:r>
          <w:rPr>
            <w:rStyle w:val="Hyperlink"/>
          </w:rPr>
          <w:t xml:space="preserve">https://journal.r-project.org/archive/</w:t>
        </w:r>
      </w:hyperlink>
    </w:p>
    <w:bookmarkEnd w:id="71"/>
    <w:bookmarkStart w:id="73" w:name="ref-R2018"/>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72">
        <w:r>
          <w:rPr>
            <w:rStyle w:val="Hyperlink"/>
          </w:rPr>
          <w:t xml:space="preserve">https://www.R-project.org/</w:t>
        </w:r>
      </w:hyperlink>
    </w:p>
    <w:bookmarkEnd w:id="73"/>
    <w:bookmarkStart w:id="74" w:name="ref-Richards2014"/>
    <w:p>
      <w:pPr>
        <w:pStyle w:val="Bibliography"/>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74"/>
    <w:bookmarkStart w:id="75" w:name="ref-Rush1983"/>
    <w:p>
      <w:pPr>
        <w:pStyle w:val="Bibliography"/>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5"/>
    <w:bookmarkStart w:id="76" w:name="ref-Sander2015"/>
    <w:p>
      <w:pPr>
        <w:pStyle w:val="Bibliography"/>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6"/>
    <w:bookmarkStart w:id="77" w:name="ref-Savary2000"/>
    <w:p>
      <w:pPr>
        <w:pStyle w:val="Bibliography"/>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7"/>
    <w:bookmarkStart w:id="78" w:name="ref-simko2012area"/>
    <w:p>
      <w:pPr>
        <w:pStyle w:val="Bibliography"/>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8"/>
    <w:bookmarkStart w:id="79" w:name="ref-Slaton2003"/>
    <w:p>
      <w:pPr>
        <w:pStyle w:val="Bibliography"/>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9"/>
    <w:bookmarkStart w:id="80" w:name="ref-Sparks2019"/>
    <w:p>
      <w:pPr>
        <w:pStyle w:val="Bibliography"/>
      </w:pPr>
      <w:r>
        <w:t xml:space="preserve">Sparks, A. H., Castilla, N. P., &amp; Sander, B. O. (2019). Reproducible research compendium for analysing effects of water management and nitrogen on rice sheath blight.</w:t>
      </w:r>
    </w:p>
    <w:bookmarkEnd w:id="80"/>
    <w:bookmarkStart w:id="82" w:name="ref-Srinivasachary2011"/>
    <w:p>
      <w:pPr>
        <w:pStyle w:val="Bibliography"/>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81">
        <w:r>
          <w:rPr>
            <w:rStyle w:val="Hyperlink"/>
          </w:rPr>
          <w:t xml:space="preserve">10.1007/s10681-010-0296-7</w:t>
        </w:r>
      </w:hyperlink>
    </w:p>
    <w:bookmarkEnd w:id="82"/>
    <w:bookmarkStart w:id="83" w:name="ref-Tang2007"/>
    <w:p>
      <w:pPr>
        <w:pStyle w:val="Bibliography"/>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83"/>
    <w:bookmarkStart w:id="84" w:name="ref-Willocquet2000"/>
    <w:p>
      <w:pPr>
        <w:pStyle w:val="Bibliography"/>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84"/>
    <w:bookmarkStart w:id="86" w:name="ref-Yan2005"/>
    <w:p>
      <w:pPr>
        <w:pStyle w:val="Bibliography"/>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5">
        <w:r>
          <w:rPr>
            <w:rStyle w:val="Hyperlink"/>
          </w:rPr>
          <w:t xml:space="preserve">10.1111/j.1365-2486.2005.00976.x</w:t>
        </w:r>
      </w:hyperlink>
    </w:p>
    <w:bookmarkEnd w:id="86"/>
    <w:bookmarkEnd w:id="87"/>
    <w:p>
      <w:pPr>
        <w:pStyle w:val="Heading5"/>
      </w:pPr>
      <w:bookmarkStart w:id="88" w:name="pagebreak-1"/>
      <w:r>
        <w:t xml:space="preserve">pagebreak</w:t>
      </w:r>
      <w:bookmarkEnd w:id="88"/>
    </w:p>
    <w:p>
      <w:pPr>
        <w:pStyle w:val="Heading1"/>
      </w:pPr>
      <w:bookmarkStart w:id="89" w:name="tables"/>
      <w:r>
        <w:t xml:space="preserve">Tables</w:t>
      </w:r>
      <w:bookmarkEnd w:id="89"/>
    </w:p>
    <w:p>
      <w:pPr>
        <w:pStyle w:val="TableCaption"/>
      </w:pPr>
      <w:r>
        <w:t xml:space="preserve">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 (continued below)</w:t>
      </w:r>
    </w:p>
    <w:tbl>
      <w:tblPr>
        <w:tblStyle w:val="Table"/>
        <w:tblW w:type="pct" w:w="5000.0"/>
        <w:tblLook w:firstRow="1"/>
        <w:tblCaption w:val="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 (continued below)"/>
      </w:tblPr>
      <w:tblGrid>
        <w:gridCol w:w="1146"/>
        <w:gridCol w:w="729"/>
        <w:gridCol w:w="1875"/>
        <w:gridCol w:w="1875"/>
        <w:gridCol w:w="2292"/>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Total N (kg/ha)</w:t>
            </w:r>
          </w:p>
        </w:tc>
        <w:tc>
          <w:tcPr>
            <w:tcBorders>
              <w:bottom w:val="single"/>
            </w:tcBorders>
            <w:vAlign w:val="bottom"/>
          </w:tcPr>
          <w:p>
            <w:pPr>
              <w:pStyle w:val="Compact"/>
              <w:jc w:val="center"/>
            </w:pPr>
            <w:r>
              <w:t xml:space="preserve">Basal N (kg/ha)</w:t>
            </w:r>
          </w:p>
        </w:tc>
        <w:tc>
          <w:tcPr>
            <w:tcBorders>
              <w:bottom w:val="single"/>
            </w:tcBorders>
            <w:vAlign w:val="bottom"/>
          </w:tcPr>
          <w:p>
            <w:pPr>
              <w:pStyle w:val="Compact"/>
              <w:jc w:val="center"/>
            </w:pPr>
            <w:r>
              <w:t xml:space="preserve">Tillering N (kg/ha)</w:t>
            </w:r>
          </w:p>
        </w:tc>
      </w:tr>
      <w:tr>
        <w:tc>
          <w:p>
            <w:pPr>
              <w:pStyle w:val="Compact"/>
              <w:jc w:val="center"/>
            </w:pPr>
            <w:r>
              <w:rPr>
                <w:b/>
              </w:rPr>
              <w:t xml:space="preserve">N0</w:t>
            </w:r>
          </w:p>
        </w:tc>
        <w:tc>
          <w:p>
            <w:pPr>
              <w:pStyle w:val="Compact"/>
              <w:jc w:val="center"/>
            </w:pPr>
            <w:r>
              <w:t xml:space="preserve">2015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N100</w:t>
            </w:r>
          </w:p>
        </w:tc>
        <w:tc>
          <w:p>
            <w:pPr>
              <w:pStyle w:val="Compact"/>
              <w:jc w:val="center"/>
            </w:pPr>
            <w:r>
              <w:t xml:space="preserve">2015</w:t>
            </w:r>
          </w:p>
        </w:tc>
        <w:tc>
          <w:p>
            <w:pPr>
              <w:pStyle w:val="Compact"/>
              <w:jc w:val="center"/>
            </w:pPr>
            <w:r>
              <w:t xml:space="preserve">100</w:t>
            </w:r>
          </w:p>
        </w:tc>
        <w:tc>
          <w:p>
            <w:pPr>
              <w:pStyle w:val="Compact"/>
              <w:jc w:val="center"/>
            </w:pPr>
            <w:r>
              <w:t xml:space="preserve">60</w:t>
            </w:r>
          </w:p>
        </w:tc>
        <w:tc>
          <w:p>
            <w:pPr>
              <w:pStyle w:val="Compact"/>
              <w:jc w:val="center"/>
            </w:pPr>
            <w:r>
              <w:t xml:space="preserve">20</w:t>
            </w:r>
          </w:p>
        </w:tc>
      </w:tr>
      <w:tr>
        <w:tc>
          <w:p>
            <w:pPr>
              <w:pStyle w:val="Compact"/>
              <w:jc w:val="center"/>
            </w:pPr>
            <w:r>
              <w:rPr>
                <w:b/>
              </w:rPr>
              <w:t xml:space="preserve">N120</w:t>
            </w:r>
          </w:p>
        </w:tc>
        <w:tc>
          <w:p>
            <w:pPr>
              <w:pStyle w:val="Compact"/>
              <w:jc w:val="center"/>
            </w:pPr>
            <w:r>
              <w:t xml:space="preserve">2015</w:t>
            </w:r>
          </w:p>
        </w:tc>
        <w:tc>
          <w:p>
            <w:pPr>
              <w:pStyle w:val="Compact"/>
              <w:jc w:val="center"/>
            </w:pPr>
            <w:r>
              <w:t xml:space="preserve">120</w:t>
            </w:r>
          </w:p>
        </w:tc>
        <w:tc>
          <w:p>
            <w:pPr>
              <w:pStyle w:val="Compact"/>
              <w:jc w:val="center"/>
            </w:pPr>
            <w:r>
              <w:t xml:space="preserve">60</w:t>
            </w:r>
          </w:p>
        </w:tc>
        <w:tc>
          <w:p>
            <w:pPr>
              <w:pStyle w:val="Compact"/>
              <w:jc w:val="center"/>
            </w:pPr>
            <w:r>
              <w:t xml:space="preserve">30</w:t>
            </w:r>
          </w:p>
        </w:tc>
      </w:tr>
      <w:tr>
        <w:tc>
          <w:p>
            <w:pPr>
              <w:pStyle w:val="Compact"/>
              <w:jc w:val="center"/>
            </w:pPr>
            <w:r>
              <w:rPr>
                <w:b/>
              </w:rPr>
              <w:t xml:space="preserve">N60</w:t>
            </w:r>
          </w:p>
        </w:tc>
        <w:tc>
          <w:p>
            <w:pPr>
              <w:pStyle w:val="Compact"/>
              <w:jc w:val="center"/>
            </w:pPr>
            <w:r>
              <w:t xml:space="preserve">2016</w:t>
            </w:r>
          </w:p>
        </w:tc>
        <w:tc>
          <w:p>
            <w:pPr>
              <w:pStyle w:val="Compact"/>
              <w:jc w:val="center"/>
            </w:pPr>
            <w:r>
              <w:t xml:space="preserve">60</w:t>
            </w:r>
          </w:p>
        </w:tc>
        <w:tc>
          <w:p>
            <w:pPr>
              <w:pStyle w:val="Compact"/>
              <w:jc w:val="center"/>
            </w:pPr>
            <w:r>
              <w:t xml:space="preserve">30</w:t>
            </w:r>
          </w:p>
        </w:tc>
        <w:tc>
          <w:p>
            <w:pPr>
              <w:pStyle w:val="Compact"/>
              <w:jc w:val="center"/>
            </w:pPr>
            <w:r>
              <w:t xml:space="preserve">30</w:t>
            </w:r>
          </w:p>
        </w:tc>
      </w:tr>
      <w:tr>
        <w:tc>
          <w:p>
            <w:pPr>
              <w:pStyle w:val="Compact"/>
              <w:jc w:val="center"/>
            </w:pPr>
            <w:r>
              <w:rPr>
                <w:b/>
              </w:rPr>
              <w:t xml:space="preserve">N180</w:t>
            </w:r>
          </w:p>
        </w:tc>
        <w:tc>
          <w:p>
            <w:pPr>
              <w:pStyle w:val="Compact"/>
              <w:jc w:val="center"/>
            </w:pPr>
            <w:r>
              <w:t xml:space="preserve">2016</w:t>
            </w:r>
          </w:p>
        </w:tc>
        <w:tc>
          <w:p>
            <w:pPr>
              <w:pStyle w:val="Compact"/>
              <w:jc w:val="center"/>
            </w:pPr>
            <w:r>
              <w:t xml:space="preserve">180</w:t>
            </w:r>
          </w:p>
        </w:tc>
        <w:tc>
          <w:p>
            <w:pPr>
              <w:pStyle w:val="Compact"/>
              <w:jc w:val="center"/>
            </w:pPr>
            <w:r>
              <w:t xml:space="preserve">60</w:t>
            </w:r>
          </w:p>
        </w:tc>
        <w:tc>
          <w:p>
            <w:pPr>
              <w:pStyle w:val="Compact"/>
              <w:jc w:val="center"/>
            </w:pPr>
            <w:r>
              <w:t xml:space="preserve">60</w:t>
            </w:r>
          </w:p>
        </w:tc>
      </w:tr>
    </w:tbl>
    <w:tbl>
      <w:tblPr>
        <w:tblStyle w:val="Table"/>
        <w:tblW w:type="pct" w:w="2916.666666666667"/>
        <w:tblLook w:firstRow="1"/>
      </w:tblPr>
      <w:tblGrid>
        <w:gridCol w:w="1210"/>
        <w:gridCol w:w="34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Panicle Initiation N (kg/ha)</w:t>
            </w:r>
          </w:p>
        </w:tc>
      </w:tr>
      <w:tr>
        <w:tc>
          <w:p>
            <w:pPr>
              <w:pStyle w:val="Compact"/>
              <w:jc w:val="center"/>
            </w:pPr>
            <w:r>
              <w:rPr>
                <w:b/>
              </w:rPr>
              <w:t xml:space="preserve">N0</w:t>
            </w:r>
          </w:p>
        </w:tc>
        <w:tc>
          <w:p>
            <w:pPr>
              <w:pStyle w:val="Compact"/>
              <w:jc w:val="center"/>
            </w:pPr>
            <w:r>
              <w:t xml:space="preserve">0</w:t>
            </w:r>
          </w:p>
        </w:tc>
      </w:tr>
      <w:tr>
        <w:tc>
          <w:p>
            <w:pPr>
              <w:pStyle w:val="Compact"/>
              <w:jc w:val="center"/>
            </w:pPr>
            <w:r>
              <w:rPr>
                <w:b/>
              </w:rPr>
              <w:t xml:space="preserve">N100</w:t>
            </w:r>
          </w:p>
        </w:tc>
        <w:tc>
          <w:p>
            <w:pPr>
              <w:pStyle w:val="Compact"/>
              <w:jc w:val="center"/>
            </w:pPr>
            <w:r>
              <w:t xml:space="preserve">20</w:t>
            </w:r>
          </w:p>
        </w:tc>
      </w:tr>
      <w:tr>
        <w:tc>
          <w:p>
            <w:pPr>
              <w:pStyle w:val="Compact"/>
              <w:jc w:val="center"/>
            </w:pPr>
            <w:r>
              <w:rPr>
                <w:b/>
              </w:rPr>
              <w:t xml:space="preserve">N120</w:t>
            </w:r>
          </w:p>
        </w:tc>
        <w:tc>
          <w:p>
            <w:pPr>
              <w:pStyle w:val="Compact"/>
              <w:jc w:val="center"/>
            </w:pPr>
            <w:r>
              <w:t xml:space="preserve">30</w:t>
            </w:r>
          </w:p>
        </w:tc>
      </w:tr>
      <w:tr>
        <w:tc>
          <w:p>
            <w:pPr>
              <w:pStyle w:val="Compact"/>
              <w:jc w:val="center"/>
            </w:pPr>
            <w:r>
              <w:rPr>
                <w:b/>
              </w:rPr>
              <w:t xml:space="preserve">N60</w:t>
            </w:r>
          </w:p>
        </w:tc>
        <w:tc>
          <w:p>
            <w:pPr>
              <w:pStyle w:val="Compact"/>
              <w:jc w:val="center"/>
            </w:pPr>
            <w:r>
              <w:t xml:space="preserve">0</w:t>
            </w:r>
          </w:p>
        </w:tc>
      </w:tr>
      <w:tr>
        <w:tc>
          <w:p>
            <w:pPr>
              <w:pStyle w:val="Compact"/>
              <w:jc w:val="center"/>
            </w:pPr>
            <w:r>
              <w:rPr>
                <w:b/>
              </w:rPr>
              <w:t xml:space="preserve">N180</w:t>
            </w:r>
          </w:p>
        </w:tc>
        <w:tc>
          <w:p>
            <w:pPr>
              <w:pStyle w:val="Compact"/>
              <w:jc w:val="center"/>
            </w:pPr>
            <w:r>
              <w:t xml:space="preserve">60</w:t>
            </w:r>
          </w:p>
        </w:tc>
      </w:tr>
    </w:tbl>
    <w:p>
      <w:pPr>
        <w:pStyle w:val="Heading5"/>
      </w:pPr>
      <w:bookmarkStart w:id="90" w:name="pagebreak-2"/>
      <w:r>
        <w:t xml:space="preserve">pagebreak</w:t>
      </w:r>
      <w:bookmarkEnd w:id="90"/>
    </w:p>
    <w:p>
      <w:pPr>
        <w:pStyle w:val="Heading1"/>
      </w:pPr>
      <w:bookmarkStart w:id="91" w:name="figures"/>
      <w:r>
        <w:t xml:space="preserve">Figures</w:t>
      </w:r>
      <w:bookmarkEnd w:id="91"/>
    </w:p>
    <w:p>
      <w:pPr>
        <w:pStyle w:val="Heading5"/>
      </w:pPr>
      <w:bookmarkStart w:id="92" w:name="X250cf1604db52dec609c050235aaf3abe0a97ce"/>
      <w:r>
        <w:t xml:space="preserve">Sheath blight progress for water management treatments</w:t>
      </w:r>
      <w:bookmarkEnd w:id="92"/>
    </w:p>
    <w:p>
      <w:pPr>
        <w:pStyle w:val="CaptionedFigure"/>
      </w:pPr>
      <w:r>
        <w:drawing>
          <wp:inline>
            <wp:extent cx="3022600" cy="3657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3"/>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Heading5"/>
      </w:pPr>
      <w:bookmarkStart w:id="94" w:name="sheath-blight-progress-for-n-treatments"/>
      <w:r>
        <w:t xml:space="preserve">Sheath blight progress for N treatments</w:t>
      </w:r>
      <w:bookmarkEnd w:id="94"/>
    </w:p>
    <w:p>
      <w:pPr>
        <w:pStyle w:val="CaptionedFigure"/>
      </w:pPr>
      <w:r>
        <w:drawing>
          <wp:inline>
            <wp:extent cx="30226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5"/>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w:t>
      </w:r>
    </w:p>
    <w:p>
      <w:pPr>
        <w:pStyle w:val="Heading5"/>
      </w:pPr>
      <w:bookmarkStart w:id="96" w:name="Xa9bc6d3442501d25fe18dcc0e12784ccf28ad94"/>
      <w:r>
        <w:t xml:space="preserve">Sheath Blight Incidence Boxplot for water management</w:t>
      </w:r>
      <w:bookmarkEnd w:id="96"/>
    </w:p>
    <w:p>
      <w:pPr>
        <w:pStyle w:val="CaptionedFigure"/>
      </w:pPr>
      <w:r>
        <w:drawing>
          <wp:inline>
            <wp:extent cx="30226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7"/>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Heading5"/>
      </w:pPr>
      <w:bookmarkStart w:id="98" w:name="X2908dfe5f8abf1b6a73b98de8a3b8664b74c8e5"/>
      <w:r>
        <w:t xml:space="preserve">Tiller sheath blight incidence boxplot for N rate</w:t>
      </w:r>
      <w:bookmarkEnd w:id="98"/>
    </w:p>
    <w:p>
      <w:pPr>
        <w:pStyle w:val="CaptionedFigure"/>
      </w:pPr>
      <w:r>
        <w:drawing>
          <wp:inline>
            <wp:extent cx="30226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9"/>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0" w:name="tiller-estimates-plots"/>
      <w:r>
        <w:t xml:space="preserve">Tiller Estimates Plots</w:t>
      </w:r>
      <w:bookmarkEnd w:id="100"/>
    </w:p>
    <w:p>
      <w:pPr>
        <w:pStyle w:val="CaptionedFigure"/>
      </w:pPr>
      <w:r>
        <w:drawing>
          <wp:inline>
            <wp:extent cx="3022600" cy="3657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101"/>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2" w:name="leaf-estimates-plots"/>
      <w:r>
        <w:t xml:space="preserve">Leaf estimates plots</w:t>
      </w:r>
      <w:bookmarkEnd w:id="102"/>
    </w:p>
    <w:p>
      <w:pPr>
        <w:pStyle w:val="CaptionedFigure"/>
      </w:pPr>
      <w:r>
        <w:drawing>
          <wp:inline>
            <wp:extent cx="3022600" cy="3657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103"/>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4" w:name="pagebreak-3"/>
      <w:r>
        <w:t xml:space="preserve">pagebreak</w:t>
      </w:r>
      <w:bookmarkEnd w:id="104"/>
    </w:p>
    <w:p>
      <w:pPr>
        <w:pStyle w:val="Heading3"/>
      </w:pPr>
      <w:bookmarkStart w:id="105" w:name="colophon"/>
      <w:r>
        <w:t xml:space="preserve">Colophon</w:t>
      </w:r>
      <w:bookmarkEnd w:id="105"/>
    </w:p>
    <w:p>
      <w:pPr>
        <w:pStyle w:val="FirstParagraph"/>
      </w:pPr>
      <w:r>
        <w:t xml:space="preserve">This report was generated on 2019-06-18 06:29:35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3.6.0 (2019-04-26)</w:t>
      </w:r>
      <w:r>
        <w:br/>
      </w:r>
      <w:r>
        <w:rPr>
          <w:rStyle w:val="VerbatimChar"/>
        </w:rPr>
        <w:t xml:space="preserve">#&gt;  os       macOS Mojave 10.14.5        </w:t>
      </w:r>
      <w:r>
        <w:br/>
      </w:r>
      <w:r>
        <w:rPr>
          <w:rStyle w:val="VerbatimChar"/>
        </w:rPr>
        <w:t xml:space="preserve">#&gt;  system   x86_64, darwin15.6.0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2019-06-18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3.6.0)</w:t>
      </w:r>
      <w:r>
        <w:br/>
      </w:r>
      <w:r>
        <w:rPr>
          <w:rStyle w:val="VerbatimChar"/>
        </w:rPr>
        <w:t xml:space="preserve">#&gt;  bookdown       * 0.11       2019-05-28 [1] CRAN (R 3.6.0)</w:t>
      </w:r>
      <w:r>
        <w:br/>
      </w:r>
      <w:r>
        <w:rPr>
          <w:rStyle w:val="VerbatimChar"/>
        </w:rPr>
        <w:t xml:space="preserve">#&gt;  cli              1.1.0      2019-03-19 [1] CRAN (R 3.6.0)</w:t>
      </w:r>
      <w:r>
        <w:br/>
      </w:r>
      <w:r>
        <w:rPr>
          <w:rStyle w:val="VerbatimChar"/>
        </w:rPr>
        <w:t xml:space="preserve">#&gt;  coda           * 0.19-2     2018-10-08 [1] CRAN (R 3.6.0)</w:t>
      </w:r>
      <w:r>
        <w:br/>
      </w:r>
      <w:r>
        <w:rPr>
          <w:rStyle w:val="VerbatimChar"/>
        </w:rPr>
        <w:t xml:space="preserve">#&gt;  colorspace       1.4-1      2019-03-18 [1] CRAN (R 3.6.0)</w:t>
      </w:r>
      <w:r>
        <w:br/>
      </w:r>
      <w:r>
        <w:rPr>
          <w:rStyle w:val="VerbatimChar"/>
        </w:rPr>
        <w:t xml:space="preserve">#&gt;  crayon           1.3.4      2017-09-16 [1] CRAN (R 3.6.0)</w:t>
      </w:r>
      <w:r>
        <w:br/>
      </w:r>
      <w:r>
        <w:rPr>
          <w:rStyle w:val="VerbatimChar"/>
        </w:rPr>
        <w:t xml:space="preserve">#&gt;  digest           0.6.19     2019-05-20 [1] CRAN (R 3.6.0)</w:t>
      </w:r>
      <w:r>
        <w:br/>
      </w:r>
      <w:r>
        <w:rPr>
          <w:rStyle w:val="VerbatimChar"/>
        </w:rPr>
        <w:t xml:space="preserve">#&gt;  dplyr            0.8.1      2019-05-14 [1] CRAN (R 3.6.0)</w:t>
      </w:r>
      <w:r>
        <w:br/>
      </w:r>
      <w:r>
        <w:rPr>
          <w:rStyle w:val="VerbatimChar"/>
        </w:rPr>
        <w:t xml:space="preserve">#&gt;  evaluate         0.14       2019-05-28 [1] CRAN (R 3.6.0)</w:t>
      </w:r>
      <w:r>
        <w:br/>
      </w:r>
      <w:r>
        <w:rPr>
          <w:rStyle w:val="VerbatimChar"/>
        </w:rPr>
        <w:t xml:space="preserve">#&gt;  ggplot2        * 3.2.0      2019-06-16 [1] CRAN (R 3.6.0)</w:t>
      </w:r>
      <w:r>
        <w:br/>
      </w:r>
      <w:r>
        <w:rPr>
          <w:rStyle w:val="VerbatimChar"/>
        </w:rPr>
        <w:t xml:space="preserve">#&gt;  ggpubr         * 0.2        2018-11-15 [1] CRAN (R 3.6.0)</w:t>
      </w:r>
      <w:r>
        <w:br/>
      </w:r>
      <w:r>
        <w:rPr>
          <w:rStyle w:val="VerbatimChar"/>
        </w:rPr>
        <w:t xml:space="preserve">#&gt;  glue             1.3.1      2019-03-12 [1] CRAN (R 3.6.0)</w:t>
      </w:r>
      <w:r>
        <w:br/>
      </w:r>
      <w:r>
        <w:rPr>
          <w:rStyle w:val="VerbatimChar"/>
        </w:rPr>
        <w:t xml:space="preserve">#&gt;  gridExtra      * 2.3        2017-09-09 [1] CRAN (R 3.6.0)</w:t>
      </w:r>
      <w:r>
        <w:br/>
      </w:r>
      <w:r>
        <w:rPr>
          <w:rStyle w:val="VerbatimChar"/>
        </w:rPr>
        <w:t xml:space="preserve">#&gt;  gtable           0.3.0      2019-03-25 [1] CRAN (R 3.6.0)</w:t>
      </w:r>
      <w:r>
        <w:br/>
      </w:r>
      <w:r>
        <w:rPr>
          <w:rStyle w:val="VerbatimChar"/>
        </w:rPr>
        <w:t xml:space="preserve">#&gt;  highr            0.8        2019-03-20 [1] CRAN (R 3.6.0)</w:t>
      </w:r>
      <w:r>
        <w:br/>
      </w:r>
      <w:r>
        <w:rPr>
          <w:rStyle w:val="VerbatimChar"/>
        </w:rPr>
        <w:t xml:space="preserve">#&gt;  htmltools        0.3.6      2017-04-28 [1] CRAN (R 3.6.0)</w:t>
      </w:r>
      <w:r>
        <w:br/>
      </w:r>
      <w:r>
        <w:rPr>
          <w:rStyle w:val="VerbatimChar"/>
        </w:rPr>
        <w:t xml:space="preserve">#&gt;  knitr          * 1.23       2019-05-18 [1] CRAN (R 3.6.0)</w:t>
      </w:r>
      <w:r>
        <w:br/>
      </w:r>
      <w:r>
        <w:rPr>
          <w:rStyle w:val="VerbatimChar"/>
        </w:rPr>
        <w:t xml:space="preserve">#&gt;  labeling         0.3        2014-08-23 [1] CRAN (R 3.6.0)</w:t>
      </w:r>
      <w:r>
        <w:br/>
      </w:r>
      <w:r>
        <w:rPr>
          <w:rStyle w:val="VerbatimChar"/>
        </w:rPr>
        <w:t xml:space="preserve">#&gt;  lattice          0.20-38    2018-11-04 [2] CRAN (R 3.6.0)</w:t>
      </w:r>
      <w:r>
        <w:br/>
      </w:r>
      <w:r>
        <w:rPr>
          <w:rStyle w:val="VerbatimChar"/>
        </w:rPr>
        <w:t xml:space="preserve">#&gt;  lazyeval         0.2.2      2019-03-15 [1] CRAN (R 3.6.0)</w:t>
      </w:r>
      <w:r>
        <w:br/>
      </w:r>
      <w:r>
        <w:rPr>
          <w:rStyle w:val="VerbatimChar"/>
        </w:rPr>
        <w:t xml:space="preserve">#&gt;  magrittr       * 1.5        2014-11-22 [1] CRAN (R 3.6.0)</w:t>
      </w:r>
      <w:r>
        <w:br/>
      </w:r>
      <w:r>
        <w:rPr>
          <w:rStyle w:val="VerbatimChar"/>
        </w:rPr>
        <w:t xml:space="preserve">#&gt;  munsell          0.5.0      2018-06-12 [1] CRAN (R 3.6.0)</w:t>
      </w:r>
      <w:r>
        <w:br/>
      </w:r>
      <w:r>
        <w:rPr>
          <w:rStyle w:val="VerbatimChar"/>
        </w:rPr>
        <w:t xml:space="preserve">#&gt;  pander         * 0.6.3      2018-11-06 [1] CRAN (R 3.6.0)</w:t>
      </w:r>
      <w:r>
        <w:br/>
      </w:r>
      <w:r>
        <w:rPr>
          <w:rStyle w:val="VerbatimChar"/>
        </w:rPr>
        <w:t xml:space="preserve">#&gt;  pillar           1.4.1      2019-05-28 [1] CRAN (R 3.6.0)</w:t>
      </w:r>
      <w:r>
        <w:br/>
      </w:r>
      <w:r>
        <w:rPr>
          <w:rStyle w:val="VerbatimChar"/>
        </w:rPr>
        <w:t xml:space="preserve">#&gt;  pkgconfig        2.0.2      2018-08-16 [1] CRAN (R 3.6.0)</w:t>
      </w:r>
      <w:r>
        <w:br/>
      </w:r>
      <w:r>
        <w:rPr>
          <w:rStyle w:val="VerbatimChar"/>
        </w:rPr>
        <w:t xml:space="preserve">#&gt;  plyr             1.8.4      2016-06-08 [1] CRAN (R 3.6.0)</w:t>
      </w:r>
      <w:r>
        <w:br/>
      </w:r>
      <w:r>
        <w:rPr>
          <w:rStyle w:val="VerbatimChar"/>
        </w:rPr>
        <w:t xml:space="preserve">#&gt;  purrr            0.3.2      2019-03-15 [1] CRAN (R 3.6.0)</w:t>
      </w:r>
      <w:r>
        <w:br/>
      </w:r>
      <w:r>
        <w:rPr>
          <w:rStyle w:val="VerbatimChar"/>
        </w:rPr>
        <w:t xml:space="preserve">#&gt;  R6               2.4.0      2019-02-14 [1] CRAN (R 3.6.0)</w:t>
      </w:r>
      <w:r>
        <w:br/>
      </w:r>
      <w:r>
        <w:rPr>
          <w:rStyle w:val="VerbatimChar"/>
        </w:rPr>
        <w:t xml:space="preserve">#&gt;  Rcpp             1.0.1      2019-03-17 [1] CRAN (R 3.6.0)</w:t>
      </w:r>
      <w:r>
        <w:br/>
      </w:r>
      <w:r>
        <w:rPr>
          <w:rStyle w:val="VerbatimChar"/>
        </w:rPr>
        <w:t xml:space="preserve">#&gt;  reshape2         1.4.3      2017-12-11 [1] CRAN (R 3.6.0)</w:t>
      </w:r>
      <w:r>
        <w:br/>
      </w:r>
      <w:r>
        <w:rPr>
          <w:rStyle w:val="VerbatimChar"/>
        </w:rPr>
        <w:t xml:space="preserve">#&gt;  rice.awd.pests * 0.0.0.9000 2019-06-17 [1] local         </w:t>
      </w:r>
      <w:r>
        <w:br/>
      </w:r>
      <w:r>
        <w:rPr>
          <w:rStyle w:val="VerbatimChar"/>
        </w:rPr>
        <w:t xml:space="preserve">#&gt;  rlang            0.3.4      2019-04-07 [1] CRAN (R 3.6.0)</w:t>
      </w:r>
      <w:r>
        <w:br/>
      </w:r>
      <w:r>
        <w:rPr>
          <w:rStyle w:val="VerbatimChar"/>
        </w:rPr>
        <w:t xml:space="preserve">#&gt;  rmarkdown        1.13       2019-05-22 [1] CRAN (R 3.6.0)</w:t>
      </w:r>
      <w:r>
        <w:br/>
      </w:r>
      <w:r>
        <w:rPr>
          <w:rStyle w:val="VerbatimChar"/>
        </w:rPr>
        <w:t xml:space="preserve">#&gt;  scales           1.0.0      2018-08-09 [1] CRAN (R 3.6.0)</w:t>
      </w:r>
      <w:r>
        <w:br/>
      </w:r>
      <w:r>
        <w:rPr>
          <w:rStyle w:val="VerbatimChar"/>
        </w:rPr>
        <w:t xml:space="preserve">#&gt;  sessioninfo      1.1.1      2018-11-05 [1] CRAN (R 3.6.0)</w:t>
      </w:r>
      <w:r>
        <w:br/>
      </w:r>
      <w:r>
        <w:rPr>
          <w:rStyle w:val="VerbatimChar"/>
        </w:rPr>
        <w:t xml:space="preserve">#&gt;  stringi          1.4.3      2019-03-12 [1] CRAN (R 3.6.0)</w:t>
      </w:r>
      <w:r>
        <w:br/>
      </w:r>
      <w:r>
        <w:rPr>
          <w:rStyle w:val="VerbatimChar"/>
        </w:rPr>
        <w:t xml:space="preserve">#&gt;  stringr          1.4.0      2019-02-10 [1] CRAN (R 3.6.0)</w:t>
      </w:r>
      <w:r>
        <w:br/>
      </w:r>
      <w:r>
        <w:rPr>
          <w:rStyle w:val="VerbatimChar"/>
        </w:rPr>
        <w:t xml:space="preserve">#&gt;  tibble           2.1.3      2019-06-06 [1] CRAN (R 3.6.0)</w:t>
      </w:r>
      <w:r>
        <w:br/>
      </w:r>
      <w:r>
        <w:rPr>
          <w:rStyle w:val="VerbatimChar"/>
        </w:rPr>
        <w:t xml:space="preserve">#&gt;  tidyselect       0.2.5      2018-10-11 [1] CRAN (R 3.6.0)</w:t>
      </w:r>
      <w:r>
        <w:br/>
      </w:r>
      <w:r>
        <w:rPr>
          <w:rStyle w:val="VerbatimChar"/>
        </w:rPr>
        <w:t xml:space="preserve">#&gt;  withr            2.1.2      2018-03-15 [1] CRAN (R 3.6.0)</w:t>
      </w:r>
      <w:r>
        <w:br/>
      </w:r>
      <w:r>
        <w:rPr>
          <w:rStyle w:val="VerbatimChar"/>
        </w:rPr>
        <w:t xml:space="preserve">#&gt;  xfun             0.7        2019-05-14 [1] CRAN (R 3.6.0)</w:t>
      </w:r>
      <w:r>
        <w:br/>
      </w:r>
      <w:r>
        <w:rPr>
          <w:rStyle w:val="VerbatimChar"/>
        </w:rPr>
        <w:t xml:space="preserve">#&gt;  yaml             2.2.0      2018-07-25 [1] CRAN (R 3.6.0)</w:t>
      </w:r>
      <w:r>
        <w:br/>
      </w:r>
      <w:r>
        <w:rPr>
          <w:rStyle w:val="VerbatimChar"/>
        </w:rPr>
        <w:t xml:space="preserve">#&gt; </w:t>
      </w:r>
      <w:r>
        <w:br/>
      </w:r>
      <w:r>
        <w:rPr>
          <w:rStyle w:val="VerbatimChar"/>
        </w:rPr>
        <w:t xml:space="preserve">#&gt; [1] /Users/adamsparks/Library/R/3.x/library</w:t>
      </w:r>
      <w:r>
        <w:br/>
      </w:r>
      <w:r>
        <w:rPr>
          <w:rStyle w:val="VerbatimChar"/>
        </w:rPr>
        <w:t xml:space="preserve">#&gt; [2]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/Users/adamsparks/Development/rice_awd_pests</w:t>
      </w:r>
      <w:r>
        <w:br/>
      </w:r>
      <w:r>
        <w:rPr>
          <w:rStyle w:val="VerbatimChar"/>
        </w:rPr>
        <w:t xml:space="preserve">#&gt; Remote:   master @ origin (git@github.com:adamhsparks/rice_awd_pests.git)</w:t>
      </w:r>
      <w:r>
        <w:br/>
      </w:r>
      <w:r>
        <w:rPr>
          <w:rStyle w:val="VerbatimChar"/>
        </w:rPr>
        <w:t xml:space="preserve">#&gt; Head:     [87ab707] 2019-06-17: Update figure sizes and legend positions and padding</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embedRegular r:id="rId1" w:fontKey="{EFED4DC5-C5B5-6C4E-B9FB-D8789584A05B}"/>
  </w:font>
  <w:font w:name="Times New Roman">
    <w:panose1 w:val="02020603050405020304"/>
    <w:charset w:val="00"/>
    <w:family w:val="roman"/>
    <w:pitch w:val="variable"/>
    <w:sig w:usb0="E0002EFF" w:usb1="C000785B" w:usb2="00000009" w:usb3="00000000" w:csb0="000001FF" w:csb1="00000000"/>
    <w:embedRegular r:id="rId2" w:fontKey="{CA8A6382-1CE5-0644-9B75-4DBB5718F414}"/>
    <w:embedBold r:id="rId3" w:fontKey="{D82BDC04-37F9-614A-8277-09863D8E9D28}"/>
    <w:embedItalic r:id="rId4" w:fontKey="{FCDA72B7-3210-C643-BD29-4F1E77C52485}"/>
    <w:embedBoldItalic r:id="rId5" w:fontKey="{331A1F6F-962A-6A4A-89E8-6E5158347DEC}"/>
  </w:font>
  <w:font w:name="Calibri">
    <w:panose1 w:val="020F0502020204030204"/>
    <w:charset w:val="00"/>
    <w:family w:val="swiss"/>
    <w:pitch w:val="variable"/>
    <w:sig w:usb0="E0002AFF" w:usb1="C000247B" w:usb2="00000009" w:usb3="00000000" w:csb0="000001FF" w:csb1="00000000"/>
    <w:embedRegular r:id="rId6" w:fontKey="{650841B4-FAA2-1E46-ACC0-D0437B75AF85}"/>
    <w:embedBold r:id="rId7" w:fontKey="{01195E75-CAB4-E84B-B161-9D286A03DAAF}"/>
    <w:embedItalic r:id="rId8" w:fontKey="{2539DB99-2F05-6C4E-9FBB-BBEA6346C32C}"/>
  </w:font>
  <w:font w:name="Century Schoolbook">
    <w:panose1 w:val="02040604050505020304"/>
    <w:charset w:val="00"/>
    <w:family w:val="roman"/>
    <w:pitch w:val="variable"/>
    <w:sig w:usb0="00000287" w:usb1="00000000" w:usb2="00000000" w:usb3="00000000" w:csb0="0000009F" w:csb1="00000000"/>
    <w:embedRegular r:id="rId9" w:fontKey="{0C118A14-FCBF-524B-81F3-F721A5E8E64B}"/>
    <w:embedItalic r:id="rId10" w:fontKey="{BCB8ECF9-6953-A444-89E6-6D5422835AAE}"/>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2008551E-3626-1346-93D0-BD121328D949}"/>
    <w:embedBold r:id="rId14" w:fontKey="{223B4005-52A2-8D4B-8D2F-DC1CB3608E3E}"/>
    <w:embedItalic r:id="rId15" w:fontKey="{7367360A-A403-0547-A6D8-813F146CCCC9}"/>
    <w:embedBoldItalic r:id="rId16" w:fontKey="{F191511B-D3E4-7346-8B0F-9E95D3ABB641}"/>
  </w:font>
  <w:font w:name="Tahoma">
    <w:panose1 w:val="020B0604030504040204"/>
    <w:charset w:val="00"/>
    <w:family w:val="swiss"/>
    <w:pitch w:val="variable"/>
    <w:sig w:usb0="E1002EFF" w:usb1="C000605B" w:usb2="00000029" w:usb3="00000000" w:csb0="000101FF" w:csb1="00000000"/>
    <w:embedRegular r:id="rId17" w:fontKey="{B4447512-1B09-D04F-AEAC-2A8FE7C0D705}"/>
  </w:font>
  <w:font w:name="Calibri Light">
    <w:panose1 w:val="020F0302020204030204"/>
    <w:charset w:val="00"/>
    <w:family w:val="swiss"/>
    <w:pitch w:val="variable"/>
    <w:sig w:usb0="E0002AFF" w:usb1="C000247B" w:usb2="00000009" w:usb3="00000000" w:csb0="000001FF" w:csb1="00000000"/>
    <w:embedRegular r:id="rId18" w:fontKey="{9987CDC8-FD0A-1844-AE6A-F30FED683EF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eps" /><Relationship Type="http://schemas.openxmlformats.org/officeDocument/2006/relationships/image" Id="rId95" Target="media/rId95.eps" /><Relationship Type="http://schemas.openxmlformats.org/officeDocument/2006/relationships/image" Id="rId97" Target="media/rId97.eps" /><Relationship Type="http://schemas.openxmlformats.org/officeDocument/2006/relationships/image" Id="rId99" Target="media/rId99.eps" /><Relationship Type="http://schemas.openxmlformats.org/officeDocument/2006/relationships/image" Id="rId101" Target="media/rId101.eps" /><Relationship Type="http://schemas.openxmlformats.org/officeDocument/2006/relationships/image" Id="rId103" Target="media/rId103.eps" /><Relationship Type="http://schemas.openxmlformats.org/officeDocument/2006/relationships/hyperlink" Id="rId60" Target="http://www.jstatsoft.org/v33/i02/" TargetMode="External" /><Relationship Type="http://schemas.openxmlformats.org/officeDocument/2006/relationships/hyperlink" Id="rId68" Target="http://www4.unfccc.int/ndcregistry/PublishedDocuments/Bangladesh%20First/INDC_2015_of_Bangladesh.pdf" TargetMode="External" /><Relationship Type="http://schemas.openxmlformats.org/officeDocument/2006/relationships/hyperlink" Id="rId55" Target="https://CRAN.R-project.org/package=agricolae" TargetMode="External" /><Relationship Type="http://schemas.openxmlformats.org/officeDocument/2006/relationships/hyperlink" Id="rId57" Target="https://doi.org/10.1007/s10584-015-1580-2" TargetMode="External" /><Relationship Type="http://schemas.openxmlformats.org/officeDocument/2006/relationships/hyperlink" Id="rId81" Target="https://doi.org/10.1007/s10681-010-0296-7" TargetMode="External" /><Relationship Type="http://schemas.openxmlformats.org/officeDocument/2006/relationships/hyperlink" Id="rId52" Target="https://doi.org/10.1016/S0378-3774(00)00128-1" TargetMode="External" /><Relationship Type="http://schemas.openxmlformats.org/officeDocument/2006/relationships/hyperlink" Id="rId64" Target="https://doi.org/10.1016/j.agwat.2006.10.006" TargetMode="External" /><Relationship Type="http://schemas.openxmlformats.org/officeDocument/2006/relationships/hyperlink" Id="rId85"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70" Target="https://journal.r-project.org/archive/" TargetMode="External" /><Relationship Type="http://schemas.openxmlformats.org/officeDocument/2006/relationships/hyperlink" Id="rId72" Target="https://www.R-project.org/"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0" Target="http://www.jstatsoft.org/v33/i02/" TargetMode="External" /><Relationship Type="http://schemas.openxmlformats.org/officeDocument/2006/relationships/hyperlink" Id="rId68" Target="http://www4.unfccc.int/ndcregistry/PublishedDocuments/Bangladesh%20First/INDC_2015_of_Bangladesh.pdf" TargetMode="External" /><Relationship Type="http://schemas.openxmlformats.org/officeDocument/2006/relationships/hyperlink" Id="rId55" Target="https://CRAN.R-project.org/package=agricolae" TargetMode="External" /><Relationship Type="http://schemas.openxmlformats.org/officeDocument/2006/relationships/hyperlink" Id="rId57" Target="https://doi.org/10.1007/s10584-015-1580-2" TargetMode="External" /><Relationship Type="http://schemas.openxmlformats.org/officeDocument/2006/relationships/hyperlink" Id="rId81" Target="https://doi.org/10.1007/s10681-010-0296-7" TargetMode="External" /><Relationship Type="http://schemas.openxmlformats.org/officeDocument/2006/relationships/hyperlink" Id="rId52" Target="https://doi.org/10.1016/S0378-3774(00)00128-1" TargetMode="External" /><Relationship Type="http://schemas.openxmlformats.org/officeDocument/2006/relationships/hyperlink" Id="rId64" Target="https://doi.org/10.1016/j.agwat.2006.10.006" TargetMode="External" /><Relationship Type="http://schemas.openxmlformats.org/officeDocument/2006/relationships/hyperlink" Id="rId85"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70" Target="https://journal.r-project.org/archive/" TargetMode="External" /><Relationship Type="http://schemas.openxmlformats.org/officeDocument/2006/relationships/hyperlink" Id="rId7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1117</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2019-06-17T20:29:41Z</dcterms:created>
  <dcterms:modified xsi:type="dcterms:W3CDTF">2019-06-17T20:29:41Z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management practices may trigger sheath blight of rice, caused by Rhizoctonia solani, which is favored by wet conditions, high relative humidity, and high nitrogen fertilizer levels. To understand how different combinations of water and nitrogen management affect sheath blight epidemics, we conducted two separate split–plot experiments with a water 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 in the incidence of tiller sheath blight due to irrigation, tiller and leaf sheath blight did clearly differ statistically by irrigation treatment, but leaf sheath blight severity did not. Our findings indicate that farmers can adopt water saving technologies without risking increased sheath blight incidence. We suggest that further cross–disciplinary research in this area is warranted. All data generated from this project and code used for analysis are available as a reproducible research compendium from https://github.com/openplantpathology/rice_awd_pests.</vt:lpwstr>
  </property>
  <property fmtid="{D5CDD505-2E9C-101B-9397-08002B2CF9AE}" pid="3" name="bibliography">
    <vt:lpwstr>references.bib</vt:lpwstr>
  </property>
  <property fmtid="{D5CDD505-2E9C-101B-9397-08002B2CF9AE}" pid="4" name="csl">
    <vt:lpwstr>../templates/european-journal-of-plant-pathology.csl</vt:lpwstr>
  </property>
  <property fmtid="{D5CDD505-2E9C-101B-9397-08002B2CF9AE}" pid="5" name="output">
    <vt:lpwstr/>
  </property>
</Properties>
</file>