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rId95.eps" ContentType="application/eps"/>
  <Override PartName="/word/media/rId96.eps" ContentType="application/eps"/>
  <Override PartName="/word/media/rId97.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25</w:t>
      </w:r>
      <w:r>
        <w:t xml:space="preserve"> </w:t>
      </w:r>
      <w:r>
        <w:t xml:space="preserve">June,</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 (</w:t>
      </w:r>
      <w:r>
        <w:rPr>
          <w:i/>
        </w:rPr>
        <w:t xml:space="preserve">Thanatephorus cucumeris</w:t>
      </w:r>
      <w:r>
        <w:t xml:space="preserve"> </w:t>
      </w:r>
      <w:r>
        <w:t xml:space="preserve">(A.B. Frank) Donk.), anastomosis group 1,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w:t>
      </w:r>
      <w:r>
        <w:t xml:space="preserve"> </w:t>
      </w:r>
      <w:r>
        <w:t xml:space="preserve">In the 2016 experiment changes were made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r>
        <w:t xml:space="preserve"> </w:t>
      </w:r>
      <w:r>
        <w:t xml:space="preserve">Due to the use of a severity scale for data collection, the severity data were converted to the midpoint percent value of the scale range for each value.</w:t>
      </w:r>
    </w:p>
    <w:p>
      <w:pPr>
        <w:pStyle w:val="BodyText"/>
      </w:pPr>
      <w:r>
        <w:t xml:space="preserve">The correlations between tiller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2020)</w:t>
      </w:r>
      <w:r>
        <w:t xml:space="preserve">.</w:t>
      </w:r>
      <w:r>
        <w:t xml:space="preserve"> </w:t>
      </w:r>
      <w:r>
        <w:t xml:space="preserve">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burn-in.</w:t>
      </w:r>
      <w:r>
        <w:t xml:space="preserve"> </w:t>
      </w:r>
      <w:r>
        <w:t xml:space="preserve">The remaining 50,000 samples were used to determine the posterior distribution of the parameters of the model.</w:t>
      </w:r>
      <w:r>
        <w:t xml:space="preserve"> </w:t>
      </w:r>
      <w:r>
        <w:t xml:space="preserve">The</w:t>
      </w:r>
      <w:r>
        <w:t xml:space="preserve"> </w:t>
      </w:r>
      <w:r>
        <w:rPr>
          <w:rStyle w:val="VerbatimChar"/>
        </w:rPr>
        <w:t xml:space="preserve">coda</w:t>
      </w:r>
      <w:r>
        <w:t xml:space="preserve"> </w:t>
      </w:r>
      <w:r>
        <w:t xml:space="preserve">version 0.19-3</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5</w:t>
      </w:r>
      <w:r>
        <w:t xml:space="preserve">a).</w:t>
      </w:r>
      <w:r>
        <w:t xml:space="preserve"> </w:t>
      </w:r>
      <w:r>
        <w:t xml:space="preserve">However, the effects of N treatments N100 and N120 on tiller incidence caused both to be higher and clearly different when compared with the control N0 treatment (Fig. </w:t>
      </w:r>
      <w:r>
        <w:t xml:space="preserve">4</w:t>
      </w:r>
      <w:r>
        <w:t xml:space="preserve">a,</w:t>
      </w:r>
      <w:r>
        <w:t xml:space="preserve"> </w:t>
      </w:r>
      <w:r>
        <w:t xml:space="preserve">5</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6</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7</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6</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b,</w:t>
      </w:r>
      <w:r>
        <w:t xml:space="preserve"> </w:t>
      </w:r>
      <w:r>
        <w:t xml:space="preserve">4</w:t>
      </w:r>
      <w:r>
        <w:t xml:space="preserve">b,</w:t>
      </w:r>
      <w:r>
        <w:t xml:space="preserve"> </w:t>
      </w:r>
      <w:r>
        <w:t xml:space="preserve">7</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Dawe2005"/>
    <w:p>
      <w:pPr>
        <w:pStyle w:val="Bibliography"/>
      </w:pPr>
      <w:r>
        <w:t xml:space="preserve">Dawe, D. 2005. Increasing water productivity in rice-based systems in Asia–past trends, current problems, and future prospects. Plant Production Science. 8:221–230.</w:t>
      </w:r>
    </w:p>
    <w:bookmarkEnd w:id="41"/>
    <w:bookmarkStart w:id="43"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2">
        <w:r>
          <w:rPr>
            <w:rStyle w:val="Hyperlink"/>
          </w:rPr>
          <w:t xml:space="preserve">https://CRAN.R-project.org/package=agricolae</w:t>
        </w:r>
      </w:hyperlink>
      <w:r>
        <w:t xml:space="preserve">.</w:t>
      </w:r>
    </w:p>
    <w:bookmarkEnd w:id="43"/>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4">
        <w:r>
          <w:rPr>
            <w:rStyle w:val="Hyperlink"/>
          </w:rPr>
          <w:t xml:space="preserve">https://doi.org/10.1007/s10658-016-0985-8</w:t>
        </w:r>
      </w:hyperlink>
      <w:r>
        <w:t xml:space="preserve"> </w:t>
      </w:r>
      <w:r>
        <w:t xml:space="preserve">[Accessed June 17, 2020].</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8" w:name="ref-Groth2008"/>
    <w:p>
      <w:pPr>
        <w:pStyle w:val="Bibliography"/>
      </w:pPr>
      <w:r>
        <w:t xml:space="preserve">Groth, D. E. 2008. Effects of cultivar resistance and single fungicide application on rice sheath blight, yield, and quality. Crop Protection. 27:1125–1130.</w:t>
      </w:r>
    </w:p>
    <w:bookmarkEnd w:id="48"/>
    <w:bookmarkStart w:id="50" w:name="ref-MCMCglmm2010"/>
    <w:p>
      <w:pPr>
        <w:pStyle w:val="Bibliography"/>
      </w:pPr>
      <w:r>
        <w:t xml:space="preserve">Hadfield, J. D. 2010. MCMC methods for multi-response generalized linear mixed models: The MCMCglmm R package. Journal of Statistical Software. 33:1–22 Available at:</w:t>
      </w:r>
      <w:r>
        <w:t xml:space="preserve"> </w:t>
      </w:r>
      <w:hyperlink r:id="rId49">
        <w:r>
          <w:rPr>
            <w:rStyle w:val="Hyperlink"/>
          </w:rPr>
          <w:t xml:space="preserve">http://www.jstatsoft.org/v33/i02/</w:t>
        </w:r>
      </w:hyperlink>
      <w:r>
        <w:t xml:space="preserve">.</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8" w:name="ref-Marchetti1991"/>
    <w:p>
      <w:pPr>
        <w:pStyle w:val="Bibliography"/>
      </w:pPr>
      <w:r>
        <w:t xml:space="preserve">Marchetti, M. A., and Bollich, C. N. 1991. Quantification of the relationship between sheath blight severity and yield loss in rice. Plant Disease.</w:t>
      </w:r>
    </w:p>
    <w:bookmarkEnd w:id="58"/>
    <w:bookmarkStart w:id="60"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59">
        <w:r>
          <w:rPr>
            <w:rStyle w:val="Hyperlink"/>
          </w:rPr>
          <w:t xml:space="preserve">http://www4.unfccc.int/ndcregistry/PublishedDocuments/Bangladesh%20First/INDC_2015_of_Bangladesh.pdf</w:t>
        </w:r>
      </w:hyperlink>
      <w:r>
        <w:t xml:space="preserve">.</w:t>
      </w:r>
    </w:p>
    <w:bookmarkEnd w:id="60"/>
    <w:bookmarkStart w:id="62" w:name="ref-coda2006"/>
    <w:p>
      <w:pPr>
        <w:pStyle w:val="Bibliography"/>
      </w:pPr>
      <w:r>
        <w:t xml:space="preserve">Plummer, M., Best, N., Cowles, K., and Vines, K. 2006. CODA: Convergence diagnosis and output analysis for MCMC. R News. 6:7–11 Available at:</w:t>
      </w:r>
      <w:r>
        <w:t xml:space="preserve"> </w:t>
      </w:r>
      <w:hyperlink r:id="rId61">
        <w:r>
          <w:rPr>
            <w:rStyle w:val="Hyperlink"/>
          </w:rPr>
          <w:t xml:space="preserve">https://journal.r-project.org/archive/</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
      <w:r>
        <w:t xml:space="preserve">Table</w:t>
      </w:r>
      <w:bookmarkEnd w:id="88"/>
    </w:p>
    <w:p>
      <w:pPr>
        <w:pStyle w:val="TableCaption"/>
      </w:pPr>
      <w:r>
        <w:t xml:space="preserve">(#tab:N-rates)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w:tblPr>
        <w:tblStyle w:val="Table"/>
        <w:tblW w:type="pct" w:w="4166.666666666666"/>
        <w:tblLook w:firstRow="1"/>
        <w:tblCaption w:val="(#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
      </w:tblPr>
      <w:tblGrid>
        <w:gridCol w:w="1210"/>
        <w:gridCol w:w="880"/>
        <w:gridCol w:w="880"/>
        <w:gridCol w:w="132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Basal</w:t>
            </w:r>
          </w:p>
        </w:tc>
        <w:tc>
          <w:tcPr>
            <w:tcBorders>
              <w:bottom w:val="single"/>
            </w:tcBorders>
            <w:vAlign w:val="bottom"/>
          </w:tcPr>
          <w:p>
            <w:pPr>
              <w:pStyle w:val="Compact"/>
              <w:jc w:val="center"/>
            </w:pPr>
            <w:r>
              <w:t xml:space="preserve">Tillering</w:t>
            </w:r>
          </w:p>
        </w:tc>
        <w:tc>
          <w:tcPr>
            <w:tcBorders>
              <w:bottom w:val="single"/>
            </w:tcBorders>
            <w:vAlign w:val="bottom"/>
          </w:tcPr>
          <w:p>
            <w:pPr>
              <w:pStyle w:val="Compact"/>
              <w:jc w:val="center"/>
            </w:pPr>
            <w:r>
              <w:t xml:space="preserve">Panicle Initiation</w:t>
            </w:r>
          </w:p>
        </w:tc>
      </w:tr>
      <w:tr>
        <w:tc>
          <w:p>
            <w:pPr>
              <w:pStyle w:val="Compact"/>
              <w:jc w:val="center"/>
            </w:pPr>
            <w:r>
              <w:rPr>
                <w:b/>
              </w:rPr>
              <w:t xml:space="preserve">N0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100</w:t>
            </w:r>
          </w:p>
        </w:tc>
        <w:tc>
          <w:p>
            <w:pPr>
              <w:pStyle w:val="Compact"/>
              <w:jc w:val="center"/>
            </w:pPr>
            <w:r>
              <w:t xml:space="preserve">60</w:t>
            </w:r>
          </w:p>
        </w:tc>
        <w:tc>
          <w:p>
            <w:pPr>
              <w:pStyle w:val="Compact"/>
              <w:jc w:val="center"/>
            </w:pPr>
            <w:r>
              <w:t xml:space="preserve">20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120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c>
          <w:p>
            <w:pPr>
              <w:pStyle w:val="Compact"/>
              <w:jc w:val="center"/>
            </w:pPr>
            <w:r>
              <w:t xml:space="preserve">0</w:t>
            </w:r>
          </w:p>
        </w:tc>
      </w:tr>
      <w:tr>
        <w:tc>
          <w:p>
            <w:pPr>
              <w:pStyle w:val="Compact"/>
              <w:jc w:val="center"/>
            </w:pPr>
            <w:r>
              <w:rPr>
                <w:b/>
              </w:rPr>
              <w:t xml:space="preserve">N180</w:t>
            </w:r>
          </w:p>
        </w:tc>
        <w:tc>
          <w:p>
            <w:pPr>
              <w:pStyle w:val="Compact"/>
              <w:jc w:val="center"/>
            </w:pPr>
            <w:r>
              <w:t xml:space="preserve">180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5: Posterior means and 95 % credible intervals for the explanatory variables used in models of alternate wetting and drying irrigations (AWD) and N rate (NRTE) on tiller sheath blight incidence and tiller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5-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tiller sheath blight incidence and tiller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6-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7: Posterior means and 95 % credible intervals for the explanatory variables used in models of alternate wetting and drying irrigations (AWD) and N rate (NRTE) and the interaction of the two treatments on leaf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7-1.eps" id="0" name="Picture"/>
                    <pic:cNvPicPr>
                      <a:picLocks noChangeArrowheads="1" noChangeAspect="1"/>
                    </pic:cNvPicPr>
                  </pic:nvPicPr>
                  <pic:blipFill>
                    <a:blip r:embed="rId97"/>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7: Posterior means and 95 % credible intervals for the explanatory variables used in models of alternate wetting and drying irrigations (AWD) and N rate (NRTE) and the interaction of the two treatments on leaf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8" w:name="colophon"/>
      <w:r>
        <w:t xml:space="preserve">Colophon</w:t>
      </w:r>
      <w:bookmarkEnd w:id="98"/>
    </w:p>
    <w:p>
      <w:pPr>
        <w:pStyle w:val="FirstParagraph"/>
      </w:pPr>
      <w:r>
        <w:t xml:space="preserve">This report was generated on 2020-06-25 19:36:44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4.0.1 (2020-06-06)</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2020-06-25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                     </w:t>
      </w:r>
      <w:r>
        <w:br/>
      </w:r>
      <w:r>
        <w:rPr>
          <w:rStyle w:val="VerbatimChar"/>
        </w:rPr>
        <w:t xml:space="preserve">#&gt;  assertthat     0.2.1      2019-03-21 [1] CRAN (R 4.0.0)                     </w:t>
      </w:r>
      <w:r>
        <w:br/>
      </w:r>
      <w:r>
        <w:rPr>
          <w:rStyle w:val="VerbatimChar"/>
        </w:rPr>
        <w:t xml:space="preserve">#&gt;  backports      1.1.8      2020-06-17 [1] CRAN (R 4.0.1)                     </w:t>
      </w:r>
      <w:r>
        <w:br/>
      </w:r>
      <w:r>
        <w:rPr>
          <w:rStyle w:val="VerbatimChar"/>
        </w:rPr>
        <w:t xml:space="preserve">#&gt;  bookdown     * 0.20       2020-06-23 [1] CRAN (R 4.0.1)                     </w:t>
      </w:r>
      <w:r>
        <w:br/>
      </w:r>
      <w:r>
        <w:rPr>
          <w:rStyle w:val="VerbatimChar"/>
        </w:rPr>
        <w:t xml:space="preserve">#&gt;  broom          0.5.6      2020-04-20 [1] CRAN (R 4.0.0)                     </w:t>
      </w:r>
      <w:r>
        <w:br/>
      </w:r>
      <w:r>
        <w:rPr>
          <w:rStyle w:val="VerbatimChar"/>
        </w:rPr>
        <w:t xml:space="preserve">#&gt;  car            3.0-8      2020-05-21 [1] CRAN (R 4.0.0)                     </w:t>
      </w:r>
      <w:r>
        <w:br/>
      </w:r>
      <w:r>
        <w:rPr>
          <w:rStyle w:val="VerbatimChar"/>
        </w:rPr>
        <w:t xml:space="preserve">#&gt;  carData        3.0-4      2020-05-22 [1] CRAN (R 4.0.0)                     </w:t>
      </w:r>
      <w:r>
        <w:br/>
      </w:r>
      <w:r>
        <w:rPr>
          <w:rStyle w:val="VerbatimChar"/>
        </w:rPr>
        <w:t xml:space="preserve">#&gt;  cellranger     1.1.0      2016-07-27 [1] CRAN (R 4.0.0)                     </w:t>
      </w:r>
      <w:r>
        <w:br/>
      </w:r>
      <w:r>
        <w:rPr>
          <w:rStyle w:val="VerbatimChar"/>
        </w:rPr>
        <w:t xml:space="preserve">#&gt;  cli            2.0.2      2020-02-28 [1] CRAN (R 4.0.0)                     </w:t>
      </w:r>
      <w:r>
        <w:br/>
      </w:r>
      <w:r>
        <w:rPr>
          <w:rStyle w:val="VerbatimChar"/>
        </w:rPr>
        <w:t xml:space="preserve">#&gt;  clisymbols     1.2.0      2017-05-21 [1] CRAN (R 4.0.0)                     </w:t>
      </w:r>
      <w:r>
        <w:br/>
      </w:r>
      <w:r>
        <w:rPr>
          <w:rStyle w:val="VerbatimChar"/>
        </w:rPr>
        <w:t xml:space="preserve">#&gt;  coda         * 0.19-3     2019-07-05 [1] CRAN (R 4.0.0)                     </w:t>
      </w:r>
      <w:r>
        <w:br/>
      </w:r>
      <w:r>
        <w:rPr>
          <w:rStyle w:val="VerbatimChar"/>
        </w:rPr>
        <w:t xml:space="preserve">#&gt;  colorspace     1.4-1      2019-03-18 [1] CRAN (R 4.0.0)                     </w:t>
      </w:r>
      <w:r>
        <w:br/>
      </w:r>
      <w:r>
        <w:rPr>
          <w:rStyle w:val="VerbatimChar"/>
        </w:rPr>
        <w:t xml:space="preserve">#&gt;  crayon         1.3.4.9000 2020-06-12 [1] Github (r-lib/crayon@dcf6d44)      </w:t>
      </w:r>
      <w:r>
        <w:br/>
      </w:r>
      <w:r>
        <w:rPr>
          <w:rStyle w:val="VerbatimChar"/>
        </w:rPr>
        <w:t xml:space="preserve">#&gt;  curl           4.3        2019-12-02 [1] CRAN (R 4.0.0)                     </w:t>
      </w:r>
      <w:r>
        <w:br/>
      </w:r>
      <w:r>
        <w:rPr>
          <w:rStyle w:val="VerbatimChar"/>
        </w:rPr>
        <w:t xml:space="preserve">#&gt;  data.table     1.12.8     2019-12-09 [1] CRAN (R 4.0.0)                     </w:t>
      </w:r>
      <w:r>
        <w:br/>
      </w:r>
      <w:r>
        <w:rPr>
          <w:rStyle w:val="VerbatimChar"/>
        </w:rPr>
        <w:t xml:space="preserve">#&gt;  digest         0.6.25     2020-02-23 [1] CRAN (R 4.0.0)                     </w:t>
      </w:r>
      <w:r>
        <w:br/>
      </w:r>
      <w:r>
        <w:rPr>
          <w:rStyle w:val="VerbatimChar"/>
        </w:rPr>
        <w:t xml:space="preserve">#&gt;  dplyr          1.0.0      2020-05-29 [1] CRAN (R 4.0.0)                     </w:t>
      </w:r>
      <w:r>
        <w:br/>
      </w:r>
      <w:r>
        <w:rPr>
          <w:rStyle w:val="VerbatimChar"/>
        </w:rPr>
        <w:t xml:space="preserve">#&gt;  ellipsis       0.3.1      2020-05-15 [1] CRAN (R 4.0.0)                     </w:t>
      </w:r>
      <w:r>
        <w:br/>
      </w:r>
      <w:r>
        <w:rPr>
          <w:rStyle w:val="VerbatimChar"/>
        </w:rPr>
        <w:t xml:space="preserve">#&gt;  evaluate       0.14       2019-05-28 [1] CRAN (R 4.0.0)                     </w:t>
      </w:r>
      <w:r>
        <w:br/>
      </w:r>
      <w:r>
        <w:rPr>
          <w:rStyle w:val="VerbatimChar"/>
        </w:rPr>
        <w:t xml:space="preserve">#&gt;  fansi          0.4.1      2020-01-08 [1] CRAN (R 4.0.0)                     </w:t>
      </w:r>
      <w:r>
        <w:br/>
      </w:r>
      <w:r>
        <w:rPr>
          <w:rStyle w:val="VerbatimChar"/>
        </w:rPr>
        <w:t xml:space="preserve">#&gt;  farver         2.0.3      2020-01-16 [1] CRAN (R 4.0.0)                     </w:t>
      </w:r>
      <w:r>
        <w:br/>
      </w:r>
      <w:r>
        <w:rPr>
          <w:rStyle w:val="VerbatimChar"/>
        </w:rPr>
        <w:t xml:space="preserve">#&gt;  forcats        0.5.0      2020-03-01 [1] CRAN (R 4.0.0)                     </w:t>
      </w:r>
      <w:r>
        <w:br/>
      </w:r>
      <w:r>
        <w:rPr>
          <w:rStyle w:val="VerbatimChar"/>
        </w:rPr>
        <w:t xml:space="preserve">#&gt;  foreign        0.8-80     2020-05-24 [2] CRAN (R 4.0.1)                     </w:t>
      </w:r>
      <w:r>
        <w:br/>
      </w:r>
      <w:r>
        <w:rPr>
          <w:rStyle w:val="VerbatimChar"/>
        </w:rPr>
        <w:t xml:space="preserve">#&gt;  generics       0.0.2      2018-11-29 [1] CRAN (R 4.0.0)                     </w:t>
      </w:r>
      <w:r>
        <w:br/>
      </w:r>
      <w:r>
        <w:rPr>
          <w:rStyle w:val="VerbatimChar"/>
        </w:rPr>
        <w:t xml:space="preserve">#&gt;  ggplot2      * 3.3.2      2020-06-19 [1] CRAN (R 4.0.1)                     </w:t>
      </w:r>
      <w:r>
        <w:br/>
      </w:r>
      <w:r>
        <w:rPr>
          <w:rStyle w:val="VerbatimChar"/>
        </w:rPr>
        <w:t xml:space="preserve">#&gt;  ggpubr       * 0.3.0      2020-05-04 [1] CRAN (R 4.0.0)                     </w:t>
      </w:r>
      <w:r>
        <w:br/>
      </w:r>
      <w:r>
        <w:rPr>
          <w:rStyle w:val="VerbatimChar"/>
        </w:rPr>
        <w:t xml:space="preserve">#&gt;  ggsignif       0.6.0      2019-08-08 [1] CRAN (R 4.0.0)                     </w:t>
      </w:r>
      <w:r>
        <w:br/>
      </w:r>
      <w:r>
        <w:rPr>
          <w:rStyle w:val="VerbatimChar"/>
        </w:rPr>
        <w:t xml:space="preserve">#&gt;  glue           1.4.1      2020-05-13 [1] CRAN (R 4.0.0)                     </w:t>
      </w:r>
      <w:r>
        <w:br/>
      </w:r>
      <w:r>
        <w:rPr>
          <w:rStyle w:val="VerbatimChar"/>
        </w:rPr>
        <w:t xml:space="preserve">#&gt;  gridExtra    * 2.3        2017-09-09 [1] CRAN (R 4.0.0)                     </w:t>
      </w:r>
      <w:r>
        <w:br/>
      </w:r>
      <w:r>
        <w:rPr>
          <w:rStyle w:val="VerbatimChar"/>
        </w:rPr>
        <w:t xml:space="preserve">#&gt;  gtable         0.3.0      2019-03-25 [1] CRAN (R 4.0.0)                     </w:t>
      </w:r>
      <w:r>
        <w:br/>
      </w:r>
      <w:r>
        <w:rPr>
          <w:rStyle w:val="VerbatimChar"/>
        </w:rPr>
        <w:t xml:space="preserve">#&gt;  haven          2.3.1      2020-06-01 [1] CRAN (R 4.0.0)                     </w:t>
      </w:r>
      <w:r>
        <w:br/>
      </w:r>
      <w:r>
        <w:rPr>
          <w:rStyle w:val="VerbatimChar"/>
        </w:rPr>
        <w:t xml:space="preserve">#&gt;  highr          0.8        2019-03-20 [1] CRAN (R 4.0.0)                     </w:t>
      </w:r>
      <w:r>
        <w:br/>
      </w:r>
      <w:r>
        <w:rPr>
          <w:rStyle w:val="VerbatimChar"/>
        </w:rPr>
        <w:t xml:space="preserve">#&gt;  hms            0.5.3      2020-01-08 [1] CRAN (R 4.0.0)                     </w:t>
      </w:r>
      <w:r>
        <w:br/>
      </w:r>
      <w:r>
        <w:rPr>
          <w:rStyle w:val="VerbatimChar"/>
        </w:rPr>
        <w:t xml:space="preserve">#&gt;  htmltools      0.5.0      2020-06-16 [1] CRAN (R 4.0.1)                     </w:t>
      </w:r>
      <w:r>
        <w:br/>
      </w:r>
      <w:r>
        <w:rPr>
          <w:rStyle w:val="VerbatimChar"/>
        </w:rPr>
        <w:t xml:space="preserve">#&gt;  knitr        * 1.29       2020-06-23 [1] CRAN (R 4.0.1)                     </w:t>
      </w:r>
      <w:r>
        <w:br/>
      </w:r>
      <w:r>
        <w:rPr>
          <w:rStyle w:val="VerbatimChar"/>
        </w:rPr>
        <w:t xml:space="preserve">#&gt;  labeling       0.3        2014-08-23 [1] CRAN (R 4.0.0)                     </w:t>
      </w:r>
      <w:r>
        <w:br/>
      </w:r>
      <w:r>
        <w:rPr>
          <w:rStyle w:val="VerbatimChar"/>
        </w:rPr>
        <w:t xml:space="preserve">#&gt;  lattice        0.20-41    2020-04-02 [2] CRAN (R 4.0.1)                     </w:t>
      </w:r>
      <w:r>
        <w:br/>
      </w:r>
      <w:r>
        <w:rPr>
          <w:rStyle w:val="VerbatimChar"/>
        </w:rPr>
        <w:t xml:space="preserve">#&gt;  lifecycle      0.2.0      2020-03-06 [1] CRAN (R 4.0.0)                     </w:t>
      </w:r>
      <w:r>
        <w:br/>
      </w:r>
      <w:r>
        <w:rPr>
          <w:rStyle w:val="VerbatimChar"/>
        </w:rPr>
        <w:t xml:space="preserve">#&gt;  magrittr       1.5        2014-11-22 [1] CRAN (R 4.0.0)                     </w:t>
      </w:r>
      <w:r>
        <w:br/>
      </w:r>
      <w:r>
        <w:rPr>
          <w:rStyle w:val="VerbatimChar"/>
        </w:rPr>
        <w:t xml:space="preserve">#&gt;  munsell        0.5.0      2018-06-12 [1] CRAN (R 4.0.0)                     </w:t>
      </w:r>
      <w:r>
        <w:br/>
      </w:r>
      <w:r>
        <w:rPr>
          <w:rStyle w:val="VerbatimChar"/>
        </w:rPr>
        <w:t xml:space="preserve">#&gt;  nlme           3.1-148    2020-05-24 [2] CRAN (R 4.0.1)                     </w:t>
      </w:r>
      <w:r>
        <w:br/>
      </w:r>
      <w:r>
        <w:rPr>
          <w:rStyle w:val="VerbatimChar"/>
        </w:rPr>
        <w:t xml:space="preserve">#&gt;  openxlsx       4.1.5      2020-05-06 [1] CRAN (R 4.0.0)                     </w:t>
      </w:r>
      <w:r>
        <w:br/>
      </w:r>
      <w:r>
        <w:rPr>
          <w:rStyle w:val="VerbatimChar"/>
        </w:rPr>
        <w:t xml:space="preserve">#&gt;  pander       * 0.6.3      2018-11-06 [1] CRAN (R 4.0.0)                     </w:t>
      </w:r>
      <w:r>
        <w:br/>
      </w:r>
      <w:r>
        <w:rPr>
          <w:rStyle w:val="VerbatimChar"/>
        </w:rPr>
        <w:t xml:space="preserve">#&gt;  pillar         1.4.4      2020-05-05 [1] CRAN (R 4.0.0)                     </w:t>
      </w:r>
      <w:r>
        <w:br/>
      </w:r>
      <w:r>
        <w:rPr>
          <w:rStyle w:val="VerbatimChar"/>
        </w:rPr>
        <w:t xml:space="preserve">#&gt;  pkgconfig      2.0.3      2019-09-22 [1] CRAN (R 4.0.0)                     </w:t>
      </w:r>
      <w:r>
        <w:br/>
      </w:r>
      <w:r>
        <w:rPr>
          <w:rStyle w:val="VerbatimChar"/>
        </w:rPr>
        <w:t xml:space="preserve">#&gt;  prompt         1.0.0      2020-04-25 [1] Github (gaborcsardi/prompt@b332c42)</w:t>
      </w:r>
      <w:r>
        <w:br/>
      </w:r>
      <w:r>
        <w:rPr>
          <w:rStyle w:val="VerbatimChar"/>
        </w:rPr>
        <w:t xml:space="preserve">#&gt;  purrr          0.3.4      2020-04-17 [1] CRAN (R 4.0.0)                     </w:t>
      </w:r>
      <w:r>
        <w:br/>
      </w:r>
      <w:r>
        <w:rPr>
          <w:rStyle w:val="VerbatimChar"/>
        </w:rPr>
        <w:t xml:space="preserve">#&gt;  R6             2.4.1      2019-11-12 [1] CRAN (R 4.0.0)                     </w:t>
      </w:r>
      <w:r>
        <w:br/>
      </w:r>
      <w:r>
        <w:rPr>
          <w:rStyle w:val="VerbatimChar"/>
        </w:rPr>
        <w:t xml:space="preserve">#&gt;  Rcpp           1.0.4.6    2020-04-09 [1] CRAN (R 4.0.0)                     </w:t>
      </w:r>
      <w:r>
        <w:br/>
      </w:r>
      <w:r>
        <w:rPr>
          <w:rStyle w:val="VerbatimChar"/>
        </w:rPr>
        <w:t xml:space="preserve">#&gt;  readxl         1.3.1      2019-03-13 [1] CRAN (R 4.0.0)                     </w:t>
      </w:r>
      <w:r>
        <w:br/>
      </w:r>
      <w:r>
        <w:rPr>
          <w:rStyle w:val="VerbatimChar"/>
        </w:rPr>
        <w:t xml:space="preserve">#&gt;  rice.awd.shb * 0.0.0.9000 2020-06-25 [1] local                              </w:t>
      </w:r>
      <w:r>
        <w:br/>
      </w:r>
      <w:r>
        <w:rPr>
          <w:rStyle w:val="VerbatimChar"/>
        </w:rPr>
        <w:t xml:space="preserve">#&gt;  rio            0.5.16     2018-11-26 [1] CRAN (R 4.0.0)                     </w:t>
      </w:r>
      <w:r>
        <w:br/>
      </w:r>
      <w:r>
        <w:rPr>
          <w:rStyle w:val="VerbatimChar"/>
        </w:rPr>
        <w:t xml:space="preserve">#&gt;  rlang          0.4.6      2020-05-02 [1] CRAN (R 4.0.0)                     </w:t>
      </w:r>
      <w:r>
        <w:br/>
      </w:r>
      <w:r>
        <w:rPr>
          <w:rStyle w:val="VerbatimChar"/>
        </w:rPr>
        <w:t xml:space="preserve">#&gt;  rmarkdown      2.3        2020-06-18 [1] CRAN (R 4.0.1)                     </w:t>
      </w:r>
      <w:r>
        <w:br/>
      </w:r>
      <w:r>
        <w:rPr>
          <w:rStyle w:val="VerbatimChar"/>
        </w:rPr>
        <w:t xml:space="preserve">#&gt;  rstatix        0.6.0      2020-06-18 [1] CRAN (R 4.0.1)                     </w:t>
      </w:r>
      <w:r>
        <w:br/>
      </w:r>
      <w:r>
        <w:rPr>
          <w:rStyle w:val="VerbatimChar"/>
        </w:rPr>
        <w:t xml:space="preserve">#&gt;  rstudioapi     0.11       2020-02-07 [1] CRAN (R 4.0.0)                     </w:t>
      </w:r>
      <w:r>
        <w:br/>
      </w:r>
      <w:r>
        <w:rPr>
          <w:rStyle w:val="VerbatimChar"/>
        </w:rPr>
        <w:t xml:space="preserve">#&gt;  scales         1.1.1      2020-05-11 [1] CRAN (R 4.0.0)                     </w:t>
      </w:r>
      <w:r>
        <w:br/>
      </w:r>
      <w:r>
        <w:rPr>
          <w:rStyle w:val="VerbatimChar"/>
        </w:rPr>
        <w:t xml:space="preserve">#&gt;  sessioninfo    1.1.1      2018-11-05 [1] CRAN (R 4.0.0)                     </w:t>
      </w:r>
      <w:r>
        <w:br/>
      </w:r>
      <w:r>
        <w:rPr>
          <w:rStyle w:val="VerbatimChar"/>
        </w:rPr>
        <w:t xml:space="preserve">#&gt;  stringi        1.4.6      2020-02-17 [1] CRAN (R 4.0.0)                     </w:t>
      </w:r>
      <w:r>
        <w:br/>
      </w:r>
      <w:r>
        <w:rPr>
          <w:rStyle w:val="VerbatimChar"/>
        </w:rPr>
        <w:t xml:space="preserve">#&gt;  stringr        1.4.0      2019-02-10 [1] CRAN (R 4.0.0)                     </w:t>
      </w:r>
      <w:r>
        <w:br/>
      </w:r>
      <w:r>
        <w:rPr>
          <w:rStyle w:val="VerbatimChar"/>
        </w:rPr>
        <w:t xml:space="preserve">#&gt;  tibble         3.0.1      2020-04-20 [1] CRAN (R 4.0.0)                     </w:t>
      </w:r>
      <w:r>
        <w:br/>
      </w:r>
      <w:r>
        <w:rPr>
          <w:rStyle w:val="VerbatimChar"/>
        </w:rPr>
        <w:t xml:space="preserve">#&gt;  tidyr          1.1.0      2020-05-20 [1] CRAN (R 4.0.0)                     </w:t>
      </w:r>
      <w:r>
        <w:br/>
      </w:r>
      <w:r>
        <w:rPr>
          <w:rStyle w:val="VerbatimChar"/>
        </w:rPr>
        <w:t xml:space="preserve">#&gt;  tidyselect     1.1.0      2020-05-11 [1] CRAN (R 4.0.0)                     </w:t>
      </w:r>
      <w:r>
        <w:br/>
      </w:r>
      <w:r>
        <w:rPr>
          <w:rStyle w:val="VerbatimChar"/>
        </w:rPr>
        <w:t xml:space="preserve">#&gt;  vctrs          0.3.1      2020-06-05 [1] CRAN (R 4.0.0)                     </w:t>
      </w:r>
      <w:r>
        <w:br/>
      </w:r>
      <w:r>
        <w:rPr>
          <w:rStyle w:val="VerbatimChar"/>
        </w:rPr>
        <w:t xml:space="preserve">#&gt;  withr          2.2.0      2020-04-20 [1] CRAN (R 4.0.0)                     </w:t>
      </w:r>
      <w:r>
        <w:br/>
      </w:r>
      <w:r>
        <w:rPr>
          <w:rStyle w:val="VerbatimChar"/>
        </w:rPr>
        <w:t xml:space="preserve">#&gt;  xfun           0.15       2020-06-21 [1] CRAN (R 4.0.1)                     </w:t>
      </w:r>
      <w:r>
        <w:br/>
      </w:r>
      <w:r>
        <w:rPr>
          <w:rStyle w:val="VerbatimChar"/>
        </w:rPr>
        <w:t xml:space="preserve">#&gt;  yaml           2.2.1      2020-02-01 [1] CRAN (R 4.0.0)                     </w:t>
      </w:r>
      <w:r>
        <w:br/>
      </w:r>
      <w:r>
        <w:rPr>
          <w:rStyle w:val="VerbatimChar"/>
        </w:rPr>
        <w:t xml:space="preserve">#&gt;  zip            2.0.4      2019-09-01 [1] CRAN (R 4.0.0)                     </w:t>
      </w:r>
      <w:r>
        <w:br/>
      </w:r>
      <w:r>
        <w:rPr>
          <w:rStyle w:val="VerbatimChar"/>
        </w:rPr>
        <w:t xml:space="preserve">#&gt; </w:t>
      </w:r>
      <w:r>
        <w:br/>
      </w:r>
      <w:r>
        <w:rPr>
          <w:rStyle w:val="VerbatimChar"/>
        </w:rPr>
        <w:t xml:space="preserve">#&gt; [1] /Users/adamsparks/.R/library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/Users/adamsparks/Sources/GitHub/Analysis/rice_awd_pests</w:t>
      </w:r>
      <w:r>
        <w:br/>
      </w:r>
      <w:r>
        <w:rPr>
          <w:rStyle w:val="VerbatimChar"/>
        </w:rPr>
        <w:t xml:space="preserve">#&gt; Remote:   main @ origin (git@github.com:adamhsparks/rice_awd_pests.git)</w:t>
      </w:r>
      <w:r>
        <w:br/>
      </w:r>
      <w:r>
        <w:rPr>
          <w:rStyle w:val="VerbatimChar"/>
        </w:rPr>
        <w:t xml:space="preserve">#&gt; Head:     [050a61a] 2020-06-25: Delete separate preprint files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2020-06-25T09:36:50Z</dcterms:created>
  <dcterms:modified xsi:type="dcterms:W3CDTF">2020-06-25T09:36:50Z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25 June,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