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07</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 (</w:t>
      </w:r>
      <w:r>
        <w:rPr>
          <w:i/>
        </w:rPr>
        <w:t xml:space="preserve">Thanatephorus cucumeris</w:t>
      </w:r>
      <w:r>
        <w:t xml:space="preserve"> </w:t>
      </w:r>
      <w:r>
        <w:t xml:space="preserve">(A.B. Frank) Donk.), anastomosis group 1,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r>
        <w:t xml:space="preserve"> </w:t>
      </w:r>
      <w:r>
        <w:t xml:space="preserve">Due to the use of a severity scale for data collection, the severity data were converted to the midpoint percent value of the scale range for each value.</w:t>
      </w:r>
    </w:p>
    <w:p>
      <w:pPr>
        <w:pStyle w:val="BodyText"/>
      </w:pPr>
      <w:r>
        <w:t xml:space="preserve">The correlations between tiller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2020)</w:t>
      </w:r>
      <w:r>
        <w:t xml:space="preserve">.</w:t>
      </w:r>
      <w:r>
        <w:t xml:space="preserve"> </w:t>
      </w:r>
      <w:r>
        <w:t xml:space="preserve">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version 2.29,</w:t>
      </w:r>
      <w:r>
        <w:t xml:space="preserve"> </w:t>
      </w:r>
      <w:r>
        <w:t xml:space="preserve">(Hadfield 2010)</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burn-in.</w:t>
      </w:r>
      <w:r>
        <w:t xml:space="preserve"> </w:t>
      </w:r>
      <w:r>
        <w:t xml:space="preserve">The remaining 50,000 samples were used to determine the posterior distribution of the parameters of the model.</w:t>
      </w:r>
      <w:r>
        <w:t xml:space="preserve"> </w:t>
      </w:r>
      <w:r>
        <w:t xml:space="preserve">The</w:t>
      </w:r>
      <w:r>
        <w:t xml:space="preserve"> </w:t>
      </w:r>
      <w:r>
        <w:rPr>
          <w:rStyle w:val="VerbatimChar"/>
        </w:rPr>
        <w:t xml:space="preserve">coda</w:t>
      </w:r>
      <w:r>
        <w:t xml:space="preserve"> </w:t>
      </w:r>
      <w:r>
        <w:t xml:space="preserve">version 0.19-3</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w:t>
      </w:r>
      <w:r>
        <w:t xml:space="preserve">a).</w:t>
      </w:r>
      <w:r>
        <w:t xml:space="preserve"> </w:t>
      </w:r>
      <w:r>
        <w:t xml:space="preserve">However, the effects of N treatments N100 and N120 on tiller incidence caused both to be higher and clearly different when compared with the control N0 treatment (Fig. </w:t>
      </w:r>
      <w:r>
        <w:t xml:space="preserve">4</w:t>
      </w:r>
      <w:r>
        <w:t xml:space="preserve">a,</w:t>
      </w:r>
      <w:r>
        <w:t xml:space="preserve"> </w:t>
      </w:r>
      <w:r>
        <w:t xml:space="preserve">??</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w:t>
      </w:r>
      <w:r>
        <w:t xml:space="preserve">b). As in the 2015 study, water management did not clearly statistically differ (Fig. </w:t>
      </w:r>
      <w:r>
        <w:t xml:space="preserve">3</w:t>
      </w:r>
      <w:r>
        <w:t xml:space="preserve">b,</w:t>
      </w:r>
      <w:r>
        <w:t xml:space="preserve"> </w:t>
      </w:r>
      <w:r>
        <w:t xml:space="preserve">??</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w:t>
      </w:r>
      <w:r>
        <w:t xml:space="preserve">b,</w:t>
      </w:r>
      <w:r>
        <w:t xml:space="preserve"> </w:t>
      </w:r>
      <w:r>
        <w:t xml:space="preserve">4</w:t>
      </w:r>
      <w:r>
        <w:t xml:space="preserve">b,</w:t>
      </w:r>
      <w:r>
        <w:t xml:space="preserve"> </w:t>
      </w:r>
      <w:r>
        <w:t xml:space="preserve">??</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0"/>
    <w:bookmarkStart w:id="41" w:name="ref-Dawe2005"/>
    <w:p>
      <w:pPr>
        <w:pStyle w:val="Bibliography"/>
      </w:pPr>
      <w:r>
        <w:t xml:space="preserve">Dawe, D. 2005. Increasing water productivity in rice-based systems in Asia–past trends, current problems, and future prospects. Plant Production Science. 8:221–230.</w:t>
      </w:r>
    </w:p>
    <w:bookmarkEnd w:id="41"/>
    <w:bookmarkStart w:id="43"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2">
        <w:r>
          <w:rPr>
            <w:rStyle w:val="Hyperlink"/>
          </w:rPr>
          <w:t xml:space="preserve">https://CRAN.R-project.org/package=agricolae</w:t>
        </w:r>
      </w:hyperlink>
      <w:r>
        <w:t xml:space="preserve">.</w:t>
      </w:r>
    </w:p>
    <w:bookmarkEnd w:id="43"/>
    <w:bookmarkStart w:id="45"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4">
        <w:r>
          <w:rPr>
            <w:rStyle w:val="Hyperlink"/>
          </w:rPr>
          <w:t xml:space="preserve">https://doi.org/10.1007/s10658-016-0985-8</w:t>
        </w:r>
      </w:hyperlink>
      <w:r>
        <w:t xml:space="preserve"> </w:t>
      </w:r>
      <w:r>
        <w:t xml:space="preserve">[Accessed June 17, 2020].</w:t>
      </w:r>
    </w:p>
    <w:bookmarkEnd w:id="45"/>
    <w:bookmarkStart w:id="46"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6"/>
    <w:bookmarkStart w:id="47"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7"/>
    <w:bookmarkStart w:id="48" w:name="ref-Groth2008"/>
    <w:p>
      <w:pPr>
        <w:pStyle w:val="Bibliography"/>
      </w:pPr>
      <w:r>
        <w:t xml:space="preserve">Groth, D. E. 2008. Effects of cultivar resistance and single fungicide application on rice sheath blight, yield, and quality. Crop Protection. 27:1125–1130.</w:t>
      </w:r>
    </w:p>
    <w:bookmarkEnd w:id="48"/>
    <w:bookmarkStart w:id="50" w:name="ref-MCMCglmm2010"/>
    <w:p>
      <w:pPr>
        <w:pStyle w:val="Bibliography"/>
      </w:pPr>
      <w:r>
        <w:t xml:space="preserve">Hadfield, J. D. 2010. MCMC methods for multi-response generalized linear mixed models: The MCMCglmm R package. Journal of Statistical Software. 33:1–22 Available at:</w:t>
      </w:r>
      <w:r>
        <w:t xml:space="preserve"> </w:t>
      </w:r>
      <w:hyperlink r:id="rId49">
        <w:r>
          <w:rPr>
            <w:rStyle w:val="Hyperlink"/>
          </w:rPr>
          <w:t xml:space="preserve">http://www.jstatsoft.org/v33/i02/</w:t>
        </w:r>
      </w:hyperlink>
      <w:r>
        <w:t xml:space="preserve">.</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8" w:name="ref-Marchetti1991"/>
    <w:p>
      <w:pPr>
        <w:pStyle w:val="Bibliography"/>
      </w:pPr>
      <w:r>
        <w:t xml:space="preserve">Marchetti, M. A., and Bollich, C. N. 1991. Quantification of the relationship between sheath blight severity and yield loss in rice. Plant Disease.</w:t>
      </w:r>
    </w:p>
    <w:bookmarkEnd w:id="58"/>
    <w:bookmarkStart w:id="60"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59">
        <w:r>
          <w:rPr>
            <w:rStyle w:val="Hyperlink"/>
          </w:rPr>
          <w:t xml:space="preserve">http://www4.unfccc.int/ndcregistry/PublishedDocuments/Bangladesh%20First/INDC_2015_of_Bangladesh.pdf</w:t>
        </w:r>
      </w:hyperlink>
      <w:r>
        <w:t xml:space="preserve">.</w:t>
      </w:r>
    </w:p>
    <w:bookmarkEnd w:id="60"/>
    <w:bookmarkStart w:id="62" w:name="ref-coda2006"/>
    <w:p>
      <w:pPr>
        <w:pStyle w:val="Bibliography"/>
      </w:pPr>
      <w:r>
        <w:t xml:space="preserve">Plummer, M., Best, N., Cowles, K., and Vines, K. 2006. CODA: Convergence diagnosis and output analysis for MCMC. R News. 6:7–11 Available at:</w:t>
      </w:r>
      <w:r>
        <w:t xml:space="preserve"> </w:t>
      </w:r>
      <w:hyperlink r:id="rId61">
        <w:r>
          <w:rPr>
            <w:rStyle w:val="Hyperlink"/>
          </w:rPr>
          <w:t xml:space="preserve">https://journal.r-project.org/archive/</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
      <w:r>
        <w:t xml:space="preserve">Table</w:t>
      </w:r>
      <w:bookmarkEnd w:id="88"/>
    </w:p>
    <w:p>
      <w:pPr>
        <w:pStyle w:val="TableCaption"/>
      </w:pPr>
      <w:r>
        <w:t xml:space="preserve">(#tab:N-rates)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w:tblPr>
        <w:tblStyle w:val="Table"/>
        <w:tblW w:type="pct" w:w="4166.666666666666"/>
        <w:tblLook w:firstRow="1"/>
        <w:tblCaption w:val="(#tab:N-rates) Nitrogen application rates for 2015 and 2016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
      </w:tblPr>
      <w:tblGrid>
        <w:gridCol w:w="1210"/>
        <w:gridCol w:w="880"/>
        <w:gridCol w:w="880"/>
        <w:gridCol w:w="1320"/>
        <w:gridCol w:w="23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Basal</w:t>
            </w:r>
          </w:p>
        </w:tc>
        <w:tc>
          <w:tcPr>
            <w:tcBorders>
              <w:bottom w:val="single"/>
            </w:tcBorders>
            <w:vAlign w:val="bottom"/>
          </w:tcPr>
          <w:p>
            <w:pPr>
              <w:pStyle w:val="Compact"/>
              <w:jc w:val="center"/>
            </w:pPr>
            <w:r>
              <w:t xml:space="preserve">Tillering</w:t>
            </w:r>
          </w:p>
        </w:tc>
        <w:tc>
          <w:tcPr>
            <w:tcBorders>
              <w:bottom w:val="single"/>
            </w:tcBorders>
            <w:vAlign w:val="bottom"/>
          </w:tcPr>
          <w:p>
            <w:pPr>
              <w:pStyle w:val="Compact"/>
              <w:jc w:val="center"/>
            </w:pPr>
            <w:r>
              <w:t xml:space="preserve">Panicle Initiation</w:t>
            </w:r>
          </w:p>
        </w:tc>
      </w:tr>
      <w:tr>
        <w:tc>
          <w:p>
            <w:pPr>
              <w:pStyle w:val="Compact"/>
              <w:jc w:val="center"/>
            </w:pPr>
            <w:r>
              <w:rPr>
                <w:b/>
              </w:rPr>
              <w:t xml:space="preserve">N0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N100</w:t>
            </w:r>
          </w:p>
        </w:tc>
        <w:tc>
          <w:p>
            <w:pPr>
              <w:pStyle w:val="Compact"/>
              <w:jc w:val="center"/>
            </w:pPr>
            <w:r>
              <w:t xml:space="preserve">100</w:t>
            </w:r>
          </w:p>
        </w:tc>
        <w:tc>
          <w:p>
            <w:pPr>
              <w:pStyle w:val="Compact"/>
              <w:jc w:val="center"/>
            </w:pPr>
            <w:r>
              <w:t xml:space="preserve">60</w:t>
            </w:r>
          </w:p>
        </w:tc>
        <w:tc>
          <w:p>
            <w:pPr>
              <w:pStyle w:val="Compact"/>
              <w:jc w:val="center"/>
            </w:pPr>
            <w:r>
              <w:t xml:space="preserve">20</w:t>
            </w:r>
          </w:p>
        </w:tc>
        <w:tc>
          <w:p>
            <w:pPr>
              <w:pStyle w:val="Compact"/>
              <w:jc w:val="center"/>
            </w:pPr>
            <w:r>
              <w:t xml:space="preserve">20</w:t>
            </w:r>
          </w:p>
        </w:tc>
      </w:tr>
      <w:tr>
        <w:tc>
          <w:p>
            <w:pPr>
              <w:pStyle w:val="Compact"/>
              <w:jc w:val="center"/>
            </w:pPr>
            <w:r>
              <w:rPr>
                <w:b/>
              </w:rPr>
              <w:t xml:space="preserve">N120</w:t>
            </w:r>
          </w:p>
        </w:tc>
        <w:tc>
          <w:p>
            <w:pPr>
              <w:pStyle w:val="Compact"/>
              <w:jc w:val="center"/>
            </w:pPr>
            <w:r>
              <w:t xml:space="preserve">120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r>
      <w:tr>
        <w:tc>
          <w:p>
            <w:pPr>
              <w:pStyle w:val="Compact"/>
              <w:jc w:val="center"/>
            </w:pPr>
            <w:r>
              <w:rPr>
                <w:b/>
              </w:rPr>
              <w:t xml:space="preserve">N60</w:t>
            </w:r>
          </w:p>
        </w:tc>
        <w:tc>
          <w:p>
            <w:pPr>
              <w:pStyle w:val="Compact"/>
              <w:jc w:val="center"/>
            </w:pPr>
            <w:r>
              <w:t xml:space="preserve">60</w:t>
            </w:r>
          </w:p>
        </w:tc>
        <w:tc>
          <w:p>
            <w:pPr>
              <w:pStyle w:val="Compact"/>
              <w:jc w:val="center"/>
            </w:pPr>
            <w:r>
              <w:t xml:space="preserve">30</w:t>
            </w:r>
          </w:p>
        </w:tc>
        <w:tc>
          <w:p>
            <w:pPr>
              <w:pStyle w:val="Compact"/>
              <w:jc w:val="center"/>
            </w:pPr>
            <w:r>
              <w:t xml:space="preserve">30</w:t>
            </w:r>
          </w:p>
        </w:tc>
        <w:tc>
          <w:p>
            <w:pPr>
              <w:pStyle w:val="Compact"/>
              <w:jc w:val="center"/>
            </w:pPr>
            <w:r>
              <w:t xml:space="preserve">0</w:t>
            </w:r>
          </w:p>
        </w:tc>
      </w:tr>
      <w:tr>
        <w:tc>
          <w:p>
            <w:pPr>
              <w:pStyle w:val="Compact"/>
              <w:jc w:val="center"/>
            </w:pPr>
            <w:r>
              <w:rPr>
                <w:b/>
              </w:rPr>
              <w:t xml:space="preserve">N180</w:t>
            </w:r>
          </w:p>
        </w:tc>
        <w:tc>
          <w:p>
            <w:pPr>
              <w:pStyle w:val="Compact"/>
              <w:jc w:val="center"/>
            </w:pPr>
            <w:r>
              <w:t xml:space="preserve">180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r>
    </w:tbl>
    <w:p>
      <w:pPr>
        <w:pStyle w:val="Heading5"/>
      </w:pPr>
      <w:bookmarkStart w:id="89" w:name="pagebreak-3"/>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5" w:name="colophon"/>
      <w:r>
        <w:t xml:space="preserve">Colophon</w:t>
      </w:r>
      <w:bookmarkEnd w:id="95"/>
    </w:p>
    <w:p>
      <w:pPr>
        <w:pStyle w:val="FirstParagraph"/>
      </w:pPr>
      <w:r>
        <w:t xml:space="preserve">This report was generated on 2020-07-07 08:56:45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bookdown     * 0.20       2020-06-23 [1] CRAN (R 4.0.0)</w:t>
      </w:r>
      <w:r>
        <w:br/>
      </w:r>
      <w:r>
        <w:rPr>
          <w:rStyle w:val="VerbatimChar"/>
        </w:rPr>
        <w:t xml:space="preserve">#&gt;  broom          0.5.6      2020-04-20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colorspace     1.4-1      2019-03-18 [1] CRAN (R 4.0.0)</w:t>
      </w:r>
      <w:r>
        <w:br/>
      </w:r>
      <w:r>
        <w:rPr>
          <w:rStyle w:val="VerbatimChar"/>
        </w:rPr>
        <w:t xml:space="preserve">#&gt;  crayon         1.3.4      2017-09-16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haven          2.3.1      2020-06-01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magrittr       1.5        2014-11-22 [1] CRAN (R 4.0.0)</w:t>
      </w:r>
      <w:r>
        <w:br/>
      </w:r>
      <w:r>
        <w:rPr>
          <w:rStyle w:val="VerbatimChar"/>
        </w:rPr>
        <w:t xml:space="preserve">#&gt;  munsell        0.5.0      2018-06-12 [1] CRAN (R 4.0.0)</w:t>
      </w:r>
      <w:r>
        <w:br/>
      </w:r>
      <w:r>
        <w:rPr>
          <w:rStyle w:val="VerbatimChar"/>
        </w:rPr>
        <w:t xml:space="preserve">#&gt;  nlme           3.1-148    2020-05-24 [1] CRAN (R 4.0.2)</w:t>
      </w:r>
      <w:r>
        <w:br/>
      </w:r>
      <w:r>
        <w:rPr>
          <w:rStyle w:val="VerbatimChar"/>
        </w:rPr>
        <w:t xml:space="preserve">#&gt;  openxlsx       4.1.5      2020-05-06 [1] CRAN (R 4.0.0)</w:t>
      </w:r>
      <w:r>
        <w:br/>
      </w:r>
      <w:r>
        <w:rPr>
          <w:rStyle w:val="VerbatimChar"/>
        </w:rPr>
        <w:t xml:space="preserve">#&gt;  pander       * 0.6.3      2018-11-06 [1] CRAN (R 4.0.0)</w:t>
      </w:r>
      <w:r>
        <w:br/>
      </w:r>
      <w:r>
        <w:rPr>
          <w:rStyle w:val="VerbatimChar"/>
        </w:rPr>
        <w:t xml:space="preserve">#&gt;  pillar         1.4.4      2020-05-05 [1] CRAN (R 4.0.0)</w:t>
      </w:r>
      <w:r>
        <w:br/>
      </w:r>
      <w:r>
        <w:rPr>
          <w:rStyle w:val="VerbatimChar"/>
        </w:rPr>
        <w:t xml:space="preserve">#&gt;  pkgconfig      2.0.3      2019-09-22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1.0.4.6    2020-04-09 [1] CRAN (R 4.0.0)</w:t>
      </w:r>
      <w:r>
        <w:br/>
      </w:r>
      <w:r>
        <w:rPr>
          <w:rStyle w:val="VerbatimChar"/>
        </w:rPr>
        <w:t xml:space="preserve">#&gt;  readxl         1.3.1      2019-03-13 [1] CRAN (R 4.0.0)</w:t>
      </w:r>
      <w:r>
        <w:br/>
      </w:r>
      <w:r>
        <w:rPr>
          <w:rStyle w:val="VerbatimChar"/>
        </w:rPr>
        <w:t xml:space="preserve">#&gt;  rice.awd.shb * 0.0.0.9000 2020-07-06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tibble         3.0.1      2020-04-20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[4843661] 2020-07-06: Update a04_data_analysis.Rmd</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61" Target="https://journal.r-project.org/archive/"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49" Target="http://www.jstatsoft.org/v33/i02/"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42"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4"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61" Target="https://journal.r-project.org/archive/"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2020-07-06T22:56:52Z</dcterms:created>
  <dcterms:modified xsi:type="dcterms:W3CDTF">2020-07-06T22:56:52Z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 in the incidence of tiller sheath blight due to irrigation, tiller and leaf sheath blight did clearly differ statistically by irrigation treatment, but leaf sheath blight severity did not.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07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