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21</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useable,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accessability.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respositories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openly and reproducibly sharing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Among the journals, both fundamental and/or applied as well as journals covering specific group of pathogens/plants or broad areas were included.</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gsheets as a comma separated value (CSV) file for later use and distribution.</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Journals were provided a score for whether they were completely open (TRUE), behind a paywall (FALSE) or a combination (BOTH).</w:t>
      </w:r>
      <w:r>
        <w:t xml:space="preserve"> </w:t>
      </w:r>
      <w:r>
        <w:t xml:space="preserve">The five-year impact factor for each journal was retreived from (XXXXX) and entered in the notes.</w:t>
      </w:r>
    </w:p>
    <w:p>
      <w:pPr>
        <w:pStyle w:val="BodyText"/>
      </w:pPr>
      <w:r>
        <w:t xml:space="preserve">Articles were provided classifications, whether they were fundamental or applied and a note was made whether the article’s primary focus was molecular (TRUE/FALSE).</w:t>
      </w:r>
    </w:p>
    <w:p>
      <w:pPr>
        <w:pStyle w:val="BodyText"/>
      </w:pPr>
      <w:r>
        <w:t xml:space="preserve">Where possible the software used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3"/>
        </w:numPr>
      </w:pPr>
      <w:r>
        <w:t xml:space="preserve">2 - Uses proprietary software that most individuals can afford (</w:t>
      </w:r>
      <w:r>
        <w:rPr>
          <w:i/>
        </w:rPr>
        <w:t xml:space="preserve">e.g.</w:t>
      </w:r>
      <w:r>
        <w:t xml:space="preserve">, Excel, Matlab? ($500))</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w:t>
      </w:r>
      <w:r>
        <w:t xml:space="preserve"> </w:t>
      </w:r>
      <w:r>
        <w:t xml:space="preserve">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w:t>
      </w:r>
      <w:r>
        <w:t xml:space="preserve"> </w:t>
      </w:r>
      <w:r>
        <w:t xml:space="preserve">dataverse or university library or some other proper archiving system)</w:t>
      </w:r>
    </w:p>
    <w:p>
      <w:pPr>
        <w:pStyle w:val="Heading2"/>
      </w:pPr>
      <w:bookmarkStart w:id="34" w:name="results"/>
      <w:r>
        <w:t xml:space="preserve">Results</w:t>
      </w:r>
      <w:bookmarkEnd w:id="34"/>
    </w:p>
    <w:p>
      <w:pPr>
        <w:pStyle w:val="FirstParagraph"/>
      </w:pPr>
      <w:r>
        <w:t xml:space="preserve">No journals were completely closed, all offered at least an option for open access but some were completely open.</w:t>
      </w:r>
    </w:p>
    <w:p>
      <w:pPr>
        <w:pStyle w:val="BodyText"/>
      </w:pPr>
      <w:r>
        <w:t xml:space="preserve">The majority of the articles were classed as fundamental, 160, with 138 classed as applied.</w:t>
      </w:r>
    </w:p>
    <w:p>
      <w:pPr>
        <w:pStyle w:val="BodyText"/>
      </w:pPr>
      <w:r>
        <w:t xml:space="preserve">Most articles did not make any computational methods available in any fashion with two classing as</w:t>
      </w:r>
      <w:r>
        <w:t xml:space="preserve"> </w:t>
      </w:r>
      <w:r>
        <w:t xml:space="preserve">“</w:t>
      </w:r>
      <w:r>
        <w:t xml:space="preserve">3</w:t>
      </w:r>
      <w:r>
        <w:t xml:space="preserve">”</w:t>
      </w:r>
      <w:r>
        <w:t xml:space="preserve"> </w:t>
      </w:r>
      <w:r>
        <w:t xml:space="preserve">(0.007 %), which was the highest score available, 287 were classed as</w:t>
      </w:r>
      <w:r>
        <w:t xml:space="preserve"> </w:t>
      </w:r>
      <w:r>
        <w:t xml:space="preserve">“</w:t>
      </w:r>
      <w:r>
        <w:t xml:space="preserve">0</w:t>
      </w:r>
      <w:r>
        <w:t xml:space="preserve">”</w:t>
      </w:r>
      <w:r>
        <w:t xml:space="preserve"> </w:t>
      </w:r>
      <w:r>
        <w:t xml:space="preserve">(96 %) 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A custom R function,</w:t>
      </w:r>
      <w:r>
        <w:t xml:space="preserve"> </w:t>
      </w:r>
      <w:r>
        <w:rPr>
          <w:rStyle w:val="VerbatimChar"/>
        </w:rPr>
        <w:t xml:space="preserve">Reproducibility.in.Plant.Pathology::import_rrpp()</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The majority of articles scored very low in our reproducibility assessment, 82.6 % scored 0 out of 12, which was not reproducible at all (Table</w:t>
      </w:r>
      <w:r>
        <w:t xml:space="preserve"> </w:t>
      </w:r>
      <w:r>
        <w:t xml:space="preserve">3</w:t>
      </w:r>
      <w:r>
        <w:t xml:space="preserve">).</w:t>
      </w:r>
      <w:r>
        <w:t xml:space="preserve"> </w:t>
      </w:r>
      <w:r>
        <w:t xml:space="preserve">The highest scoring article recieved an 11 out of 12.</w:t>
      </w:r>
    </w:p>
    <w:p>
      <w:pPr>
        <w:numPr>
          <w:ilvl w:val="0"/>
          <w:numId w:val="1006"/>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Style w:val="Compact"/>
      </w:pPr>
      <w:r>
        <w:t xml:space="preserve">Duku et al. </w:t>
      </w:r>
      <w:r>
        <w:t xml:space="preserve">(2016)</w:t>
      </w:r>
      <w:r>
        <w:t xml:space="preserve"> </w:t>
      </w:r>
      <w:r>
        <w:t xml:space="preserve">provide models, data and code, (</w:t>
      </w:r>
      <w:hyperlink r:id="rId35">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Style w:val="Compact"/>
      </w:pPr>
      <w:r>
        <w:t xml:space="preserve">Sparks et al. </w:t>
      </w:r>
      <w:r>
        <w:t xml:space="preserve">(2011, 2014)</w:t>
      </w:r>
      <w:r>
        <w:t xml:space="preserve"> </w:t>
      </w:r>
      <w:r>
        <w:t xml:space="preserve">provide models, data and code, (</w:t>
      </w:r>
      <w:hyperlink r:id="rId3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7">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8">
        <w:r>
          <w:rPr>
            <w:rStyle w:val="Hyperlink"/>
          </w:rPr>
          <w:t xml:space="preserve">https://github.com/grunwaldlab/Sudden_Oak_Death_in_Oregon_Forests</w:t>
        </w:r>
      </w:hyperlink>
    </w:p>
    <w:p>
      <w:pPr>
        <w:numPr>
          <w:ilvl w:val="0"/>
          <w:numId w:val="1006"/>
        </w:numPr>
        <w:pStyle w:val="Compact"/>
      </w:pPr>
      <w:r>
        <w:t xml:space="preserve">Other examples from plant pathology providing e-Xtras or supplemental material</w:t>
      </w:r>
    </w:p>
    <w:p>
      <w:pPr>
        <w:pStyle w:val="Heading1"/>
      </w:pPr>
      <w:bookmarkStart w:id="39" w:name="discussion"/>
      <w:r>
        <w:t xml:space="preserve">Discussion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77" w:name="refs"/>
    <w:bookmarkStart w:id="44" w:name="ref-ARC2018"/>
    <w:p>
      <w:pPr>
        <w:pStyle w:val="Bibliography"/>
      </w:pPr>
      <w:r>
        <w:t xml:space="preserve">Australian Research Council. 2018. ARC Open Access Policy.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7"/>
    <w:bookmarkStart w:id="49" w:name="ref-Fidler2013"/>
    <w:p>
      <w:pPr>
        <w:pStyle w:val="Bibliography"/>
      </w:pPr>
      <w:r>
        <w:t xml:space="preserve">Fidler, F., and Gordon, A. 2013. Science is in a reproducibility crisis: How do we resolve it? Phys.org. Available at:</w:t>
      </w:r>
      <w:r>
        <w:t xml:space="preserve"> </w:t>
      </w:r>
      <w:hyperlink r:id="rId48">
        <w:r>
          <w:rPr>
            <w:rStyle w:val="Hyperlink"/>
          </w:rPr>
          <w:t xml:space="preserve">http://phys.org/news/2013-09-science-crisis.html?utm{\_}content=bufferde383{\{}{\&amp;}{\}}utm{\_}source=buffer{\{}{\&amp;}{\}}utm{\_}medium=twitter{\{}{\&amp;}{\}}utm{\_}campaign=Buffer{\{}{\#}{\}}ajTabs</w:t>
        </w:r>
      </w:hyperlink>
      <w:r>
        <w:t xml:space="preserve">.</w:t>
      </w:r>
    </w:p>
    <w:bookmarkEnd w:id="49"/>
    <w:bookmarkStart w:id="51" w:name="ref-Fitzjohn2014"/>
    <w:p>
      <w:pPr>
        <w:pStyle w:val="Bibliography"/>
      </w:pPr>
      <w:r>
        <w:t xml:space="preserve">Fitzjohn, R., Pennell, M., Zanne, A., and Cornwell, W. 2014. Reproducible research is still a challenge. ROpensci.org. 2014 Available at:</w:t>
      </w:r>
      <w:r>
        <w:t xml:space="preserve"> </w:t>
      </w:r>
      <w:hyperlink r:id="rId50">
        <w:r>
          <w:rPr>
            <w:rStyle w:val="Hyperlink"/>
          </w:rPr>
          <w:t xml:space="preserve">http://ropensci.org/blog/2014/06/09/reproducibility/</w:t>
        </w:r>
      </w:hyperlink>
      <w:r>
        <w:t xml:space="preserve">.</w:t>
      </w:r>
    </w:p>
    <w:bookmarkEnd w:id="51"/>
    <w:bookmarkStart w:id="53"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52">
        <w:r>
          <w:rPr>
            <w:rStyle w:val="Hyperlink"/>
          </w:rPr>
          <w:t xml:space="preserve">http://www.science.gc.ca/eic/site/063.nsf/eng/h_F6765465.html?OpenDocument</w:t>
        </w:r>
      </w:hyperlink>
      <w:r>
        <w:t xml:space="preserve"> </w:t>
      </w:r>
      <w:r>
        <w:t xml:space="preserve">[Accessed April 12, 2019].</w:t>
      </w:r>
    </w:p>
    <w:bookmarkEnd w:id="53"/>
    <w:bookmarkStart w:id="54" w:name="ref-Ioannidis2014"/>
    <w:p>
      <w:pPr>
        <w:pStyle w:val="Bibliography"/>
      </w:pPr>
      <w:r>
        <w:t xml:space="preserve">Ioannidis, J. P. A. 2014. How to make more published research true. PLoS Med. 11.</w:t>
      </w:r>
    </w:p>
    <w:bookmarkEnd w:id="54"/>
    <w:bookmarkStart w:id="55" w:name="ref-Iqbal2016"/>
    <w:p>
      <w:pPr>
        <w:pStyle w:val="Bibliography"/>
      </w:pPr>
      <w:r>
        <w:t xml:space="preserve">Iqbal, S. A., Wallach, J. D., Khoury, M. J., Schully, S. D., and Ioannidis, J. P. A. 2016. Reproducible Research Practices and Transparency across the Biomedical Literature. PLoS Biol. 14:1–13.</w:t>
      </w:r>
    </w:p>
    <w:bookmarkEnd w:id="55"/>
    <w:bookmarkStart w:id="56"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6"/>
    <w:bookmarkStart w:id="57"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7"/>
    <w:bookmarkStart w:id="58" w:name="ref-Nature2016"/>
    <w:p>
      <w:pPr>
        <w:pStyle w:val="Bibliography"/>
      </w:pPr>
      <w:r>
        <w:t xml:space="preserve">Nature, E. at. 2016. Reality check on reproducibility. Nature. 533:437.</w:t>
      </w:r>
    </w:p>
    <w:bookmarkEnd w:id="58"/>
    <w:bookmarkStart w:id="60" w:name="ref-Patil2016"/>
    <w:p>
      <w:pPr>
        <w:pStyle w:val="Bibliography"/>
      </w:pPr>
      <w:r>
        <w:t xml:space="preserve">Patil, P., Peng, R. D., and Leek, J. 2016. A statistical definition for reproducibility and replicability. bioRxiv. Available at:</w:t>
      </w:r>
      <w:r>
        <w:t xml:space="preserve"> </w:t>
      </w:r>
      <w:hyperlink r:id="rId59">
        <w:r>
          <w:rPr>
            <w:rStyle w:val="Hyperlink"/>
          </w:rPr>
          <w:t xml:space="preserve">http://biorxiv.org/content/early/2016/07/29/066803</w:t>
        </w:r>
      </w:hyperlink>
      <w:r>
        <w:t xml:space="preserve">.</w:t>
      </w:r>
    </w:p>
    <w:bookmarkEnd w:id="60"/>
    <w:bookmarkStart w:id="61" w:name="ref-Peng2009"/>
    <w:p>
      <w:pPr>
        <w:pStyle w:val="Bibliography"/>
      </w:pPr>
      <w:r>
        <w:t xml:space="preserve">Peng, R. D. 2009. Reproducible research and Biostatistics. Biostatistics. 10:405–408.</w:t>
      </w:r>
    </w:p>
    <w:bookmarkEnd w:id="61"/>
    <w:bookmarkStart w:id="63"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2">
        <w:r>
          <w:rPr>
            <w:rStyle w:val="Hyperlink"/>
          </w:rPr>
          <w:t xml:space="preserve">https://www.R-project.org/</w:t>
        </w:r>
      </w:hyperlink>
      <w:r>
        <w:t xml:space="preserve">.</w:t>
      </w:r>
    </w:p>
    <w:bookmarkEnd w:id="63"/>
    <w:bookmarkStart w:id="64" w:name="ref-Sparks2011"/>
    <w:p>
      <w:pPr>
        <w:pStyle w:val="Bibliography"/>
      </w:pPr>
      <w:r>
        <w:t xml:space="preserve">Sparks, A. H., Forbes, G. A., Hijmans, R. J., and Garrett, K. A. 2011. A metamodeling framework for extending the application domain of process-based ecological models. Ecosphere. 2:art90.</w:t>
      </w:r>
    </w:p>
    <w:bookmarkEnd w:id="64"/>
    <w:bookmarkStart w:id="65" w:name="ref-Sparks2014"/>
    <w:p>
      <w:pPr>
        <w:pStyle w:val="Bibliography"/>
      </w:pPr>
      <w:r>
        <w:t xml:space="preserve">Sparks, A. H., Forbes, G. A., Hijmans, R. J., and Garrett, K. A. 2014. Climate change may have limited effect on global risk of potato late blight. Global Change Biology.:3621–3631.</w:t>
      </w:r>
    </w:p>
    <w:bookmarkEnd w:id="65"/>
    <w:bookmarkStart w:id="67" w:name="ref-Sparks2017"/>
    <w:p>
      <w:pPr>
        <w:pStyle w:val="Bibliography"/>
      </w:pPr>
      <w:r>
        <w:t xml:space="preserve">Sparks, A. H., Ponte, E. M. D., Foster, Z., and Grünwald, N. J. 2017. Reproducible-research-in-plant-pathology. Available at:</w:t>
      </w:r>
      <w:r>
        <w:t xml:space="preserve"> </w:t>
      </w:r>
      <w:hyperlink r:id="rId66">
        <w:r>
          <w:rPr>
            <w:rStyle w:val="Hyperlink"/>
          </w:rPr>
          <w:t xml:space="preserve">https://github.com/openplantpathology/Reproducible-Research-in-Plant-Pathology</w:t>
        </w:r>
      </w:hyperlink>
      <w:r>
        <w:t xml:space="preserve">.</w:t>
      </w:r>
    </w:p>
    <w:bookmarkEnd w:id="67"/>
    <w:bookmarkStart w:id="68" w:name="ref-Stodden2013"/>
    <w:p>
      <w:pPr>
        <w:pStyle w:val="Bibliography"/>
      </w:pPr>
      <w:r>
        <w:t xml:space="preserve">Stodden, V., Guo, P., and Ma, Z. 2013. Toward reproducible computational research: An empirical analysis of data and code policy adoption by journals. PLoS One. 8:2–9.</w:t>
      </w:r>
    </w:p>
    <w:bookmarkEnd w:id="68"/>
    <w:bookmarkStart w:id="69" w:name="ref-Sweedler2015"/>
    <w:p>
      <w:pPr>
        <w:pStyle w:val="Bibliography"/>
      </w:pPr>
      <w:r>
        <w:t xml:space="preserve">Sweedler, J. V. 2015. Striving for Reproducible Science. Anal. Chem. 87:11603–11604.</w:t>
      </w:r>
    </w:p>
    <w:bookmarkEnd w:id="69"/>
    <w:bookmarkStart w:id="70" w:name="ref-vannoorden2017"/>
    <w:p>
      <w:pPr>
        <w:pStyle w:val="Bibliography"/>
      </w:pPr>
      <w:r>
        <w:t xml:space="preserve">van Noorden, R. 2017. Gates Foundation demands open access. Nature. 541:270–270.</w:t>
      </w:r>
    </w:p>
    <w:bookmarkEnd w:id="70"/>
    <w:bookmarkStart w:id="71" w:name="ref-Wald2010"/>
    <w:p>
      <w:pPr>
        <w:pStyle w:val="Bibliography"/>
      </w:pPr>
      <w:r>
        <w:t xml:space="preserve">Wald, C. 2010. Scientists embrace openness.</w:t>
      </w:r>
    </w:p>
    <w:bookmarkEnd w:id="71"/>
    <w:bookmarkStart w:id="72" w:name="ref-Weissgerber2016"/>
    <w:p>
      <w:pPr>
        <w:pStyle w:val="Bibliography"/>
      </w:pPr>
      <w:r>
        <w:t xml:space="preserve">Weissgerber, T. L., Garovic, V. D., Winham, S. J., Milic, N. M., and Prager, E. M. 2016. Transparent reporting for reproducible science. J. Neurosci. Res. 00:1–6.</w:t>
      </w:r>
    </w:p>
    <w:bookmarkEnd w:id="72"/>
    <w:bookmarkStart w:id="74"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3">
        <w:r>
          <w:rPr>
            <w:rStyle w:val="Hyperlink"/>
          </w:rPr>
          <w:t xml:space="preserve">https://www.nature.com/articles/sdata201618</w:t>
        </w:r>
      </w:hyperlink>
      <w:r>
        <w:t xml:space="preserve"> </w:t>
      </w:r>
      <w:r>
        <w:t xml:space="preserve">[Accessed April 20, 2020].</w:t>
      </w:r>
    </w:p>
    <w:bookmarkEnd w:id="74"/>
    <w:bookmarkStart w:id="76" w:name="ref-Ziemann2016"/>
    <w:p>
      <w:pPr>
        <w:pStyle w:val="Bibliography"/>
      </w:pPr>
      <w:r>
        <w:t xml:space="preserve">Ziemann, M., Eren, Y., and El-Osta, A. 2016. Gene name errors are widespread in the scientific literature. Genome Biology. 17:177 Available at:</w:t>
      </w:r>
      <w:r>
        <w:t xml:space="preserve"> </w:t>
      </w:r>
      <w:hyperlink r:id="rId75">
        <w:r>
          <w:rPr>
            <w:rStyle w:val="Hyperlink"/>
          </w:rPr>
          <w:t xml:space="preserve">https://doi.org/10.1186/s13059-016-1044-7</w:t>
        </w:r>
      </w:hyperlink>
      <w:r>
        <w:t xml:space="preserve"> </w:t>
      </w:r>
      <w:r>
        <w:t xml:space="preserve">[Accessed April 20, 2020].</w:t>
      </w:r>
    </w:p>
    <w:bookmarkEnd w:id="76"/>
    <w:bookmarkEnd w:id="77"/>
    <w:p>
      <w:pPr>
        <w:pStyle w:val="Heading5"/>
      </w:pPr>
      <w:bookmarkStart w:id="78" w:name="pagebreak-1"/>
      <w:r>
        <w:t xml:space="preserve">pagebreak</w:t>
      </w:r>
      <w:bookmarkEnd w:id="78"/>
    </w:p>
    <w:p>
      <w:pPr>
        <w:pStyle w:val="Heading1"/>
      </w:pPr>
      <w:bookmarkStart w:id="79" w:name="tables"/>
      <w:r>
        <w:t xml:space="preserve">Tables</w:t>
      </w:r>
      <w:bookmarkEnd w:id="79"/>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0" w:name="pagebreak-2"/>
      <w:r>
        <w:t xml:space="preserve">pagebreak</w:t>
      </w:r>
      <w:bookmarkEnd w:id="80"/>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60"/>
        <w:gridCol w:w="781"/>
        <w:gridCol w:w="121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0.19377</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0.09343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0.50173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0.21107</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1" w:name="pagebreak-3"/>
      <w:r>
        <w:t xml:space="preserve">pagebreak</w:t>
      </w:r>
      <w:bookmarkEnd w:id="81"/>
    </w:p>
    <w:p>
      <w:pPr>
        <w:pStyle w:val="TableCaption"/>
      </w:pPr>
      <w:r>
        <w:t xml:space="preserve">Table: Table 3: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56"/>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82.6%</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2" w:name="pagebreak-4"/>
      <w:r>
        <w:t xml:space="preserve">pagebreak</w:t>
      </w:r>
      <w:bookmarkEnd w:id="82"/>
    </w:p>
    <w:p>
      <w:pPr>
        <w:pStyle w:val="Heading1"/>
      </w:pPr>
      <w:bookmarkStart w:id="83" w:name="figures"/>
      <w:r>
        <w:t xml:space="preserve">Figures</w:t>
      </w:r>
      <w:bookmarkEnd w:id="83"/>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84"/>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85" w:name="pagebreak-5"/>
      <w:r>
        <w:t xml:space="preserve">pagebreak</w:t>
      </w:r>
      <w:bookmarkEnd w:id="85"/>
    </w:p>
    <w:p>
      <w:pPr>
        <w:pStyle w:val="Heading1"/>
      </w:pPr>
      <w:bookmarkStart w:id="86" w:name="colophon"/>
      <w:r>
        <w:t xml:space="preserve">Colophon</w:t>
      </w:r>
      <w:bookmarkEnd w:id="86"/>
    </w:p>
    <w:p>
      <w:pPr>
        <w:pStyle w:val="FirstParagraph"/>
      </w:pPr>
      <w:r>
        <w:t xml:space="preserve">This report was generated on 2020-04-21 17:58:01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officer_0.3.8                             </w:t>
      </w:r>
      <w:r>
        <w:br/>
      </w:r>
      <w:r>
        <w:rPr>
          <w:rStyle w:val="VerbatimChar"/>
        </w:rPr>
        <w:t xml:space="preserve">#&gt; [5] flextable_0.5.9                           </w:t>
      </w:r>
      <w:r>
        <w:br/>
      </w:r>
      <w:r>
        <w:rPr>
          <w:rStyle w:val="VerbatimChar"/>
        </w:rPr>
        <w:t xml:space="preserve">#&gt; [6] janitor_2.0.1                             </w:t>
      </w:r>
      <w:r>
        <w:br/>
      </w:r>
      <w:r>
        <w:rPr>
          <w:rStyle w:val="VerbatimChar"/>
        </w:rPr>
        <w:t xml:space="preserve">#&gt; [7] dplyr_0.8.5                               </w:t>
      </w:r>
      <w:r>
        <w:br/>
      </w:r>
      <w:r>
        <w:rPr>
          <w:rStyle w:val="VerbatimChar"/>
        </w:rPr>
        <w:t xml:space="preserve">#&gt; [8]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Rcpp_1.0.4.8       highr_0.8          RColorBrewer_1.1-2</w:t>
      </w:r>
      <w:r>
        <w:br/>
      </w:r>
      <w:r>
        <w:rPr>
          <w:rStyle w:val="VerbatimChar"/>
        </w:rPr>
        <w:t xml:space="preserve">#&gt;  [5] pillar_1.4.3       compiler_3.6.3     base64enc_0.1-3    tools_3.6.3       </w:t>
      </w:r>
      <w:r>
        <w:br/>
      </w:r>
      <w:r>
        <w:rPr>
          <w:rStyle w:val="VerbatimChar"/>
        </w:rPr>
        <w:t xml:space="preserve">#&gt;  [9] digest_0.6.25      uuid_0.1-4         jsonlite_1.6.1     lubridate_1.7.8   </w:t>
      </w:r>
      <w:r>
        <w:br/>
      </w:r>
      <w:r>
        <w:rPr>
          <w:rStyle w:val="VerbatimChar"/>
        </w:rPr>
        <w:t xml:space="preserve">#&gt; [13] evaluate_0.14      lifecycle_0.2.0    tibble_3.0.1       pkgconfig_2.0.3   </w:t>
      </w:r>
      <w:r>
        <w:br/>
      </w:r>
      <w:r>
        <w:rPr>
          <w:rStyle w:val="VerbatimChar"/>
        </w:rPr>
        <w:t xml:space="preserve">#&gt; [17] rlang_0.4.5        rstudioapi_0.11    curl_4.3           yaml_2.2.1        </w:t>
      </w:r>
      <w:r>
        <w:br/>
      </w:r>
      <w:r>
        <w:rPr>
          <w:rStyle w:val="VerbatimChar"/>
        </w:rPr>
        <w:t xml:space="preserve">#&gt; [21] xfun_0.13          stringr_1.4.0      knitr_1.28         xml2_1.3.1        </w:t>
      </w:r>
      <w:r>
        <w:br/>
      </w:r>
      <w:r>
        <w:rPr>
          <w:rStyle w:val="VerbatimChar"/>
        </w:rPr>
        <w:t xml:space="preserve">#&gt; [25] htmlwidgets_1.5.1  hms_0.5.3          generics_0.0.2     gdtools_0.2.2     </w:t>
      </w:r>
      <w:r>
        <w:br/>
      </w:r>
      <w:r>
        <w:rPr>
          <w:rStyle w:val="VerbatimChar"/>
        </w:rPr>
        <w:t xml:space="preserve">#&gt; [29] vctrs_0.2.4        systemfonts_0.2.0  prompt_1.0.0       tidyselect_1.0.0  </w:t>
      </w:r>
      <w:r>
        <w:br/>
      </w:r>
      <w:r>
        <w:rPr>
          <w:rStyle w:val="VerbatimChar"/>
        </w:rPr>
        <w:t xml:space="preserve">#&gt; [33] glue_1.4.0.9000    snakecase_0.11.0   data.table_1.12.8  R6_2.4.1          </w:t>
      </w:r>
      <w:r>
        <w:br/>
      </w:r>
      <w:r>
        <w:rPr>
          <w:rStyle w:val="VerbatimChar"/>
        </w:rPr>
        <w:t xml:space="preserve">#&gt; [37] rmarkdown_2.1      bookdown_0.18      tidyr_1.0.2        readr_1.3.1       </w:t>
      </w:r>
      <w:r>
        <w:br/>
      </w:r>
      <w:r>
        <w:rPr>
          <w:rStyle w:val="VerbatimChar"/>
        </w:rPr>
        <w:t xml:space="preserve">#&gt; [41] purrr_0.3.4        magrittr_1.5       clisymbols_1.2.0   ellipsis_0.3.0    </w:t>
      </w:r>
      <w:r>
        <w:br/>
      </w:r>
      <w:r>
        <w:rPr>
          <w:rStyle w:val="VerbatimChar"/>
        </w:rPr>
        <w:t xml:space="preserve">#&gt; [45] htmltools_0.4.0    assertthat_0.2.1   V8_3.0.2           stringi_1.4.6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[f94a0c6] 2020-04-21: Add text to Sharing Your Research section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df" /><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6" Target="http://adamhsparks.github.io/Global-Late-Blight-MetaModelling/" TargetMode="External" /><Relationship Type="http://schemas.openxmlformats.org/officeDocument/2006/relationships/hyperlink" Id="rId35" Target="http://adamhsparks.github.io/MICCORDEA/" TargetMode="External" /><Relationship Type="http://schemas.openxmlformats.org/officeDocument/2006/relationships/hyperlink" Id="rId37" Target="http://apsjournals.apsnet.org/doi/full/10.1094/PHYTO-12-14-0350-FI" TargetMode="External" /><Relationship Type="http://schemas.openxmlformats.org/officeDocument/2006/relationships/hyperlink" Id="rId59" Target="http://biorxiv.org/content/early/2016/07/29/066803" TargetMode="External" /><Relationship Type="http://schemas.openxmlformats.org/officeDocument/2006/relationships/hyperlink" Id="rId48"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0" Target="http://ropensci.org/blog/2014/06/09/reproducibility/" TargetMode="External" /><Relationship Type="http://schemas.openxmlformats.org/officeDocument/2006/relationships/hyperlink" Id="rId52" Target="http://www.science.gc.ca/eic/site/063.nsf/eng/h_F6765465.html?OpenDocument" TargetMode="External" /><Relationship Type="http://schemas.openxmlformats.org/officeDocument/2006/relationships/hyperlink" Id="rId75" Target="https://doi.org/10.1186/s13059-016-1044-7" TargetMode="External" /><Relationship Type="http://schemas.openxmlformats.org/officeDocument/2006/relationships/hyperlink" Id="rId38" Target="https://github.com/grunwaldlab/Sudden_Oak_Death_in_Oregon_Forests" TargetMode="External" /><Relationship Type="http://schemas.openxmlformats.org/officeDocument/2006/relationships/hyperlink" Id="rId66" Target="https://github.com/openplantpathology/Reproducible-Research-in-Plant-Pathology" TargetMode="External" /><Relationship Type="http://schemas.openxmlformats.org/officeDocument/2006/relationships/hyperlink" Id="rId28" Target="https://handle.net/" TargetMode="External" /><Relationship Type="http://schemas.openxmlformats.org/officeDocument/2006/relationships/hyperlink" Id="rId62"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3"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2020-04-21T07:58:08Z</dcterms:created>
  <dcterms:modified xsi:type="dcterms:W3CDTF">2020-04-21T07:58:08Z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21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