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Insights</w:t>
      </w:r>
      <w:r>
        <w:t xml:space="preserve"> </w:t>
      </w:r>
      <w:r>
        <w:t xml:space="preserve">Into</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2</w:t>
      </w:r>
      <w:r>
        <w:t xml:space="preserve">,</w:t>
      </w:r>
      <w:r>
        <w:t xml:space="preserve"> </w:t>
      </w:r>
      <w:r>
        <w:t xml:space="preserve">Kaique dos Santos Alves</w:t>
      </w:r>
      <w:r>
        <w:rPr>
          <w:vertAlign w:val="superscript"/>
        </w:rPr>
        <w:t xml:space="preserve">2</w:t>
      </w:r>
      <w:r>
        <w:t xml:space="preserve">,</w:t>
      </w:r>
      <w:r>
        <w:t xml:space="preserve"> </w:t>
      </w:r>
      <w:r>
        <w:t xml:space="preserve">Zachary Foster</w:t>
      </w:r>
      <w:r>
        <w:rPr>
          <w:vertAlign w:val="superscript"/>
        </w:rPr>
        <w:t xml:space="preserve">3</w:t>
      </w:r>
      <w:r>
        <w:t xml:space="preserve">,</w:t>
      </w:r>
      <w:r>
        <w:t xml:space="preserve"> </w:t>
      </w:r>
      <w:r>
        <w:t xml:space="preserve">and</w:t>
      </w:r>
      <w:r>
        <w:t xml:space="preserve"> </w:t>
      </w:r>
      <w:r>
        <w:t xml:space="preserve">Niklaus J Grünwald</w:t>
      </w:r>
      <w:r>
        <w:rPr>
          <w:vertAlign w:val="superscript"/>
        </w:rPr>
        <w:t xml:space="preserve">4</w:t>
      </w:r>
    </w:p>
    <w:p>
      <w:pPr>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is</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300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2018</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FirstParagraph"/>
      </w:pPr>
      <w:r>
        <w:rPr>
          <w:vertAlign w:val="superscript"/>
        </w:rPr>
        <w:t xml:space="preserve">1</w:t>
      </w:r>
      <w:r>
        <w:t xml:space="preserve"> </w:t>
      </w:r>
      <w:r>
        <w:t xml:space="preserve">University of Southern Queensland, Centre for Crop Health, Toowoomba, Queensland, Australia</w:t>
      </w:r>
      <w:r>
        <w:br/>
      </w:r>
      <w:r>
        <w:rPr>
          <w:vertAlign w:val="superscript"/>
        </w:rPr>
        <w:t xml:space="preserve">2</w:t>
      </w:r>
      <w:r>
        <w:t xml:space="preserve"> </w:t>
      </w:r>
      <w:r>
        <w:t xml:space="preserve">Departmento de Fitopatologia, Universidade Federal de Viçosa, Brazil</w:t>
      </w:r>
      <w:r>
        <w:br/>
      </w:r>
      <w:r>
        <w:rPr>
          <w:vertAlign w:val="superscript"/>
        </w:rPr>
        <w:t xml:space="preserve">3</w:t>
      </w:r>
      <w:r>
        <w:t xml:space="preserve"> </w:t>
      </w:r>
      <w:r>
        <w:t xml:space="preserve">Department of Botany and Plant Pathology, Oregon State University, Corvallis, OR, USA</w:t>
      </w:r>
      <w:r>
        <w:br/>
      </w:r>
      <w:r>
        <w:rPr>
          <w:vertAlign w:val="superscript"/>
        </w:rPr>
        <w:t xml:space="preserve">4</w:t>
      </w:r>
      <w:r>
        <w:t xml:space="preserve"> </w:t>
      </w:r>
      <w:r>
        <w:t xml:space="preserve">Horticultural Crops Research Unit, USDA Agricultural Research Service, Corvallis, OR,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(isolates or strains), nucleic/protein sequences, experimental and simulated raw data annotations, drawings and photographs and statistical analysis code among other materials and data generated as a course of conducting research.</w:t>
      </w:r>
    </w:p>
    <w:p>
      <w:pPr>
        <w:pStyle w:val="BodyText"/>
      </w:pPr>
      <w:r>
        <w:t xml:space="preserve">Recently, open science has been highlighted with many donors expecting data to be available</w:t>
      </w:r>
      <w:r>
        <w:t xml:space="preserve"> </w:t>
      </w:r>
      <w:r>
        <w:t xml:space="preserve">(Government of Canada 2016; Noorden 2017; Australian Research Council 2018)</w:t>
      </w:r>
      <w:r>
        <w:t xml:space="preserve">, journals in the field promoting the sharing of data</w:t>
      </w:r>
      <w:r>
        <w:t xml:space="preserve"> </w:t>
      </w:r>
      <w:r>
        <w:t xml:space="preserve">(Tropical Plant Pathology)</w:t>
      </w:r>
      <w:r>
        <w:t xml:space="preserve">, and other scientists interested in sharing and collaborating more widely</w:t>
      </w:r>
      <w:r>
        <w:t xml:space="preserve"> </w:t>
      </w:r>
      <w:r>
        <w:t xml:space="preserve">(Wald 2010)</w:t>
      </w:r>
      <w:r>
        <w:t xml:space="preserve">.</w:t>
      </w:r>
    </w:p>
    <w:p>
      <w:pPr>
        <w:pStyle w:val="BodyText"/>
      </w:pPr>
      <w:r>
        <w:t xml:space="preserve">While open science and reproducibility are not the same, they are linked.</w:t>
      </w:r>
      <w:r>
        <w:t xml:space="preserve"> </w:t>
      </w:r>
      <w:r>
        <w:t xml:space="preserve">By proactively practising open science, the work becomes more reproducible through the availability of data and code.</w:t>
      </w:r>
      <w:r>
        <w:t xml:space="preserve"> </w:t>
      </w:r>
      <w:r>
        <w:t xml:space="preserve">That is, open science leads to reproducibility and replicability.</w:t>
      </w:r>
    </w:p>
    <w:bookmarkStart w:id="21" w:name="definitions"/>
    <w:p>
      <w:pPr>
        <w:pStyle w:val="Heading2"/>
      </w:pPr>
      <w:r>
        <w:t xml:space="preserve">Definitions</w:t>
      </w:r>
    </w:p>
    <w:p>
      <w:pPr>
        <w:pStyle w:val="FirstParagraph"/>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 For instance, reproducible research is recently highlighted by many authors</w:t>
      </w:r>
      <w:r>
        <w:t xml:space="preserve"> </w:t>
      </w:r>
      <w:r>
        <w:t xml:space="preserve">(Fidler and Gordon 2013; Stodden et al. 2013; Fitzjohn et al. 2014; Ioannidis 2014; Brunsdon 2015; Sweedler 2015; Baker 2016; Iqbal et al. 2016; Patil et al. 2016; Weissgerber et al. 2016; Editors at Nature 2016)</w:t>
      </w:r>
      <w:r>
        <w:t xml:space="preserve"> </w:t>
      </w:r>
      <w:r>
        <w:t xml:space="preserve">as an important issue.</w:t>
      </w:r>
      <w:r>
        <w:t xml:space="preserve"> </w:t>
      </w:r>
      <w:r>
        <w:t xml:space="preserve">The International Union of Pure and Applied Chemistry provides</w:t>
      </w:r>
      <w:r>
        <w:t xml:space="preserve"> </w:t>
      </w:r>
      <w:r>
        <w:t xml:space="preserve">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
        </w:rPr>
        <w:t xml:space="preserve">Reproducible research and Biostatistics</w:t>
      </w:r>
      <w:r>
        <w:t xml:space="preserve">. 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 And that the software used are also easily obtained and preferably open source to avoid licensing or other issues related to accessibility for end-users related to costs or non-standard file formats, etc.</w:t>
      </w:r>
    </w:p>
    <w:p>
      <w:pPr>
        <w:pStyle w:val="BodyText"/>
      </w:pPr>
      <w:r>
        <w:t xml:space="preserve">In an effort to understand where as a discipline we stand as plant pathologists in regards to open science and reproducible research, we surveyed a broad selection of articles to represent a broad swathe of publications to evaluate our status.</w:t>
      </w:r>
    </w:p>
    <w:bookmarkEnd w:id="21"/>
    <w:bookmarkEnd w:id="22"/>
    <w:bookmarkStart w:id="26" w:name="materials-and-methods"/>
    <w:p>
      <w:pPr>
        <w:pStyle w:val="Heading1"/>
      </w:pPr>
      <w:r>
        <w:t xml:space="preserve">Materials and methods</w:t>
      </w:r>
    </w:p>
    <w:bookmarkStart w:id="23"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hyperlink w:anchor="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journals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 XXXX, available in this paper’s repository.</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r>
        <w:t xml:space="preserve"> </w:t>
      </w:r>
      <w:r>
        <w:t xml:space="preserve">The list of journals was saved from Google’s sheets as a comma-separated-value (CSV) file for later use and distribution in a research compendium.</w:t>
      </w:r>
    </w:p>
    <w:bookmarkEnd w:id="23"/>
    <w:bookmarkStart w:id="24" w:name="scoring-criteria"/>
    <w:p>
      <w:pPr>
        <w:pStyle w:val="Heading2"/>
      </w:pPr>
      <w:r>
        <w:t xml:space="preserve">Scoring criteria</w:t>
      </w:r>
    </w:p>
    <w:p>
      <w:pPr>
        <w:pStyle w:val="FirstParagraph"/>
      </w:pPr>
      <w:r>
        <w:t xml:space="preserve">Four individuals were assigned to rate a randomised list of journal articles.</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 CSV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Articles were scored in four areas for reproducibility on a scale of 0 to 3:</w:t>
      </w:r>
    </w:p>
    <w:p>
      <w:pPr>
        <w:numPr>
          <w:ilvl w:val="0"/>
          <w:numId w:val="1001"/>
        </w:numPr>
      </w:pPr>
      <w:r>
        <w:rPr>
          <w:b/>
        </w:rPr>
        <w:t xml:space="preserve">computational methods available</w:t>
      </w:r>
    </w:p>
    <w:p>
      <w:pPr>
        <w:numPr>
          <w:ilvl w:val="1"/>
          <w:numId w:val="1002"/>
        </w:numPr>
      </w:pPr>
      <w:r>
        <w:t xml:space="preserve">0 - Not available or not mentioned in the publication</w:t>
      </w:r>
    </w:p>
    <w:p>
      <w:pPr>
        <w:numPr>
          <w:ilvl w:val="1"/>
          <w:numId w:val="1002"/>
        </w:numPr>
      </w:pPr>
      <w:r>
        <w:t xml:space="preserve">1 - Uses expensive proprietary software that only institutions would typically purchase (</w:t>
      </w:r>
      <w:r>
        <w:rPr>
          <w:i/>
        </w:rPr>
        <w:t xml:space="preserve">i.e.</w:t>
      </w:r>
      <w:r>
        <w:t xml:space="preserve">,</w:t>
      </w:r>
      <w:r>
        <w:t xml:space="preserve"> </w:t>
      </w:r>
      <w:r>
        <w:t xml:space="preserve">ArcGIS standard is $7000)</w:t>
      </w:r>
    </w:p>
    <w:p>
      <w:pPr>
        <w:numPr>
          <w:ilvl w:val="1"/>
          <w:numId w:val="1002"/>
        </w:numPr>
      </w:pPr>
      <w:r>
        <w:t xml:space="preserve">2 - Uses proprietary software that most individuals can afford (</w:t>
      </w:r>
      <w:r>
        <w:rPr>
          <w:i/>
        </w:rPr>
        <w:t xml:space="preserve">e.g.</w:t>
      </w:r>
      <w:r>
        <w:t xml:space="preserve">, Excel, Matlab? ($500))</w:t>
      </w:r>
    </w:p>
    <w:p>
      <w:pPr>
        <w:numPr>
          <w:ilvl w:val="1"/>
          <w:numId w:val="1002"/>
        </w:numPr>
      </w:pPr>
      <w:r>
        <w:t xml:space="preserve">3 - Uses entirely open source and free software (</w:t>
      </w:r>
      <w:r>
        <w:rPr>
          <w:i/>
        </w:rPr>
        <w:t xml:space="preserve">e.g.</w:t>
      </w:r>
      <w:r>
        <w:t xml:space="preserve">, R, Julia, Python)</w:t>
      </w:r>
    </w:p>
    <w:p>
      <w:pPr>
        <w:numPr>
          <w:ilvl w:val="1"/>
          <w:numId w:val="1002"/>
        </w:numPr>
      </w:pPr>
      <w:r>
        <w:t xml:space="preserve">NA - No software was used in the research that can be determined as the article is written</w:t>
      </w:r>
    </w:p>
    <w:p>
      <w:pPr>
        <w:numPr>
          <w:ilvl w:val="0"/>
          <w:numId w:val="1001"/>
        </w:numPr>
      </w:pPr>
      <w:r>
        <w:rPr>
          <w:b/>
        </w:rPr>
        <w:t xml:space="preserve">software available</w:t>
      </w:r>
    </w:p>
    <w:p>
      <w:pPr>
        <w:numPr>
          <w:ilvl w:val="1"/>
          <w:numId w:val="1003"/>
        </w:numPr>
      </w:pPr>
      <w:r>
        <w:t xml:space="preserve">0 - Not available or not mentioned in the publication</w:t>
      </w:r>
    </w:p>
    <w:p>
      <w:pPr>
        <w:numPr>
          <w:ilvl w:val="1"/>
          <w:numId w:val="1003"/>
        </w:numPr>
      </w:pPr>
      <w:r>
        <w:t xml:space="preserve">1 - Uses expensive proprietary software that only institutions would typically purchase (</w:t>
      </w:r>
      <w:r>
        <w:rPr>
          <w:i/>
        </w:rPr>
        <w:t xml:space="preserve">i.e.</w:t>
      </w:r>
      <w:r>
        <w:t xml:space="preserve">,</w:t>
      </w:r>
      <w:r>
        <w:t xml:space="preserve"> </w:t>
      </w:r>
      <w:r>
        <w:t xml:space="preserve">ArcGIS standard is $7000US)</w:t>
      </w:r>
    </w:p>
    <w:p>
      <w:pPr>
        <w:numPr>
          <w:ilvl w:val="1"/>
          <w:numId w:val="1003"/>
        </w:numPr>
      </w:pPr>
      <w:r>
        <w:t xml:space="preserve">2 - Uses proprietary software that most individuals can afford (</w:t>
      </w:r>
      <w:r>
        <w:rPr>
          <w:i/>
        </w:rPr>
        <w:t xml:space="preserve">e.g.</w:t>
      </w:r>
      <w:r>
        <w:t xml:space="preserve">, Excel) or SAS that is now available free for use with a university login</w:t>
      </w:r>
    </w:p>
    <w:p>
      <w:pPr>
        <w:numPr>
          <w:ilvl w:val="1"/>
          <w:numId w:val="1003"/>
        </w:numPr>
      </w:pPr>
      <w:r>
        <w:t xml:space="preserve">3 - Uses entirely open source and free software (</w:t>
      </w:r>
      <w:r>
        <w:rPr>
          <w:i/>
        </w:rPr>
        <w:t xml:space="preserve">e.g.</w:t>
      </w:r>
      <w:r>
        <w:t xml:space="preserve">, R, Julia, Python).</w:t>
      </w:r>
    </w:p>
    <w:p>
      <w:pPr>
        <w:numPr>
          <w:ilvl w:val="1"/>
          <w:numId w:val="1003"/>
        </w:numPr>
      </w:pPr>
      <w:r>
        <w:t xml:space="preserve">NA - No software was used in the research that can be determined as the article is written</w:t>
      </w:r>
    </w:p>
    <w:p>
      <w:pPr>
        <w:numPr>
          <w:ilvl w:val="0"/>
          <w:numId w:val="1001"/>
        </w:numPr>
      </w:pPr>
      <w:r>
        <w:rPr>
          <w:b/>
        </w:rPr>
        <w:t xml:space="preserve">software cited</w:t>
      </w:r>
    </w:p>
    <w:p>
      <w:pPr>
        <w:numPr>
          <w:ilvl w:val="1"/>
          <w:numId w:val="1004"/>
        </w:numPr>
      </w:pPr>
      <w:r>
        <w:t xml:space="preserve">0 - not mentioned</w:t>
      </w:r>
    </w:p>
    <w:p>
      <w:pPr>
        <w:numPr>
          <w:ilvl w:val="1"/>
          <w:numId w:val="1004"/>
        </w:numPr>
      </w:pPr>
      <w:r>
        <w:t xml:space="preserve">1 - Software mentioned by name only</w:t>
      </w:r>
    </w:p>
    <w:p>
      <w:pPr>
        <w:numPr>
          <w:ilvl w:val="1"/>
          <w:numId w:val="1004"/>
        </w:numPr>
      </w:pPr>
      <w:r>
        <w:t xml:space="preserve">2 - Software cited with version number</w:t>
      </w:r>
    </w:p>
    <w:p>
      <w:pPr>
        <w:numPr>
          <w:ilvl w:val="1"/>
          <w:numId w:val="1004"/>
        </w:numPr>
      </w:pPr>
      <w:r>
        <w:t xml:space="preserve">3 - All software components (SAS PROCs, R, Julia or Python packages) etc., cited</w:t>
      </w:r>
    </w:p>
    <w:p>
      <w:pPr>
        <w:numPr>
          <w:ilvl w:val="1"/>
          <w:numId w:val="1004"/>
        </w:numPr>
      </w:pPr>
      <w:r>
        <w:t xml:space="preserve">NA - No software was used in the research that can be determined as the article is written.</w:t>
      </w:r>
    </w:p>
    <w:p>
      <w:pPr>
        <w:numPr>
          <w:ilvl w:val="0"/>
          <w:numId w:val="1001"/>
        </w:numPr>
      </w:pPr>
      <w:r>
        <w:rPr>
          <w:b/>
        </w:rPr>
        <w:t xml:space="preserve">data available</w:t>
      </w:r>
    </w:p>
    <w:p>
      <w:pPr>
        <w:numPr>
          <w:ilvl w:val="1"/>
          <w:numId w:val="1005"/>
        </w:numPr>
      </w:pPr>
      <w:r>
        <w:t xml:space="preserve">0 - Not available or not mentioned in the publication</w:t>
      </w:r>
    </w:p>
    <w:p>
      <w:pPr>
        <w:numPr>
          <w:ilvl w:val="1"/>
          <w:numId w:val="1005"/>
        </w:numPr>
      </w:pPr>
      <w:r>
        <w:t xml:space="preserve">1 - Available upon request to the author</w:t>
      </w:r>
    </w:p>
    <w:p>
      <w:pPr>
        <w:numPr>
          <w:ilvl w:val="1"/>
          <w:numId w:val="1005"/>
        </w:numPr>
      </w:pPr>
      <w:r>
        <w:t xml:space="preserve">2 - Online, but inconvenient or non-permanent (</w:t>
      </w:r>
      <w:r>
        <w:rPr>
          <w:i/>
        </w:rPr>
        <w:t xml:space="preserve">e.g.</w:t>
      </w:r>
      <w:r>
        <w:t xml:space="preserve">, login needed, paywall, FTP server, personal lab website that may disappear, or may have already disappeared)</w:t>
      </w:r>
    </w:p>
    <w:p>
      <w:pPr>
        <w:numPr>
          <w:ilvl w:val="1"/>
          <w:numId w:val="1005"/>
        </w:numPr>
      </w:pPr>
      <w:r>
        <w:t xml:space="preserve">3 - Freely available online to anonymous users for foreseeable future (</w:t>
      </w:r>
      <w:r>
        <w:rPr>
          <w:i/>
        </w:rPr>
        <w:t xml:space="preserve">e.g.</w:t>
      </w:r>
      <w:r>
        <w:t xml:space="preserve">, archived using Zenodo, dataverse or university library or some other proper archiving system)</w:t>
      </w:r>
    </w:p>
    <w:p>
      <w:pPr>
        <w:pStyle w:val="FirstParagraph"/>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Reproducibility.in.Plant.Pathology::import_notes()</w:t>
      </w:r>
      <w:r>
        <w:t xml:space="preserve">, was written to import the data, format the columns properly and calculate the overall reproducibility score in R</w:t>
      </w:r>
      <w:r>
        <w:t xml:space="preserve"> </w:t>
      </w:r>
      <w:r>
        <w:t xml:space="preserve">(R Core Team 2020)</w:t>
      </w:r>
      <w:r>
        <w:t xml:space="preserve">.</w:t>
      </w:r>
    </w:p>
    <w:p>
      <w:pPr>
        <w:pStyle w:val="BodyText"/>
      </w:pPr>
      <w:r>
        <w:t xml:space="preserve">A total reproducibility score was calculated as the per cent of total possible for a given paper,</w:t>
      </w:r>
      <w:r>
        <w:t xml:space="preserve"> </w:t>
      </w:r>
      <w:r>
        <w:rPr>
          <w:i/>
        </w:rPr>
        <w:t xml:space="preserve">e.g.</w:t>
      </w:r>
      <w:r>
        <w:t xml:space="preserve"> </w:t>
      </w:r>
      <w:r>
        <w:t xml:space="preserve">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licence,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least cost.</w:t>
      </w:r>
    </w:p>
    <w:bookmarkEnd w:id="24"/>
    <w:bookmarkStart w:id="25" w:name="statistical-analysis"/>
    <w:p>
      <w:pPr>
        <w:pStyle w:val="Heading2"/>
      </w:pPr>
      <w:r>
        <w:t xml:space="preserve">Statistical analysis</w:t>
      </w:r>
    </w:p>
    <w:p>
      <w:pPr>
        <w:pStyle w:val="FirstParagraph"/>
      </w:pP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in the R environment</w:t>
      </w:r>
      <w:r>
        <w:t xml:space="preserve"> </w:t>
      </w:r>
      <w:r>
        <w:t xml:space="preserve">(R Core Team 2020)</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0 and a standard deviation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25"/>
    <w:bookmarkEnd w:id="26"/>
    <w:bookmarkStart w:id="27" w:name="results"/>
    <w:p>
      <w:pPr>
        <w:pStyle w:val="Heading1"/>
      </w:pPr>
      <w:r>
        <w:t xml:space="preserve">Results</w:t>
      </w:r>
    </w:p>
    <w:p>
      <w:pPr>
        <w:pStyle w:val="FirstParagraph"/>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p>
    <w:p>
      <w:pPr>
        <w:pStyle w:val="BodyText"/>
      </w:pPr>
      <w:r>
        <w:t xml:space="preserve">No journals surveyed were completely closed, all offered at least an option for open access but some were completely open.</w:t>
      </w:r>
    </w:p>
    <w:p>
      <w:pPr>
        <w:pStyle w:val="BodyText"/>
      </w:pPr>
      <w:r>
        <w:t xml:space="preserve">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Likewise,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(Table</w:t>
      </w:r>
      <w:r>
        <w:t xml:space="preserve"> </w:t>
      </w:r>
      <w:hyperlink w:anchor="d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da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(Table</w:t>
      </w:r>
      <w:r>
        <w:t xml:space="preserve"> </w:t>
      </w:r>
      <w:hyperlink w:anchor="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(Table</w:t>
      </w:r>
      <w:r>
        <w:t xml:space="preserve"> </w:t>
      </w:r>
      <w:hyperlink w:anchor="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sc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hyperlink w:anchor="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su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27"/>
    <w:bookmarkStart w:id="38" w:name="discussion"/>
    <w:p>
      <w:pPr>
        <w:pStyle w:val="Heading1"/>
      </w:pPr>
      <w:r>
        <w:t xml:space="preserve">Discussion</w:t>
      </w:r>
    </w:p>
    <w:p>
      <w:pPr>
        <w:pStyle w:val="FirstParagraph"/>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p>
      <w:pPr>
        <w:pStyle w:val="BodyText"/>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 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
        </w:rPr>
        <w:t xml:space="preserve">e-</w:t>
      </w:r>
      <w:r>
        <w:rPr>
          <w:b/>
          <w:i/>
        </w:rPr>
        <w:t xml:space="preserve">X</w:t>
      </w:r>
      <w:r>
        <w:rPr>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 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tied (</w:t>
      </w:r>
      <w:hyperlink r:id="rId28">
        <w:r>
          <w:rPr>
            <w:rStyle w:val="Hyperlink"/>
          </w:rPr>
          <w:t xml:space="preserve">https://emdelponte.github.io/paper-white-mold-meta-analysis/</w:t>
        </w:r>
      </w:hyperlink>
      <w:r>
        <w:t xml:space="preserve">).</w:t>
      </w:r>
      <w:r>
        <w:t xml:space="preserve"> </w:t>
      </w:r>
      <w:r>
        <w:t xml:space="preserve">The website clearly demonstrates the analysis for readers and uses R so that anyone can easily replicate the work.</w:t>
      </w:r>
      <w:r>
        <w:t xml:space="preserve"> </w:t>
      </w:r>
      <w:r>
        <w:t xml:space="preserve">Likewise, Duku et al.</w:t>
      </w:r>
      <w:r>
        <w:t xml:space="preserve"> </w:t>
      </w:r>
      <w:r>
        <w:t xml:space="preserve">(2016)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p>
    <w:p>
      <w:pPr>
        <w:pStyle w:val="BodyText"/>
      </w:pPr>
      <w:r>
        <w:t xml:space="preserve">The third level is the use of proper data repositories such as FigShare, Zenodo or OSF.io among others, allow for the deposition and updating of code, figures, data preprints or any other materials that support the article itself while providing a DOI and citation for a standalone citation.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p>
    <w:p>
      <w:pPr>
        <w:pStyle w:val="BodyText"/>
      </w:pPr>
      <w:r>
        <w:t xml:space="preserve">The fourth level includes packaging the analysis as a software package,</w:t>
      </w:r>
      <w:r>
        <w:t xml:space="preserve"> </w:t>
      </w:r>
      <w:r>
        <w:rPr>
          <w:i/>
        </w:rPr>
        <w:t xml:space="preserve">e.g.</w:t>
      </w:r>
      <w:r>
        <w:t xml:space="preserve"> </w:t>
      </w:r>
      <w:r>
        <w:t xml:space="preserve">R Julia or Python package at a minimum, with the use of continuous integration and possibly a software container like Docker as Khaliq et al.</w:t>
      </w:r>
      <w:r>
        <w:t xml:space="preserve"> </w:t>
      </w:r>
      <w:r>
        <w:t xml:space="preserve">(Khaliq et al. 2020)</w:t>
      </w:r>
      <w:r>
        <w:t xml:space="preserve"> </w:t>
      </w:r>
      <w:r>
        <w:t xml:space="preserve">have done. Their research compendium provides a Docker instance, DOI and full R package that enable readers to fully replicate their analysis of chickpea ascochyta conida dispersal using the data collected and stepping through other points where weather data were investigated and various models were fit before deciding on the best fit and recreate any figures as published in the article</w:t>
      </w:r>
      <w:r>
        <w:t xml:space="preserve"> </w:t>
      </w:r>
      <w:r>
        <w:t xml:space="preserve">(Khaliq et al.)</w:t>
      </w:r>
      <w:r>
        <w:t xml:space="preserve">.</w:t>
      </w:r>
    </w:p>
    <w:p>
      <w:pPr>
        <w:pStyle w:val="BodyText"/>
      </w:pPr>
      <w:r>
        <w:t xml:space="preserve">Miorini et al. (2019)</w:t>
      </w:r>
    </w:p>
    <w:p>
      <w:pPr>
        <w:numPr>
          <w:ilvl w:val="0"/>
          <w:numId w:val="1006"/>
        </w:numPr>
        <w:pStyle w:val="Compact"/>
      </w:pPr>
      <w:r>
        <w:t xml:space="preserve">Example from Grünwald lab:</w:t>
      </w:r>
    </w:p>
    <w:p>
      <w:pPr>
        <w:numPr>
          <w:ilvl w:val="1"/>
          <w:numId w:val="1007"/>
        </w:numPr>
        <w:pStyle w:val="Compact"/>
      </w:pPr>
      <w:r>
        <w:t xml:space="preserve">paper</w:t>
      </w:r>
      <w:r>
        <w:t xml:space="preserve"> </w:t>
      </w:r>
      <w:hyperlink r:id="rId30">
        <w:r>
          <w:rPr>
            <w:rStyle w:val="Hyperlink"/>
          </w:rPr>
          <w:t xml:space="preserve">http://apsjournals.apsnet.org/doi/full/10.1094/PHYTO-12-14-0350-FI</w:t>
        </w:r>
      </w:hyperlink>
    </w:p>
    <w:p>
      <w:pPr>
        <w:numPr>
          <w:ilvl w:val="1"/>
          <w:numId w:val="1007"/>
        </w:numPr>
        <w:pStyle w:val="Compact"/>
      </w:pPr>
      <w:r>
        <w:t xml:space="preserve">github repo</w:t>
      </w:r>
      <w:r>
        <w:t xml:space="preserve"> </w:t>
      </w:r>
      <w:hyperlink r:id="rId31">
        <w:r>
          <w:rPr>
            <w:rStyle w:val="Hyperlink"/>
          </w:rPr>
          <w:t xml:space="preserve">https://github.com/grunwaldlab/Sudden_Oak_Death_in_Oregon_Forests</w:t>
        </w:r>
      </w:hyperlink>
    </w:p>
    <w:bookmarkStart w:id="37" w:name="a-general-workflow"/>
    <w:p>
      <w:pPr>
        <w:pStyle w:val="Heading2"/>
      </w:pPr>
      <w:r>
        <w:t xml:space="preserve">A general workflow</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hyperlink w:anchor="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workflow-dia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
        </w:rPr>
        <w:t xml:space="preserve">e.g.</w:t>
      </w:r>
      <w:r>
        <w:t xml:space="preserve"> </w:t>
      </w:r>
      <w:r>
        <w:t xml:space="preserve">a Spectrum Technologies Watchdog 2700 weather station was used to record wind speed, direction, rainfall, temperature and relative humidity at one-hour intervals.</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bookmarkStart w:id="35" w:name="data"/>
    <w:p>
      <w:pPr>
        <w:pStyle w:val="Heading3"/>
      </w:pPr>
      <w:r>
        <w:t xml:space="preserve">Data</w:t>
      </w:r>
    </w:p>
    <w:p>
      <w:pPr>
        <w:pStyle w:val="FirstParagraph"/>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
        </w:rPr>
        <w:t xml:space="preserve">e.g.</w:t>
      </w:r>
      <w:r>
        <w:t xml:space="preserve"> </w:t>
      </w:r>
      <w:r>
        <w:t xml:space="preserve">comma separated (CSV) files.</w:t>
      </w:r>
      <w:r>
        <w:t xml:space="preserve"> </w:t>
      </w:r>
      <w:r>
        <w:t xml:space="preserve">This also helps ensure that the data are reusable.</w:t>
      </w:r>
      <w:r>
        <w:t xml:space="preserve"> </w:t>
      </w:r>
      <w:r>
        <w:t xml:space="preserv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discoveries and support further research.</w:t>
      </w:r>
      <w:r>
        <w:t xml:space="preserve"> </w:t>
      </w:r>
      <w:r>
        <w:t xml:space="preserve">In turn, sharing data will lead to new citations for your work as others discover and use it.</w:t>
      </w:r>
    </w:p>
    <w:p>
      <w:pPr>
        <w:pStyle w:val="BodyText"/>
      </w:pPr>
      <w:r>
        <w:t xml:space="preserve">To make your data the most widely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handle is also an option (</w:t>
      </w:r>
      <w:hyperlink r:id="rId33">
        <w:r>
          <w:rPr>
            <w:rStyle w:val="Hyperlink"/>
          </w:rPr>
          <w:t xml:space="preserve">https://handle.net/</w:t>
        </w:r>
      </w:hyperlink>
      <w:r>
        <w:t xml:space="preserve">).</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bookmarkEnd w:id="35"/>
    <w:bookmarkStart w:id="36" w:name="sharing-your-research"/>
    <w:p>
      <w:pPr>
        <w:pStyle w:val="Heading3"/>
      </w:pPr>
      <w:r>
        <w:t xml:space="preserve">Sharing your research</w:t>
      </w:r>
    </w:p>
    <w:p>
      <w:pPr>
        <w:pStyle w:val="FirstParagraph"/>
      </w:pPr>
      <w:r>
        <w:t xml:space="preserve">Once you have determined how to best manage your source code for analysis and the data sets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though.</w:t>
      </w:r>
      <w:r>
        <w:t xml:space="preserve"> </w:t>
      </w:r>
      <w:r>
        <w:t xml:space="preserve">Doing either of these leaves the work in an unstable state where future users may be unable to access the work.</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p>
    <w:p>
      <w:pPr>
        <w:pStyle w:val="BodyText"/>
      </w:pPr>
      <w:r>
        <w:t xml:space="preserve">Readers should also consult with their local librarians about local resources.</w:t>
      </w:r>
      <w:r>
        <w:t xml:space="preserve"> </w:t>
      </w:r>
      <w:r>
        <w:t xml:space="preserve">Most universities provide a facility for staff to deposit papers and other academic materials, but this may extend to software development repositories as well.</w:t>
      </w:r>
    </w:p>
    <w:p>
      <w:pPr>
        <w:pStyle w:val="BodyText"/>
      </w:pPr>
      <w:r>
        <w:t xml:space="preserve">Readers are encouraged to avoid using lab websites and other personal pages for sharing projects over the longer term as they are fraught with link-rot and are not an optimal way to share your projects.</w:t>
      </w:r>
    </w:p>
    <w:bookmarkEnd w:id="36"/>
    <w:bookmarkEnd w:id="37"/>
    <w:bookmarkEnd w:id="38"/>
    <w:bookmarkStart w:id="39" w:name="authors-contributions"/>
    <w:p>
      <w:pPr>
        <w:pStyle w:val="Heading1"/>
      </w:pPr>
      <w:r>
        <w:t xml:space="preserve">Authors’ contributions</w:t>
      </w:r>
    </w:p>
    <w:bookmarkEnd w:id="39"/>
    <w:bookmarkStart w:id="40" w:name="data-availability-statement"/>
    <w:p>
      <w:pPr>
        <w:pStyle w:val="Heading1"/>
      </w:pPr>
      <w:r>
        <w:t xml:space="preserve">Data availability statement</w:t>
      </w:r>
    </w:p>
    <w:bookmarkEnd w:id="40"/>
    <w:bookmarkStart w:id="41" w:name="acknowledgements"/>
    <w:p>
      <w:pPr>
        <w:pStyle w:val="Heading1"/>
      </w:pPr>
      <w:r>
        <w:t xml:space="preserve">Acknowledgements</w:t>
      </w:r>
    </w:p>
    <w:p>
      <w:r>
        <w:br w:type="page"/>
      </w:r>
    </w:p>
    <w:bookmarkEnd w:id="41"/>
    <w:bookmarkStart w:id="101" w:name="references"/>
    <w:p>
      <w:pPr>
        <w:pStyle w:val="Heading1"/>
      </w:pPr>
      <w:r>
        <w:t xml:space="preserve">References</w:t>
      </w:r>
    </w:p>
    <w:bookmarkStart w:id="100" w:name="refs"/>
    <w:bookmarkStart w:id="4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p>
    <w:bookmarkEnd w:id="42"/>
    <w:bookmarkStart w:id="43" w:name="ref-Baker2016a"/>
    <w:p>
      <w:pPr>
        <w:pStyle w:val="Bibliography"/>
      </w:pPr>
      <w:r>
        <w:t xml:space="preserve">Baker M (2016) Muddled meanings hamper efforts to fix reproducibility crisis. In: Nature News</w:t>
      </w:r>
    </w:p>
    <w:bookmarkEnd w:id="43"/>
    <w:bookmarkStart w:id="45" w:name="ref-Brunsdon2015"/>
    <w:p>
      <w:pPr>
        <w:pStyle w:val="Bibliography"/>
      </w:pPr>
      <w:r>
        <w:t xml:space="preserve">Brunsdon C (2015)</w:t>
      </w:r>
      <w:r>
        <w:t xml:space="preserve"> </w:t>
      </w:r>
      <w:r>
        <w:t xml:space="preserve">Quantitative methods I: Reproducible research and quantitative geography</w:t>
      </w:r>
      <w:r>
        <w:t xml:space="preserve">. Prog Hum Geogr.</w:t>
      </w:r>
      <w:r>
        <w:t xml:space="preserve"> </w:t>
      </w:r>
      <w:hyperlink r:id="rId44">
        <w:r>
          <w:rPr>
            <w:rStyle w:val="Hyperlink"/>
          </w:rPr>
          <w:t xml:space="preserve">https://doi.org/10.1177/0309132515599625</w:t>
        </w:r>
      </w:hyperlink>
    </w:p>
    <w:bookmarkEnd w:id="45"/>
    <w:bookmarkStart w:id="47"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r>
        <w:t xml:space="preserve"> </w:t>
      </w:r>
      <w:hyperlink r:id="rId46">
        <w:r>
          <w:rPr>
            <w:rStyle w:val="Hyperlink"/>
          </w:rPr>
          <w:t xml:space="preserve">https://doi.org/10.32614/RJ-2018-017</w:t>
        </w:r>
      </w:hyperlink>
    </w:p>
    <w:bookmarkEnd w:id="47"/>
    <w:bookmarkStart w:id="49" w:name="ref-Duku2016"/>
    <w:p>
      <w:pPr>
        <w:pStyle w:val="Bibliography"/>
      </w:pPr>
      <w:r>
        <w:t xml:space="preserve">Duku C, Sparks AH, Zwart SJ (2016) Spatial modelling of rice yield losses in</w:t>
      </w:r>
      <w:r>
        <w:t xml:space="preserve"> </w:t>
      </w:r>
      <w:r>
        <w:t xml:space="preserve">Tanzania</w:t>
      </w:r>
      <w:r>
        <w:t xml:space="preserve"> </w:t>
      </w:r>
      <w:r>
        <w:t xml:space="preserve">due to bacterial leaf blight and leaf blast in a changing climate. Climatic Change 135:569–583.</w:t>
      </w:r>
      <w:r>
        <w:t xml:space="preserve"> </w:t>
      </w:r>
      <w:hyperlink r:id="rId48">
        <w:r>
          <w:rPr>
            <w:rStyle w:val="Hyperlink"/>
          </w:rPr>
          <w:t xml:space="preserve">https://doi.org/10.1007/s10584-015-1580-2</w:t>
        </w:r>
      </w:hyperlink>
    </w:p>
    <w:bookmarkEnd w:id="49"/>
    <w:bookmarkStart w:id="51" w:name="ref-Nature2016"/>
    <w:p>
      <w:pPr>
        <w:pStyle w:val="Bibliography"/>
      </w:pPr>
      <w:r>
        <w:t xml:space="preserve">Editors at Nature (2016) Reality check on reproducibility. Nature 533:437.</w:t>
      </w:r>
      <w:r>
        <w:t xml:space="preserve"> </w:t>
      </w:r>
      <w:hyperlink r:id="rId50">
        <w:r>
          <w:rPr>
            <w:rStyle w:val="Hyperlink"/>
          </w:rPr>
          <w:t xml:space="preserve">https://doi.org/10.1038/533437a</w:t>
        </w:r>
      </w:hyperlink>
    </w:p>
    <w:bookmarkEnd w:id="51"/>
    <w:bookmarkStart w:id="52" w:name="ref-Fidler2013"/>
    <w:p>
      <w:pPr>
        <w:pStyle w:val="Bibliography"/>
      </w:pPr>
      <w:r>
        <w:t xml:space="preserve">Fidler F, Gordon A (2013) Science is in a reproducibility crisis:</w:t>
      </w:r>
      <w:r>
        <w:t xml:space="preserve"> </w:t>
      </w:r>
      <w:r>
        <w:t xml:space="preserve">How</w:t>
      </w:r>
      <w:r>
        <w:t xml:space="preserve"> </w:t>
      </w:r>
      <w:r>
        <w:t xml:space="preserve">do we resolve it? Physorg</w:t>
      </w:r>
    </w:p>
    <w:bookmarkEnd w:id="52"/>
    <w:bookmarkStart w:id="53" w:name="ref-Fitzjohn2014"/>
    <w:p>
      <w:pPr>
        <w:pStyle w:val="Bibliography"/>
      </w:pPr>
      <w:r>
        <w:t xml:space="preserve">Fitzjohn R, Pennell M, Zanne A, Cornwell W (2014) Reproducible research is still a challenge. ROpensciorg 2014:</w:t>
      </w:r>
    </w:p>
    <w:bookmarkEnd w:id="53"/>
    <w:bookmarkStart w:id="55" w:name="ref-Gabry2019"/>
    <w:p>
      <w:pPr>
        <w:pStyle w:val="Bibliography"/>
      </w:pPr>
      <w:r>
        <w:t xml:space="preserve">Gabry J, Simpson D, Vehtari A, et al (2019) Visualization in</w:t>
      </w:r>
      <w:r>
        <w:t xml:space="preserve"> </w:t>
      </w:r>
      <w:r>
        <w:t xml:space="preserve">Bayesian</w:t>
      </w:r>
      <w:r>
        <w:t xml:space="preserve"> </w:t>
      </w:r>
      <w:r>
        <w:t xml:space="preserve">workflow. J R Stat Soc A 182:389–402.</w:t>
      </w:r>
      <w:r>
        <w:t xml:space="preserve"> </w:t>
      </w:r>
      <w:hyperlink r:id="rId54">
        <w:r>
          <w:rPr>
            <w:rStyle w:val="Hyperlink"/>
          </w:rPr>
          <w:t xml:space="preserve">https://doi.org/10.1111/rssa.12378</w:t>
        </w:r>
      </w:hyperlink>
    </w:p>
    <w:bookmarkEnd w:id="55"/>
    <w:bookmarkStart w:id="56"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w:t>
      </w:r>
    </w:p>
    <w:bookmarkEnd w:id="56"/>
    <w:bookmarkStart w:id="58" w:name="ref-Ioannidis2014"/>
    <w:p>
      <w:pPr>
        <w:pStyle w:val="Bibliography"/>
      </w:pPr>
      <w:r>
        <w:t xml:space="preserve">Ioannidis JPA (2014) How to make more published research true. PLoS Medicine 11:</w:t>
      </w:r>
      <w:r>
        <w:t xml:space="preserve"> </w:t>
      </w:r>
      <w:hyperlink r:id="rId57">
        <w:r>
          <w:rPr>
            <w:rStyle w:val="Hyperlink"/>
          </w:rPr>
          <w:t xml:space="preserve">https://doi.org/10.1371/journal.pmed.1001747</w:t>
        </w:r>
      </w:hyperlink>
    </w:p>
    <w:bookmarkEnd w:id="58"/>
    <w:bookmarkStart w:id="60" w:name="ref-Iqbal2016"/>
    <w:p>
      <w:pPr>
        <w:pStyle w:val="Bibliography"/>
      </w:pPr>
      <w:r>
        <w:t xml:space="preserve">Iqbal SA, Wallach JD, Khoury MJ, et al (2016) Reproducible research practices and transparency across the biomedical literature. PLoS Biology 14:1–13.</w:t>
      </w:r>
      <w:r>
        <w:t xml:space="preserve"> </w:t>
      </w:r>
      <w:hyperlink r:id="rId59">
        <w:r>
          <w:rPr>
            <w:rStyle w:val="Hyperlink"/>
          </w:rPr>
          <w:t xml:space="preserve">https://doi.org/10.1371/journal.pbio.1002333</w:t>
        </w:r>
      </w:hyperlink>
    </w:p>
    <w:bookmarkEnd w:id="60"/>
    <w:bookmarkStart w:id="62" w:name="ref-Khaliq2020"/>
    <w:p>
      <w:pPr>
        <w:pStyle w:val="Bibliography"/>
      </w:pPr>
      <w:r>
        <w:t xml:space="preserve">Khaliq I, Fanning J, Melloy P, et al (2020) The role of conidia in the dispersal of</w:t>
      </w:r>
      <w:r>
        <w:t xml:space="preserve"> </w:t>
      </w:r>
      <w:r>
        <w:rPr>
          <w:i/>
        </w:rPr>
        <w:t xml:space="preserve">Ascochyta</w:t>
      </w:r>
      <w:r>
        <w:rPr>
          <w:i/>
        </w:rPr>
        <w:t xml:space="preserve"> </w:t>
      </w:r>
      <w:r>
        <w:rPr>
          <w:i/>
        </w:rPr>
        <w:t xml:space="preserve">rabiei</w:t>
      </w:r>
      <w:r>
        <w:t xml:space="preserve">. European Journal of Plant Pathology 158:911–924.</w:t>
      </w:r>
      <w:r>
        <w:t xml:space="preserve"> </w:t>
      </w:r>
      <w:hyperlink r:id="rId61">
        <w:r>
          <w:rPr>
            <w:rStyle w:val="Hyperlink"/>
          </w:rPr>
          <w:t xml:space="preserve">https://doi.org/10.1007/s10658-020-02126-2</w:t>
        </w:r>
      </w:hyperlink>
    </w:p>
    <w:bookmarkEnd w:id="62"/>
    <w:bookmarkStart w:id="63" w:name="ref-Khaliq2020a"/>
    <w:p>
      <w:pPr>
        <w:pStyle w:val="Bibliography"/>
      </w:pPr>
      <w:r>
        <w:t xml:space="preserve">Khaliq I, Melloy P, Burrell D, et al</w:t>
      </w:r>
      <w:r>
        <w:t xml:space="preserve"> </w:t>
      </w:r>
      <w:r>
        <w:t xml:space="preserve">ChickpeaAscoDispersal</w:t>
      </w:r>
      <w:r>
        <w:t xml:space="preserve">: A research compendium to accompany</w:t>
      </w:r>
      <w:r>
        <w:t xml:space="preserve"> </w:t>
      </w:r>
      <w:r>
        <w:t xml:space="preserve">‘the role of conidia in the dispersal of</w:t>
      </w:r>
      <w:r>
        <w:t xml:space="preserve"> </w:t>
      </w:r>
      <w:r>
        <w:rPr>
          <w:i/>
        </w:rPr>
        <w:t xml:space="preserve">Ascochyta</w:t>
      </w:r>
      <w:r>
        <w:rPr>
          <w:i/>
        </w:rPr>
        <w:t xml:space="preserve"> </w:t>
      </w:r>
      <w:r>
        <w:rPr>
          <w:i/>
        </w:rPr>
        <w:t xml:space="preserve">rabiei</w:t>
      </w:r>
      <w:r>
        <w:t xml:space="preserve">’</w:t>
      </w:r>
    </w:p>
    <w:bookmarkEnd w:id="63"/>
    <w:bookmarkStart w:id="65" w:name="ref-Lehner2017"/>
    <w:p>
      <w:pPr>
        <w:pStyle w:val="Bibliography"/>
      </w:pPr>
      <w:r>
        <w:t xml:space="preserve">Lehner MS, Pethybridge SJ, Meyer MC, Del Ponte EM (2017) Meta-analytic modelling of the incidence–yield and incidence–sclerotial production relationships in soybean white mould epidemics. Plant Pathology 66:460–468.</w:t>
      </w:r>
      <w:r>
        <w:t xml:space="preserve"> </w:t>
      </w:r>
      <w:hyperlink r:id="rId64">
        <w:r>
          <w:rPr>
            <w:rStyle w:val="Hyperlink"/>
          </w:rPr>
          <w:t xml:space="preserve">https://doi.org/10.1111/ppa.12590</w:t>
        </w:r>
      </w:hyperlink>
    </w:p>
    <w:bookmarkEnd w:id="65"/>
    <w:bookmarkStart w:id="67" w:name="ref-Madden2015"/>
    <w:p>
      <w:pPr>
        <w:pStyle w:val="Bibliography"/>
      </w:pPr>
      <w:r>
        <w:t xml:space="preserve">Madden LV, Shah DA, Esker PD (2015) Does the</w:t>
      </w:r>
      <w:r>
        <w:t xml:space="preserve"> </w:t>
      </w:r>
      <w:r>
        <w:rPr>
          <w:i/>
        </w:rPr>
        <w:t xml:space="preserve">p</w:t>
      </w:r>
      <w:r>
        <w:t xml:space="preserve"> </w:t>
      </w:r>
      <w:r>
        <w:t xml:space="preserve">value have a future in plant pathology? Phytopathology 105:1400–1407.</w:t>
      </w:r>
      <w:r>
        <w:t xml:space="preserve"> </w:t>
      </w:r>
      <w:hyperlink r:id="rId66">
        <w:r>
          <w:rPr>
            <w:rStyle w:val="Hyperlink"/>
          </w:rPr>
          <w:t xml:space="preserve">https://doi.org/10.1094/PHYTO-07-15-0165-LE</w:t>
        </w:r>
      </w:hyperlink>
    </w:p>
    <w:bookmarkEnd w:id="67"/>
    <w:bookmarkStart w:id="69" w:name="ref-Makowski2019"/>
    <w:p>
      <w:pPr>
        <w:pStyle w:val="Bibliography"/>
      </w:pPr>
      <w:r>
        <w:t xml:space="preserve">Makowski D, Ben-Shachar MS,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r>
        <w:t xml:space="preserve"> </w:t>
      </w:r>
      <w:hyperlink r:id="rId68">
        <w:r>
          <w:rPr>
            <w:rStyle w:val="Hyperlink"/>
          </w:rPr>
          <w:t xml:space="preserve">https://doi.org/10.21105/joss.01541</w:t>
        </w:r>
      </w:hyperlink>
    </w:p>
    <w:bookmarkEnd w:id="69"/>
    <w:bookmarkStart w:id="70" w:name="ref-McNaught1997"/>
    <w:p>
      <w:pPr>
        <w:pStyle w:val="Bibliography"/>
      </w:pPr>
      <w:r>
        <w:t xml:space="preserve">McNaught AD, Wilkinson A (1997)</w:t>
      </w:r>
      <w:r>
        <w:t xml:space="preserve"> </w:t>
      </w:r>
      <w:r>
        <w:t xml:space="preserve">Compendium of Chemical Terminology</w:t>
      </w:r>
      <w:r>
        <w:t xml:space="preserve">, Second Edition. Blackwell Science Oxford</w:t>
      </w:r>
    </w:p>
    <w:bookmarkEnd w:id="70"/>
    <w:bookmarkStart w:id="72" w:name="ref-Miorini2018"/>
    <w:p>
      <w:pPr>
        <w:pStyle w:val="Bibliography"/>
      </w:pPr>
      <w:r>
        <w:t xml:space="preserve">Miorini TJJ, Kamvar ZN, Higgins R, et al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w:t>
      </w:r>
      <w:r>
        <w:t xml:space="preserve"> </w:t>
      </w:r>
      <w:hyperlink r:id="rId71">
        <w:r>
          <w:rPr>
            <w:rStyle w:val="Hyperlink"/>
          </w:rPr>
          <w:t xml:space="preserve">https://doi.org/10.17605/OSF.IO/2X7FC</w:t>
        </w:r>
      </w:hyperlink>
    </w:p>
    <w:bookmarkEnd w:id="72"/>
    <w:bookmarkStart w:id="74" w:name="ref-Miorini2019"/>
    <w:p>
      <w:pPr>
        <w:pStyle w:val="Bibliography"/>
      </w:pPr>
      <w:r>
        <w:t xml:space="preserve">Miorini TJJ, Kamvar ZN, Higgins RS, et al (2019) Differential aggressiveness of</w:t>
      </w:r>
      <w:r>
        <w:t xml:space="preserve"> </w:t>
      </w:r>
      <w:r>
        <w:rPr>
          <w:i/>
        </w:rPr>
        <w:t xml:space="preserve">Sclerotinia</w:t>
      </w:r>
      <w:r>
        <w:rPr>
          <w:i/>
        </w:rPr>
        <w:t xml:space="preserve"> </w:t>
      </w:r>
      <w:r>
        <w:rPr>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r>
        <w:t xml:space="preserve"> </w:t>
      </w:r>
      <w:hyperlink r:id="rId73">
        <w:r>
          <w:rPr>
            <w:rStyle w:val="Hyperlink"/>
          </w:rPr>
          <w:t xml:space="preserve">https://doi.org/10.1007/s40858-018-00273-w</w:t>
        </w:r>
      </w:hyperlink>
    </w:p>
    <w:bookmarkEnd w:id="74"/>
    <w:bookmarkStart w:id="7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5"/>
    <w:bookmarkStart w:id="77" w:name="ref-Patil2016"/>
    <w:p>
      <w:pPr>
        <w:pStyle w:val="Bibliography"/>
      </w:pPr>
      <w:r>
        <w:t xml:space="preserve">Patil P, Peng RD, Leek J (2016) A statistical definition for reproducibility and replicability. bioRxiv.</w:t>
      </w:r>
      <w:r>
        <w:t xml:space="preserve"> </w:t>
      </w:r>
      <w:hyperlink r:id="rId76">
        <w:r>
          <w:rPr>
            <w:rStyle w:val="Hyperlink"/>
          </w:rPr>
          <w:t xml:space="preserve">https://doi.org/10.1101/066803</w:t>
        </w:r>
      </w:hyperlink>
    </w:p>
    <w:bookmarkEnd w:id="77"/>
    <w:bookmarkStart w:id="79" w:name="ref-Peng2009"/>
    <w:p>
      <w:pPr>
        <w:pStyle w:val="Bibliography"/>
      </w:pPr>
      <w:r>
        <w:t xml:space="preserve">Peng RD (2009) Reproducible research and biostatistics. Biostatistics 10:405–408.</w:t>
      </w:r>
      <w:r>
        <w:t xml:space="preserve"> </w:t>
      </w:r>
      <w:hyperlink r:id="rId78">
        <w:r>
          <w:rPr>
            <w:rStyle w:val="Hyperlink"/>
          </w:rPr>
          <w:t xml:space="preserve">https://doi.org/10.1093/biostatistics/kxp014</w:t>
        </w:r>
      </w:hyperlink>
    </w:p>
    <w:bookmarkEnd w:id="79"/>
    <w:bookmarkStart w:id="80" w:name="ref-RCT2020"/>
    <w:p>
      <w:pPr>
        <w:pStyle w:val="Bibliography"/>
      </w:pPr>
      <w:r>
        <w:t xml:space="preserve">R Core Team (2020)</w:t>
      </w:r>
      <w:r>
        <w:t xml:space="preserve"> </w:t>
      </w:r>
      <w:r>
        <w:t xml:space="preserve">R</w:t>
      </w:r>
      <w:r>
        <w:t xml:space="preserve">: A language and environment for statistical computing. R Foundation for Statistical Computing, Vienna, Austria</w:t>
      </w:r>
    </w:p>
    <w:bookmarkEnd w:id="80"/>
    <w:bookmarkStart w:id="81" w:name="ref-Sparks2016"/>
    <w:p>
      <w:pPr>
        <w:pStyle w:val="Bibliography"/>
      </w:pPr>
      <w:r>
        <w:t xml:space="preserve">Sparks A (2016) Global-late-blight (meta)modelling</w:t>
      </w:r>
    </w:p>
    <w:bookmarkEnd w:id="81"/>
    <w:bookmarkStart w:id="83" w:name="ref-Sparks2011"/>
    <w:p>
      <w:pPr>
        <w:pStyle w:val="Bibliography"/>
      </w:pPr>
      <w:r>
        <w:t xml:space="preserve">Sparks AH, Forbes GA, Hijmans RJ, Garrett KA (2011) A metamodeling framework for extending the application domain of process-based ecological models. Ecosphere 2:art90.</w:t>
      </w:r>
      <w:r>
        <w:t xml:space="preserve"> </w:t>
      </w:r>
      <w:hyperlink r:id="rId82">
        <w:r>
          <w:rPr>
            <w:rStyle w:val="Hyperlink"/>
          </w:rPr>
          <w:t xml:space="preserve">https://doi.org/10.1890/ES11-00128.1</w:t>
        </w:r>
      </w:hyperlink>
    </w:p>
    <w:bookmarkEnd w:id="83"/>
    <w:bookmarkStart w:id="85" w:name="ref-Sparks2014"/>
    <w:p>
      <w:pPr>
        <w:pStyle w:val="Bibliography"/>
      </w:pPr>
      <w:r>
        <w:t xml:space="preserve">Sparks AH, Forbes GA, Hijmans RJ, Garrett KA (2014) Climate change may have limited effect on global risk of potato late blight. Global Change Biology 3621–3631.</w:t>
      </w:r>
      <w:r>
        <w:t xml:space="preserve"> </w:t>
      </w:r>
      <w:hyperlink r:id="rId84">
        <w:r>
          <w:rPr>
            <w:rStyle w:val="Hyperlink"/>
          </w:rPr>
          <w:t xml:space="preserve">https://doi.org/10.1094/PDIS-04-11-031</w:t>
        </w:r>
      </w:hyperlink>
    </w:p>
    <w:bookmarkEnd w:id="85"/>
    <w:bookmarkStart w:id="87" w:name="ref-Stodden2013"/>
    <w:p>
      <w:pPr>
        <w:pStyle w:val="Bibliography"/>
      </w:pPr>
      <w:r>
        <w:t xml:space="preserve">Stodden V, Guo P, Ma Z (2013) Toward reproducible computational research: An empirical analysis of data and code policy adoption by journals. PLoS One 8:2–9.</w:t>
      </w:r>
      <w:r>
        <w:t xml:space="preserve"> </w:t>
      </w:r>
      <w:hyperlink r:id="rId86">
        <w:r>
          <w:rPr>
            <w:rStyle w:val="Hyperlink"/>
          </w:rPr>
          <w:t xml:space="preserve">https://doi.org/10.1371/journal.pone.0067111</w:t>
        </w:r>
      </w:hyperlink>
    </w:p>
    <w:bookmarkEnd w:id="87"/>
    <w:bookmarkStart w:id="89" w:name="ref-Sweedler2015"/>
    <w:p>
      <w:pPr>
        <w:pStyle w:val="Bibliography"/>
      </w:pPr>
      <w:r>
        <w:t xml:space="preserve">Sweedler JV (2015) Striving for reproducible science. Analytical Chemistry 87:11603–11604.</w:t>
      </w:r>
      <w:r>
        <w:t xml:space="preserve"> </w:t>
      </w:r>
      <w:hyperlink r:id="rId88">
        <w:r>
          <w:rPr>
            <w:rStyle w:val="Hyperlink"/>
          </w:rPr>
          <w:t xml:space="preserve">https://doi.org/10.1021/acs.analchem.5b04300</w:t>
        </w:r>
      </w:hyperlink>
    </w:p>
    <w:bookmarkEnd w:id="89"/>
    <w:bookmarkStart w:id="91" w:name="ref-TPP2020"/>
    <w:p>
      <w:pPr>
        <w:pStyle w:val="Bibliography"/>
      </w:pPr>
      <w:r>
        <w:t xml:space="preserve">Tropical Plant Pathology Joining forces with</w:t>
      </w:r>
      <w:r>
        <w:t xml:space="preserve"> </w:t>
      </w:r>
      <w:r>
        <w:t xml:space="preserve">Open Plant Pathology</w:t>
      </w:r>
      <w:r>
        <w:t xml:space="preserve"> </w:t>
      </w:r>
      <w:r>
        <w:t xml:space="preserve">in our move towards transparency and reproducibility.</w:t>
      </w:r>
      <w:r>
        <w:t xml:space="preserve"> </w:t>
      </w:r>
      <w:hyperlink r:id="rId90">
        <w:r>
          <w:rPr>
            <w:rStyle w:val="Hyperlink"/>
          </w:rPr>
          <w:t xml:space="preserve">http://sbfitopatologia.org.br/tpp/post/reproducibility-editor/</w:t>
        </w:r>
      </w:hyperlink>
    </w:p>
    <w:bookmarkEnd w:id="91"/>
    <w:bookmarkStart w:id="92" w:name="ref-Wald2010"/>
    <w:p>
      <w:pPr>
        <w:pStyle w:val="Bibliography"/>
      </w:pPr>
      <w:r>
        <w:t xml:space="preserve">Wald C (2010) Scientists embrace openness</w:t>
      </w:r>
    </w:p>
    <w:bookmarkEnd w:id="92"/>
    <w:bookmarkStart w:id="94" w:name="ref-Weissgerber2016"/>
    <w:p>
      <w:pPr>
        <w:pStyle w:val="Bibliography"/>
      </w:pPr>
      <w:r>
        <w:t xml:space="preserve">Weissgerber TL, Garovic VD, Winham SJ, et al (2016) Transparent reporting for reproducible science. Journal of Neuroscience Research 00:1–6.</w:t>
      </w:r>
      <w:r>
        <w:t xml:space="preserve"> </w:t>
      </w:r>
      <w:hyperlink r:id="rId93">
        <w:r>
          <w:rPr>
            <w:rStyle w:val="Hyperlink"/>
          </w:rPr>
          <w:t xml:space="preserve">https://doi.org/10.1002/jnr.23785</w:t>
        </w:r>
      </w:hyperlink>
    </w:p>
    <w:bookmarkEnd w:id="94"/>
    <w:bookmarkStart w:id="95" w:name="ref-Wickham2020"/>
    <w:p>
      <w:pPr>
        <w:pStyle w:val="Bibliography"/>
      </w:pPr>
      <w:r>
        <w:t xml:space="preserve">Wickham H, François R, Henry L, Müller K (2020) Dplyr: A grammar of data manipulation</w:t>
      </w:r>
    </w:p>
    <w:bookmarkEnd w:id="95"/>
    <w:bookmarkStart w:id="97" w:name="ref-Wilkinson2016"/>
    <w:p>
      <w:pPr>
        <w:pStyle w:val="Bibliography"/>
      </w:pPr>
      <w:r>
        <w:t xml:space="preserve">Wilkinson MD, Dumontier M, Aalbersberg IjJ,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w:t>
      </w:r>
      <w:r>
        <w:t xml:space="preserve"> </w:t>
      </w:r>
      <w:hyperlink r:id="rId96">
        <w:r>
          <w:rPr>
            <w:rStyle w:val="Hyperlink"/>
          </w:rPr>
          <w:t xml:space="preserve">https://doi.org/10.1038/sdata.2016.18</w:t>
        </w:r>
      </w:hyperlink>
    </w:p>
    <w:bookmarkEnd w:id="97"/>
    <w:bookmarkStart w:id="99" w:name="ref-Ziemann2016"/>
    <w:p>
      <w:pPr>
        <w:pStyle w:val="Bibliography"/>
      </w:pPr>
      <w:r>
        <w:t xml:space="preserve">Ziemann M, Eren Y, El-Osta A (2016) Gene name errors are widespread in the scientific literature. Genome Biology 17:177.</w:t>
      </w:r>
      <w:r>
        <w:t xml:space="preserve"> </w:t>
      </w:r>
      <w:hyperlink r:id="rId98">
        <w:r>
          <w:rPr>
            <w:rStyle w:val="Hyperlink"/>
          </w:rPr>
          <w:t xml:space="preserve">https://doi.org/10.1186/s13059-016-1044-7</w:t>
        </w:r>
      </w:hyperlink>
    </w:p>
    <w:bookmarkEnd w:id="99"/>
    <w:bookmarkEnd w:id="100"/>
    <w:p>
      <w:r>
        <w:br w:type="page"/>
      </w:r>
    </w:p>
    <w:bookmarkEnd w:id="101"/>
    <w:bookmarkStart w:id="102" w:name="tables"/>
    <w:p>
      <w:pPr>
        <w:pStyle w:val="Heading1"/>
      </w:pPr>
      <w:r>
        <w:t xml:space="preserve">Tables</w:t>
      </w:r>
    </w:p>
    <w:p>
      <w:pPr>
        <w:pStyle w:val="TableCaption"/>
      </w:pPr>
      <w:r>
        <w:rPr/>
        <w:t xml:space="preserve">Table </w:t>
      </w:r>
      <w:bookmarkStart w:id="3161f468-59e1-4392-bb6a-3be66f5950f1" w:name="journal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161f468-59e1-4392-bb6a-3be66f5950f1"/>
      <w:r>
        <w:rPr/>
        <w:t xml:space="preserve">: </w:t>
      </w:r>
      <w:r>
        <w:t xml:space="preserve">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633"/>
        <w:gridCol w:w="549"/>
      </w:tblGrid>
      <w:tr>
        <w:trPr>
          <w:cantSplit/>
          <w:trHeight w:val="508"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51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512"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13"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1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513"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13"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1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09"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466"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514"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1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15"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rPr/>
        <w:t xml:space="preserve">Table </w:t>
      </w:r>
      <w:bookmarkStart w:id="b07ca671-e372-4054-a79d-5c6af804b8ab" w:name="s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07ca671-e372-4054-a79d-5c6af804b8ab"/>
      <w:r>
        <w:rPr/>
        <w:t xml:space="preserve">: </w:t>
      </w:r>
      <w:r>
        <w:t xml:space="preserve">Article ratings for software availability where</w:t>
      </w:r>
      <w:r>
        <w:t xml:space="preserve"> </w:t>
      </w:r>
      <w:r>
        <w:t xml:space="preserve">‘</w:t>
      </w:r>
      <w:r>
        <w:t xml:space="preserve">0,</w:t>
      </w:r>
      <w:r>
        <w:t xml:space="preserve">’</w:t>
      </w:r>
      <w:r>
        <w:t xml:space="preserve"> </w:t>
      </w:r>
      <w:r>
        <w:t xml:space="preserve">not available or not mentioned in publication to</w:t>
      </w:r>
      <w:r>
        <w:t xml:space="preserve"> </w:t>
      </w:r>
      <w:r>
        <w:t xml:space="preserve">‘</w:t>
      </w:r>
      <w:r>
        <w:t xml:space="preserve">3,</w:t>
      </w:r>
      <w:r>
        <w:t xml:space="preserve">’</w:t>
      </w:r>
      <w:r>
        <w:t xml:space="preserve"> </w:t>
      </w:r>
      <w:r>
        <w:t xml:space="preserve">preferably open source and freely available.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211"/>
        <w:gridCol w:w="671"/>
        <w:gridCol w:w="1038"/>
      </w:tblGrid>
      <w:tr>
        <w:trPr>
          <w:cantSplit/>
          <w:trHeight w:val="5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21.0%</w:t>
            </w:r>
          </w:p>
        </w:tc>
      </w:tr>
      <w:tr>
        <w:trPr>
          <w:cantSplit/>
          <w:trHeight w:val="4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72b6179f-fde4-4a2f-889d-7328d187993c" w:name="sc"/>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2b6179f-fde4-4a2f-889d-7328d187993c"/>
      <w:r>
        <w:rPr/>
        <w:t xml:space="preserve">: </w:t>
      </w:r>
      <w:r>
        <w:t xml:space="preserve">Article ratings for software citations where</w:t>
      </w:r>
      <w:r>
        <w:t xml:space="preserve"> </w:t>
      </w:r>
      <w:r>
        <w:t xml:space="preserve">‘</w:t>
      </w:r>
      <w:r>
        <w:t xml:space="preserve">0,</w:t>
      </w:r>
      <w:r>
        <w:t xml:space="preserve">’</w:t>
      </w:r>
      <w:r>
        <w:t xml:space="preserve"> </w:t>
      </w:r>
      <w:r>
        <w:t xml:space="preserve">not specified or mentioned in publication to</w:t>
      </w:r>
      <w:r>
        <w:t xml:space="preserve"> </w:t>
      </w:r>
      <w:r>
        <w:t xml:space="preserve">‘</w:t>
      </w:r>
      <w:r>
        <w:t xml:space="preserve">3,</w:t>
      </w:r>
      <w:r>
        <w:t xml:space="preserve">’</w:t>
      </w:r>
      <w:r>
        <w:t xml:space="preserve"> </w:t>
      </w:r>
      <w:r>
        <w:t xml:space="preserve">fully cited with proper version numbers and all procedures detailed.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94"/>
        <w:gridCol w:w="671"/>
        <w:gridCol w:w="1038"/>
      </w:tblGrid>
      <w:tr>
        <w:trPr>
          <w:cantSplit/>
          <w:trHeight w:val="49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41.1%</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19.5%</w:t>
            </w:r>
          </w:p>
        </w:tc>
      </w:tr>
      <w:tr>
        <w:trPr>
          <w:cantSplit/>
          <w:trHeight w:val="46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b98a44c0-2344-47e4-b6c9-90d371b6e17b" w:name="d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b98a44c0-2344-47e4-b6c9-90d371b6e17b"/>
      <w:r>
        <w:rPr/>
        <w:t xml:space="preserve">: </w:t>
      </w:r>
      <w:r>
        <w:t xml:space="preserve">Article ratings for data availability where</w:t>
      </w:r>
      <w:r>
        <w:t xml:space="preserve"> </w:t>
      </w:r>
      <w:r>
        <w:t xml:space="preserve">‘</w:t>
      </w:r>
      <w:r>
        <w:t xml:space="preserve">0,</w:t>
      </w:r>
      <w:r>
        <w:t xml:space="preserve">’</w:t>
      </w:r>
      <w:r>
        <w:t xml:space="preserve"> </w:t>
      </w:r>
      <w:r>
        <w:t xml:space="preserve">not specified or mentioned in publication to</w:t>
      </w:r>
      <w:r>
        <w:t xml:space="preserve"> </w:t>
      </w:r>
      <w:r>
        <w:t xml:space="preserve">‘</w:t>
      </w:r>
      <w:r>
        <w:t xml:space="preserve">3,</w:t>
      </w:r>
      <w:r>
        <w:t xml:space="preserve">’</w:t>
      </w:r>
      <w:r>
        <w:t xml:space="preserve"> </w:t>
      </w:r>
      <w:r>
        <w:t xml:space="preserve">Freely available online to anonymous users for foreseeable future (</w:t>
      </w:r>
      <w:r>
        <w:rPr>
          <w:i/>
        </w:rPr>
        <w:t xml:space="preserve">e.g.</w:t>
      </w:r>
      <w:r>
        <w:t xml:space="preserve"> </w:t>
      </w:r>
      <w:r>
        <w:t xml:space="preserve">archived using Zenodo, dataverse or university library or some other proper archiving system).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08"/>
        <w:gridCol w:w="671"/>
        <w:gridCol w:w="1038"/>
      </w:tblGrid>
      <w:tr>
        <w:trPr>
          <w:cantSplit/>
          <w:trHeight w:val="509"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81.5%</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9.7%</w:t>
            </w:r>
          </w:p>
        </w:tc>
      </w:tr>
      <w:tr>
        <w:trPr>
          <w:cantSplit/>
          <w:trHeight w:val="458"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t>
            </w:r>
          </w:p>
        </w:tc>
      </w:tr>
    </w:tbl>
    <w:p>
      <w:r>
        <w:br w:type="page"/>
      </w:r>
    </w:p>
    <w:p>
      <w:pPr>
        <w:pStyle w:val="TableCaption"/>
      </w:pPr>
      <w:r>
        <w:rPr/>
        <w:t xml:space="preserve">Table </w:t>
      </w:r>
      <w:bookmarkStart w:id="71debbaf-cdcf-481d-9dcf-7d1c080ae41e" w:name="su"/>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1debbaf-cdcf-481d-9dcf-7d1c080ae41e"/>
      <w:r>
        <w:rPr/>
        <w:t xml:space="preserve">: </w:t>
      </w:r>
      <w:r>
        <w:t xml:space="preserve">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674"/>
        <w:gridCol w:w="549"/>
      </w:tblGrid>
      <w:tr>
        <w:trPr>
          <w:cantSplit/>
          <w:trHeight w:val="468"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47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462"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470"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471"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466"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rPr/>
        <w:t xml:space="preserve">Table </w:t>
      </w:r>
      <w:bookmarkStart w:id="1a5837f3-aeb2-4704-a9c6-8f80ccbecf5b" w:name="reproducibilit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a5837f3-aeb2-4704-a9c6-8f80ccbecf5b"/>
      <w:r>
        <w:rPr/>
        <w:t xml:space="preserve">: </w:t>
      </w:r>
      <w:r>
        <w:t xml:space="preserve">Tally of reproducibility scores where 0 is not reproducible and 12 is fully reproducible,</w:t>
      </w:r>
      <w:r>
        <w:t xml:space="preserve"> </w:t>
      </w:r>
      <w:r>
        <w:rPr>
          <w:i/>
        </w:rPr>
        <w:t xml:space="preserve">e.g.</w:t>
      </w:r>
      <w:r>
        <w:t xml:space="preserve"> </w:t>
      </w:r>
      <w:r>
        <w:t xml:space="preserve">all software cited, software used are freely available to anyone, computational methods (statistical analysis or other computational code) are freely available for download and use, and raw data are available for download and use.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855"/>
        <w:gridCol w:w="549"/>
        <w:gridCol w:w="1038"/>
      </w:tblGrid>
      <w:tr>
        <w:trPr>
          <w:cantSplit/>
          <w:trHeight w:val="49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score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percent</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17.7%</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14.7%</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27.7%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55.6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463"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66.7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w:t>
            </w:r>
          </w:p>
        </w:tc>
      </w:tr>
      <w:tr>
        <w:trPr>
          <w:cantSplit/>
          <w:trHeight w:val="462"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91.7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r>
        <w:trPr>
          <w:cantSplit/>
          <w:trHeight w:val="462"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w:t>
            </w:r>
          </w:p>
        </w:tc>
      </w:tr>
    </w:tbl>
    <w:p>
      <w:r>
        <w:br w:type="page"/>
      </w:r>
    </w:p>
    <w:bookmarkEnd w:id="102"/>
    <w:bookmarkStart w:id="103" w:name="figures"/>
    <w:p>
      <w:pPr>
        <w:pStyle w:val="Heading1"/>
      </w:pPr>
      <w:r>
        <w:t xml:space="preserve">Figures</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9"/>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aaa89502-934b-4aa9-a78d-be564f3a4128" w:name="workflow-di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aa89502-934b-4aa9-a78d-be564f3a4128"/>
      <w:r>
        <w:rPr/>
        <w:t xml:space="preserve">: </w:t>
      </w:r>
      <w:r>
        <w:t xml:space="preserve">An open and reproducible research workflow.</w:t>
      </w:r>
    </w:p>
    <w:p>
      <w:r>
        <w:br w:type="page"/>
      </w:r>
    </w:p>
    <w:bookmarkEnd w:id="103"/>
    <w:bookmarkStart w:id="104" w:name="colophon"/>
    <w:p>
      <w:pPr>
        <w:pStyle w:val="Heading1"/>
      </w:pPr>
      <w:r>
        <w:t xml:space="preserve">Colophon</w:t>
      </w:r>
    </w:p>
    <w:p>
      <w:pPr>
        <w:pStyle w:val="FirstParagraph"/>
      </w:pPr>
      <w:r>
        <w:t xml:space="preserve">This report was generated on 2020-12-07 17:56:30 using the following computational environment and dependencies:</w:t>
      </w:r>
    </w:p>
    <w:p>
      <w:pPr>
        <w:pStyle w:val="SourceCode"/>
      </w:pPr>
      <w:r>
        <w:rPr>
          <w:rStyle w:val="VerbatimChar"/>
        </w:rPr>
        <w:t xml:space="preserve">#&gt; R version 4.0.3 (2020-10-10)</w:t>
      </w:r>
      <w:r>
        <w:br/>
      </w:r>
      <w:r>
        <w:rPr>
          <w:rStyle w:val="VerbatimChar"/>
        </w:rPr>
        <w:t xml:space="preserve">#&gt; Platform: x86_64-apple-darwin17.0 (64-bit)</w:t>
      </w:r>
      <w:r>
        <w:br/>
      </w:r>
      <w:r>
        <w:rPr>
          <w:rStyle w:val="VerbatimChar"/>
        </w:rPr>
        <w:t xml:space="preserve">#&gt; Running under: macOS Catalina 10.15.7</w:t>
      </w:r>
      <w:r>
        <w:br/>
      </w:r>
      <w:r>
        <w:rPr>
          <w:rStyle w:val="VerbatimChar"/>
        </w:rPr>
        <w:t xml:space="preserve">#&gt; </w:t>
      </w:r>
      <w:r>
        <w:br/>
      </w:r>
      <w:r>
        <w:rPr>
          <w:rStyle w:val="VerbatimChar"/>
        </w:rPr>
        <w:t xml:space="preserve">#&gt; Matrix products: default</w:t>
      </w:r>
      <w:r>
        <w:br/>
      </w:r>
      <w:r>
        <w:rPr>
          <w:rStyle w:val="VerbatimChar"/>
        </w:rPr>
        <w:t xml:space="preserve">#&gt; BLAS:   /Library/Frameworks/R.framework/Versions/4.0/Resources/lib/libRblas.dylib</w:t>
      </w:r>
      <w:r>
        <w:br/>
      </w:r>
      <w:r>
        <w:rPr>
          <w:rStyle w:val="VerbatimChar"/>
        </w:rPr>
        <w:t xml:space="preserve">#&gt; LAPACK: /Library/Frameworks/R.framework/Versions/4.0/Resources/lib/libRlapack.dylib</w:t>
      </w:r>
      <w:r>
        <w:br/>
      </w:r>
      <w:r>
        <w:rPr>
          <w:rStyle w:val="VerbatimChar"/>
        </w:rPr>
        <w:t xml:space="preserve">#&gt; </w:t>
      </w:r>
      <w:r>
        <w:br/>
      </w:r>
      <w:r>
        <w:rPr>
          <w:rStyle w:val="VerbatimChar"/>
        </w:rPr>
        <w:t xml:space="preserve">#&gt; locale:</w:t>
      </w:r>
      <w:r>
        <w:br/>
      </w:r>
      <w:r>
        <w:rPr>
          <w:rStyle w:val="VerbatimChar"/>
        </w:rPr>
        <w:t xml:space="preserve">#&gt; [1] en_AU.UTF-8/en_AU.UTF-8/en_AU.UTF-8/C/en_AU.UTF-8/en_AU.UTF-8</w:t>
      </w:r>
      <w:r>
        <w:br/>
      </w:r>
      <w:r>
        <w:rPr>
          <w:rStyle w:val="VerbatimChar"/>
        </w:rPr>
        <w:t xml:space="preserve">#&gt; </w:t>
      </w:r>
      <w:r>
        <w:br/>
      </w:r>
      <w:r>
        <w:rPr>
          <w:rStyle w:val="VerbatimChar"/>
        </w:rPr>
        <w:t xml:space="preserve">#&gt; attached base packages:</w:t>
      </w:r>
      <w:r>
        <w:br/>
      </w:r>
      <w:r>
        <w:rPr>
          <w:rStyle w:val="VerbatimChar"/>
        </w:rPr>
        <w:t xml:space="preserve">#&gt; [1] stats     graphics  grDevices utils     datasets  methods   base     </w:t>
      </w:r>
      <w:r>
        <w:br/>
      </w:r>
      <w:r>
        <w:rPr>
          <w:rStyle w:val="VerbatimChar"/>
        </w:rPr>
        <w:t xml:space="preserve">#&gt; </w:t>
      </w:r>
      <w:r>
        <w:br/>
      </w:r>
      <w:r>
        <w:rPr>
          <w:rStyle w:val="VerbatimChar"/>
        </w:rPr>
        <w:t xml:space="preserve">#&gt; other attached packages:</w:t>
      </w:r>
      <w:r>
        <w:br/>
      </w:r>
      <w:r>
        <w:rPr>
          <w:rStyle w:val="VerbatimChar"/>
        </w:rPr>
        <w:t xml:space="preserve">#&gt; [1] rsvg_2.1                                  </w:t>
      </w:r>
      <w:r>
        <w:br/>
      </w:r>
      <w:r>
        <w:rPr>
          <w:rStyle w:val="VerbatimChar"/>
        </w:rPr>
        <w:t xml:space="preserve">#&gt; [2] DiagrammeRsvg_0.1                         </w:t>
      </w:r>
      <w:r>
        <w:br/>
      </w:r>
      <w:r>
        <w:rPr>
          <w:rStyle w:val="VerbatimChar"/>
        </w:rPr>
        <w:t xml:space="preserve">#&gt; [3] DiagrammeR_1.0.6.1                        </w:t>
      </w:r>
      <w:r>
        <w:br/>
      </w:r>
      <w:r>
        <w:rPr>
          <w:rStyle w:val="VerbatimChar"/>
        </w:rPr>
        <w:t xml:space="preserve">#&gt; [4] tidyr_1.1.2                               </w:t>
      </w:r>
      <w:r>
        <w:br/>
      </w:r>
      <w:r>
        <w:rPr>
          <w:rStyle w:val="VerbatimChar"/>
        </w:rPr>
        <w:t xml:space="preserve">#&gt; [5] officer_0.3.15                            </w:t>
      </w:r>
      <w:r>
        <w:br/>
      </w:r>
      <w:r>
        <w:rPr>
          <w:rStyle w:val="VerbatimChar"/>
        </w:rPr>
        <w:t xml:space="preserve">#&gt; [6] flextable_0.6.0                           </w:t>
      </w:r>
      <w:r>
        <w:br/>
      </w:r>
      <w:r>
        <w:rPr>
          <w:rStyle w:val="VerbatimChar"/>
        </w:rPr>
        <w:t xml:space="preserve">#&gt; [7] janitor_2.0.1                             </w:t>
      </w:r>
      <w:r>
        <w:br/>
      </w:r>
      <w:r>
        <w:rPr>
          <w:rStyle w:val="VerbatimChar"/>
        </w:rPr>
        <w:t xml:space="preserve">#&gt; [8] dplyr_1.0.2                               </w:t>
      </w:r>
      <w:r>
        <w:br/>
      </w:r>
      <w:r>
        <w:rPr>
          <w:rStyle w:val="VerbatimChar"/>
        </w:rPr>
        <w:t xml:space="preserve">#&gt; [9] Reproducibility.in.Plant.Pathology_0.0.1-1</w:t>
      </w:r>
      <w:r>
        <w:br/>
      </w:r>
      <w:r>
        <w:rPr>
          <w:rStyle w:val="VerbatimChar"/>
        </w:rPr>
        <w:t xml:space="preserve">#&gt; </w:t>
      </w:r>
      <w:r>
        <w:br/>
      </w:r>
      <w:r>
        <w:rPr>
          <w:rStyle w:val="VerbatimChar"/>
        </w:rPr>
        <w:t xml:space="preserve">#&gt; loaded via a namespace (and not attached):</w:t>
      </w:r>
      <w:r>
        <w:br/>
      </w:r>
      <w:r>
        <w:rPr>
          <w:rStyle w:val="VerbatimChar"/>
        </w:rPr>
        <w:t xml:space="preserve">#&gt;  [1] zip_2.1.1            Rcpp_1.0.5           RColorBrewer_1.1-2  </w:t>
      </w:r>
      <w:r>
        <w:br/>
      </w:r>
      <w:r>
        <w:rPr>
          <w:rStyle w:val="VerbatimChar"/>
        </w:rPr>
        <w:t xml:space="preserve">#&gt;  [4] compiler_4.0.3       pillar_1.4.7         base64enc_0.1-3     </w:t>
      </w:r>
      <w:r>
        <w:br/>
      </w:r>
      <w:r>
        <w:rPr>
          <w:rStyle w:val="VerbatimChar"/>
        </w:rPr>
        <w:t xml:space="preserve">#&gt;  [7] tools_4.0.3          digest_0.6.27        uuid_0.1-4          </w:t>
      </w:r>
      <w:r>
        <w:br/>
      </w:r>
      <w:r>
        <w:rPr>
          <w:rStyle w:val="VerbatimChar"/>
        </w:rPr>
        <w:t xml:space="preserve">#&gt; [10] jsonlite_1.7.1       lubridate_1.7.9.9001 evaluate_0.14       </w:t>
      </w:r>
      <w:r>
        <w:br/>
      </w:r>
      <w:r>
        <w:rPr>
          <w:rStyle w:val="VerbatimChar"/>
        </w:rPr>
        <w:t xml:space="preserve">#&gt; [13] memoise_1.1.0        lifecycle_0.2.0      tibble_3.0.4        </w:t>
      </w:r>
      <w:r>
        <w:br/>
      </w:r>
      <w:r>
        <w:rPr>
          <w:rStyle w:val="VerbatimChar"/>
        </w:rPr>
        <w:t xml:space="preserve">#&gt; [16] pkgconfig_2.0.3      rlang_0.4.9          rstudioapi_0.13     </w:t>
      </w:r>
      <w:r>
        <w:br/>
      </w:r>
      <w:r>
        <w:rPr>
          <w:rStyle w:val="VerbatimChar"/>
        </w:rPr>
        <w:t xml:space="preserve">#&gt; [19] cli_2.2.0            curl_4.3             yaml_2.2.1          </w:t>
      </w:r>
      <w:r>
        <w:br/>
      </w:r>
      <w:r>
        <w:rPr>
          <w:rStyle w:val="VerbatimChar"/>
        </w:rPr>
        <w:t xml:space="preserve">#&gt; [22] officedown_0.2.0     xfun_0.19            stringr_1.4.0       </w:t>
      </w:r>
      <w:r>
        <w:br/>
      </w:r>
      <w:r>
        <w:rPr>
          <w:rStyle w:val="VerbatimChar"/>
        </w:rPr>
        <w:t xml:space="preserve">#&gt; [25] xml2_1.3.2           knitr_1.30           htmlwidgets_1.5.2   </w:t>
      </w:r>
      <w:r>
        <w:br/>
      </w:r>
      <w:r>
        <w:rPr>
          <w:rStyle w:val="VerbatimChar"/>
        </w:rPr>
        <w:t xml:space="preserve">#&gt; [28] hms_0.5.3            gdtools_0.2.2        generics_0.1.0      </w:t>
      </w:r>
      <w:r>
        <w:br/>
      </w:r>
      <w:r>
        <w:rPr>
          <w:rStyle w:val="VerbatimChar"/>
        </w:rPr>
        <w:t xml:space="preserve">#&gt; [31] vctrs_0.3.5          systemfonts_0.3.2    tidyselect_1.1.0    </w:t>
      </w:r>
      <w:r>
        <w:br/>
      </w:r>
      <w:r>
        <w:rPr>
          <w:rStyle w:val="VerbatimChar"/>
        </w:rPr>
        <w:t xml:space="preserve">#&gt; [34] data.table_1.13.3    glue_1.4.2           snakecase_0.11.0    </w:t>
      </w:r>
      <w:r>
        <w:br/>
      </w:r>
      <w:r>
        <w:rPr>
          <w:rStyle w:val="VerbatimChar"/>
        </w:rPr>
        <w:t xml:space="preserve">#&gt; [37] R6_2.5.0             rvg_0.2.5            fansi_0.4.1         </w:t>
      </w:r>
      <w:r>
        <w:br/>
      </w:r>
      <w:r>
        <w:rPr>
          <w:rStyle w:val="VerbatimChar"/>
        </w:rPr>
        <w:t xml:space="preserve">#&gt; [40] rmarkdown_2.5        readr_1.4.0          purrr_0.3.4         </w:t>
      </w:r>
      <w:r>
        <w:br/>
      </w:r>
      <w:r>
        <w:rPr>
          <w:rStyle w:val="VerbatimChar"/>
        </w:rPr>
        <w:t xml:space="preserve">#&gt; [43] magrittr_2.0.1       htmltools_0.5.0      ellipsis_0.3.1      </w:t>
      </w:r>
      <w:r>
        <w:br/>
      </w:r>
      <w:r>
        <w:rPr>
          <w:rStyle w:val="VerbatimChar"/>
        </w:rPr>
        <w:t xml:space="preserve">#&gt; [46] assertthat_0.2.1     V8_3.4.0             stringi_1.5.3       </w:t>
      </w:r>
      <w:r>
        <w:br/>
      </w:r>
      <w:r>
        <w:rPr>
          <w:rStyle w:val="VerbatimChar"/>
        </w:rPr>
        <w:t xml:space="preserve">#&gt; [49] visNetwork_2.0.9     crayon_1.3.4.9000</w:t>
      </w:r>
    </w:p>
    <w:p>
      <w:pPr>
        <w:pStyle w:val="FirstParagraph"/>
      </w:pPr>
      <w:r>
        <w:t xml:space="preserve">The current Git commit details are:</w:t>
      </w:r>
    </w:p>
    <w:p>
      <w:pPr>
        <w:pStyle w:val="SourceCode"/>
      </w:pPr>
      <w:r>
        <w:rPr>
          <w:rStyle w:val="VerbatimChar"/>
        </w:rPr>
        <w:t xml:space="preserve">#&gt; Local:    main /Users/adamsparks/Sources/GitHub/Analysis/Reproducibility_in_Plant_Pathology</w:t>
      </w:r>
      <w:r>
        <w:br/>
      </w:r>
      <w:r>
        <w:rPr>
          <w:rStyle w:val="VerbatimChar"/>
        </w:rPr>
        <w:t xml:space="preserve">#&gt; Remote:   main @ origin (git@github.com:openplantpathology/Reproducibility_in_Plant_Pathology.git)</w:t>
      </w:r>
      <w:r>
        <w:br/>
      </w:r>
      <w:r>
        <w:rPr>
          <w:rStyle w:val="VerbatimChar"/>
        </w:rPr>
        <w:t xml:space="preserve">#&gt; Head:     [e757f45] 2020-12-07: Add description of data availability results and corresponding table</w:t>
      </w:r>
    </w:p>
    <w:bookmarkEnd w:id="104"/>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New Roman (Body C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15:restartNumberingAfterBreak="0">
    <w:nsid w:val="FFFFFF7C"/>
    <w:multiLevelType w:val="singleLevel"/>
    <w:tmpl w:val="4B44BE86"/>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8E26EBD8"/>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58F2C868"/>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C68F030"/>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8550EF50"/>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847AAB9E"/>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53C66AAC"/>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CC383342"/>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0DF279A8"/>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C4B8616E"/>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551"/>
    <w:rPr>
      <w:rFonts w:ascii="Times New Roman" w:hAnsi="Times New Roman" w:cs="Times New Roman (Body CS)"/>
      <w:kern w:val="24"/>
      <w14:ligatures w14:val="standardContextual"/>
      <w14:numForm w14:val="oldStyle"/>
      <w14:numSpacing w14:val="proportional"/>
    </w:rPr>
  </w:style>
  <w:style w:type="paragraph" w:styleId="Heading1">
    <w:name w:val="heading 1"/>
    <w:basedOn w:val="Normal"/>
    <w:next w:val="BodyText"/>
    <w:uiPriority w:val="9"/>
    <w:qFormat/>
    <w:rsid w:val="00F57551"/>
    <w:pPr>
      <w:keepNext/>
      <w:keepLines/>
      <w:spacing w:before="480" w:after="0"/>
      <w:outlineLvl w:val="0"/>
    </w:pPr>
    <w:rPr>
      <w:rFonts w:ascii="Arial" w:eastAsiaTheme="majorEastAsia" w:hAnsi="Arial" w:cs="Times New Roman (Headings CS)"/>
      <w:b/>
      <w:bCs/>
      <w:color w:val="000000" w:themeColor="text1"/>
      <w:sz w:val="32"/>
      <w:szCs w:val="32"/>
    </w:rPr>
  </w:style>
  <w:style w:type="paragraph" w:styleId="Heading2">
    <w:name w:val="heading 2"/>
    <w:basedOn w:val="Normal"/>
    <w:next w:val="BodyText"/>
    <w:uiPriority w:val="9"/>
    <w:unhideWhenUsed/>
    <w:qFormat/>
    <w:rsid w:val="00F57551"/>
    <w:pPr>
      <w:keepNext/>
      <w:keepLines/>
      <w:spacing w:before="200" w:after="0"/>
      <w:outlineLvl w:val="1"/>
    </w:pPr>
    <w:rPr>
      <w:rFonts w:ascii="Arial" w:eastAsiaTheme="majorEastAsia" w:hAnsi="Arial" w:cs="Times New Roman (Headings CS)"/>
      <w:b/>
      <w:bCs/>
      <w:color w:val="000000" w:themeColor="text1"/>
      <w:kern w:val="32"/>
      <w:sz w:val="32"/>
      <w:szCs w:val="32"/>
    </w:rPr>
  </w:style>
  <w:style w:type="paragraph" w:styleId="Heading3">
    <w:name w:val="heading 3"/>
    <w:basedOn w:val="Normal"/>
    <w:next w:val="BodyText"/>
    <w:uiPriority w:val="9"/>
    <w:unhideWhenUsed/>
    <w:qFormat/>
    <w:rsid w:val="00F57551"/>
    <w:pPr>
      <w:keepNext/>
      <w:keepLines/>
      <w:spacing w:before="200" w:after="0"/>
      <w:outlineLvl w:val="2"/>
    </w:pPr>
    <w:rPr>
      <w:rFonts w:ascii="Arial" w:eastAsiaTheme="majorEastAsia" w:hAnsi="Arial" w:cstheme="majorBidi"/>
      <w:b/>
      <w:bCs/>
      <w:color w:val="000000" w:themeColor="text1"/>
      <w:kern w:val="28"/>
      <w:sz w:val="28"/>
      <w:szCs w:val="28"/>
    </w:rPr>
  </w:style>
  <w:style w:type="paragraph" w:styleId="Heading4">
    <w:name w:val="heading 4"/>
    <w:basedOn w:val="Normal"/>
    <w:next w:val="BodyText"/>
    <w:uiPriority w:val="9"/>
    <w:unhideWhenUsed/>
    <w:qFormat/>
    <w:rsid w:val="00F57551"/>
    <w:pPr>
      <w:keepNext/>
      <w:keepLines/>
      <w:spacing w:before="200" w:after="0"/>
      <w:outlineLvl w:val="3"/>
    </w:pPr>
    <w:rPr>
      <w:rFonts w:ascii="Arial" w:eastAsiaTheme="majorEastAsia" w:hAnsi="Arial" w:cstheme="majorBidi"/>
      <w:b/>
      <w:bCs/>
      <w:color w:val="000000" w:themeColor="text1"/>
    </w:rPr>
  </w:style>
  <w:style w:type="paragraph" w:styleId="Heading5">
    <w:name w:val="heading 5"/>
    <w:basedOn w:val="Normal"/>
    <w:next w:val="BodyText"/>
    <w:uiPriority w:val="9"/>
    <w:unhideWhenUsed/>
    <w:qFormat/>
    <w:rsid w:val="00A81BB2"/>
    <w:pPr>
      <w:keepNext/>
      <w:keepLines/>
      <w:spacing w:before="200" w:after="0" w:line="20" w:lineRule="exact"/>
      <w:outlineLvl w:val="4"/>
    </w:pPr>
    <w:rPr>
      <w:rFonts w:asciiTheme="majorHAnsi" w:eastAsiaTheme="majorEastAsia" w:hAnsiTheme="majorHAnsi" w:cstheme="majorBidi"/>
      <w:i/>
      <w:iCs/>
      <w:color w:val="000000" w:themeColor="text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kern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57551"/>
    <w:pPr>
      <w:keepNext/>
      <w:keepLines/>
      <w:spacing w:before="480" w:after="240"/>
      <w:jc w:val="center"/>
    </w:pPr>
    <w:rPr>
      <w:rFonts w:ascii="Arial" w:eastAsiaTheme="majorEastAsia" w:hAnsi="Arial" w:cs="Times New Roman (Headings CS)"/>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57551"/>
    <w:pPr>
      <w:keepNext/>
      <w:keepLines/>
      <w:jc w:val="center"/>
    </w:pPr>
    <w:rPr>
      <w:rFonts w:ascii="Times New Roman" w:hAnsi="Times New Roman" w:cs="Times New Roman (Body CS)"/>
      <w:kern w:val="24"/>
      <w14:ligatures w14:val="standardContextual"/>
      <w14:numForm w14:val="oldStyle"/>
      <w14:numSpacing w14:val="proportional"/>
    </w:rPr>
  </w:style>
  <w:style w:type="paragraph" w:styleId="Date">
    <w:name w:val="Date"/>
    <w:next w:val="BodyText"/>
    <w:qFormat/>
    <w:rsid w:val="00524671"/>
    <w:pPr>
      <w:keepNext/>
      <w:keepLines/>
      <w:jc w:val="center"/>
    </w:pPr>
    <w:rPr>
      <w:rFonts w:ascii="Times New Roman" w:hAnsi="Times New Roman" w:cs="Times New Roman (Body CS)"/>
      <w:kern w:val="24"/>
      <w14:ligatures w14:val="standardContextual"/>
      <w14:numForm w14:val="oldStyle"/>
      <w14:numSpacing w14:val="proportional"/>
    </w:rPr>
  </w:style>
  <w:style w:type="paragraph" w:customStyle="1" w:styleId="Abstract">
    <w:name w:val="Abstract"/>
    <w:basedOn w:val="Normal"/>
    <w:next w:val="BodyText"/>
    <w:qFormat/>
    <w:rsid w:val="00157282"/>
    <w:pPr>
      <w:keepNext/>
      <w:keepLines/>
      <w:spacing w:before="300" w:after="300"/>
    </w:pPr>
    <w:rPr>
      <w:kern w:val="20"/>
      <w:sz w:val="20"/>
      <w:szCs w:val="20"/>
      <w14:cntxtAlts/>
    </w:rPr>
  </w:style>
  <w:style w:type="paragraph" w:styleId="Bibliography">
    <w:name w:val="Bibliography"/>
    <w:basedOn w:val="Normal"/>
    <w:qFormat/>
    <w:rsid w:val="00F57551"/>
  </w:style>
  <w:style w:type="paragraph" w:styleId="BlockText">
    <w:name w:val="Block Text"/>
    <w:basedOn w:val="BodyText"/>
    <w:next w:val="BodyText"/>
    <w:uiPriority w:val="9"/>
    <w:unhideWhenUsed/>
    <w:qFormat/>
    <w:rsid w:val="00524671"/>
    <w:pPr>
      <w:spacing w:before="100" w:after="100"/>
    </w:pPr>
    <w:rPr>
      <w:rFonts w:eastAsiaTheme="majorEastAsia" w:cs="Times New Roman (Headings CS)"/>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29" Type="http://schemas.openxmlformats.org/officeDocument/2006/relationships/hyperlink" Target="http://adamhsparks.github.io/MICCORDEA/" TargetMode="External"/>
<Relationship Id="rId30" Type="http://schemas.openxmlformats.org/officeDocument/2006/relationships/hyperlink" Target="http://apsjournals.apsnet.org/doi/full/10.1094/PHYTO-12-14-0350-FI" TargetMode="External"/>
<Relationship Id="rId90" Type="http://schemas.openxmlformats.org/officeDocument/2006/relationships/hyperlink" Target="http://sbfitopatologia.org.br/tpp/post/reproducibility-editor/" TargetMode="External"/>
<Relationship Id="rId93" Type="http://schemas.openxmlformats.org/officeDocument/2006/relationships/hyperlink" Target="https://doi.org/10.1002/jnr.23785" TargetMode="External"/>
<Relationship Id="rId48" Type="http://schemas.openxmlformats.org/officeDocument/2006/relationships/hyperlink" Target="https://doi.org/10.1007/s10584-015-1580-2" TargetMode="External"/>
<Relationship Id="rId61" Type="http://schemas.openxmlformats.org/officeDocument/2006/relationships/hyperlink" Target="https://doi.org/10.1007/s10658-020-02126-2" TargetMode="External"/>
<Relationship Id="rId73" Type="http://schemas.openxmlformats.org/officeDocument/2006/relationships/hyperlink" Target="https://doi.org/10.1007/s40858-018-00273-w" TargetMode="External"/>
<Relationship Id="rId88" Type="http://schemas.openxmlformats.org/officeDocument/2006/relationships/hyperlink" Target="https://doi.org/10.1021/acs.analchem.5b04300" TargetMode="External"/>
<Relationship Id="rId50" Type="http://schemas.openxmlformats.org/officeDocument/2006/relationships/hyperlink" Target="https://doi.org/10.1038/533437a" TargetMode="External"/>
<Relationship Id="rId96" Type="http://schemas.openxmlformats.org/officeDocument/2006/relationships/hyperlink" Target="https://doi.org/10.1038/sdata.2016.18" TargetMode="External"/>
<Relationship Id="rId78" Type="http://schemas.openxmlformats.org/officeDocument/2006/relationships/hyperlink" Target="https://doi.org/10.1093/biostatistics/kxp014" TargetMode="External"/>
<Relationship Id="rId84" Type="http://schemas.openxmlformats.org/officeDocument/2006/relationships/hyperlink" Target="https://doi.org/10.1094/PDIS-04-11-031" TargetMode="External"/>
<Relationship Id="rId66" Type="http://schemas.openxmlformats.org/officeDocument/2006/relationships/hyperlink" Target="https://doi.org/10.1094/PHYTO-07-15-0165-LE" TargetMode="External"/>
<Relationship Id="rId76" Type="http://schemas.openxmlformats.org/officeDocument/2006/relationships/hyperlink" Target="https://doi.org/10.1101/066803" TargetMode="External"/>
<Relationship Id="rId64" Type="http://schemas.openxmlformats.org/officeDocument/2006/relationships/hyperlink" Target="https://doi.org/10.1111/ppa.12590" TargetMode="External"/>
<Relationship Id="rId54" Type="http://schemas.openxmlformats.org/officeDocument/2006/relationships/hyperlink" Target="https://doi.org/10.1111/rssa.12378" TargetMode="External"/>
<Relationship Id="rId44" Type="http://schemas.openxmlformats.org/officeDocument/2006/relationships/hyperlink" Target="https://doi.org/10.1177/0309132515599625" TargetMode="External"/>
<Relationship Id="rId98" Type="http://schemas.openxmlformats.org/officeDocument/2006/relationships/hyperlink" Target="https://doi.org/10.1186/s13059-016-1044-7" TargetMode="External"/>
<Relationship Id="rId59" Type="http://schemas.openxmlformats.org/officeDocument/2006/relationships/hyperlink" Target="https://doi.org/10.1371/journal.pbio.1002333" TargetMode="External"/>
<Relationship Id="rId57" Type="http://schemas.openxmlformats.org/officeDocument/2006/relationships/hyperlink" Target="https://doi.org/10.1371/journal.pmed.1001747" TargetMode="External"/>
<Relationship Id="rId86" Type="http://schemas.openxmlformats.org/officeDocument/2006/relationships/hyperlink" Target="https://doi.org/10.1371/journal.pone.0067111" TargetMode="External"/>
<Relationship Id="rId71" Type="http://schemas.openxmlformats.org/officeDocument/2006/relationships/hyperlink" Target="https://doi.org/10.17605/OSF.IO/2X7FC" TargetMode="External"/>
<Relationship Id="rId82" Type="http://schemas.openxmlformats.org/officeDocument/2006/relationships/hyperlink" Target="https://doi.org/10.1890/ES11-00128.1" TargetMode="External"/>
<Relationship Id="rId68" Type="http://schemas.openxmlformats.org/officeDocument/2006/relationships/hyperlink" Target="https://doi.org/10.21105/joss.01541" TargetMode="External"/>
<Relationship Id="rId46" Type="http://schemas.openxmlformats.org/officeDocument/2006/relationships/hyperlink" Target="https://doi.org/10.32614/RJ-2018-017" TargetMode="External"/>
<Relationship Id="rId28" Type="http://schemas.openxmlformats.org/officeDocument/2006/relationships/hyperlink" Target="https://emdelponte.github.io/paper-white-mold-meta-analysis/" TargetMode="External"/>
<Relationship Id="rId31" Type="http://schemas.openxmlformats.org/officeDocument/2006/relationships/hyperlink" Target="https://github.com/grunwaldlab/Sudden_Oak_Death_in_Oregon_Forests" TargetMode="External"/>
<Relationship Id="rId33" Type="http://schemas.openxmlformats.org/officeDocument/2006/relationships/hyperlink" Target="https://handle.net/" TargetMode="External"/>
<Relationship Id="rId32" Type="http://schemas.openxmlformats.org/officeDocument/2006/relationships/hyperlink" Target="https://www.doi.org/" TargetMode="External"/>
<Relationship Id="rId34" Type="http://schemas.openxmlformats.org/officeDocument/2006/relationships/hyperlink" Target="https://www.go-fair.org/fair-principles/" TargetMode="External"/>
<Relationship Id="rId20" Type="http://schemas.openxmlformats.org/officeDocument/2006/relationships/hyperlink" Target="mailto:Adam.Sparks@usq.edu.au" TargetMode="External"/>
<Relationship Id="rId99" Type="http://schemas.openxmlformats.org/officeDocument/2006/relationships/image" Target="media/fileb54533cfedb8.pdf"/>
</Relationships>

</file>

<file path=word/_rels/footnotes.xml.rels><?xml version="1.0" encoding="UTF-8" standalone="yes"?>

<Relationships  xmlns="http://schemas.openxmlformats.org/package/2006/relationships">
<Relationship Id="rId29" Type="http://schemas.openxmlformats.org/officeDocument/2006/relationships/hyperlink" Target="http://adamhsparks.github.io/MICCORDEA/" TargetMode="External"/>
<Relationship Id="rId30" Type="http://schemas.openxmlformats.org/officeDocument/2006/relationships/hyperlink" Target="http://apsjournals.apsnet.org/doi/full/10.1094/PHYTO-12-14-0350-FI" TargetMode="External"/>
<Relationship Id="rId90" Type="http://schemas.openxmlformats.org/officeDocument/2006/relationships/hyperlink" Target="http://sbfitopatologia.org.br/tpp/post/reproducibility-editor/" TargetMode="External"/>
<Relationship Id="rId93" Type="http://schemas.openxmlformats.org/officeDocument/2006/relationships/hyperlink" Target="https://doi.org/10.1002/jnr.23785" TargetMode="External"/>
<Relationship Id="rId48" Type="http://schemas.openxmlformats.org/officeDocument/2006/relationships/hyperlink" Target="https://doi.org/10.1007/s10584-015-1580-2" TargetMode="External"/>
<Relationship Id="rId61" Type="http://schemas.openxmlformats.org/officeDocument/2006/relationships/hyperlink" Target="https://doi.org/10.1007/s10658-020-02126-2" TargetMode="External"/>
<Relationship Id="rId73" Type="http://schemas.openxmlformats.org/officeDocument/2006/relationships/hyperlink" Target="https://doi.org/10.1007/s40858-018-00273-w" TargetMode="External"/>
<Relationship Id="rId88" Type="http://schemas.openxmlformats.org/officeDocument/2006/relationships/hyperlink" Target="https://doi.org/10.1021/acs.analchem.5b04300" TargetMode="External"/>
<Relationship Id="rId50" Type="http://schemas.openxmlformats.org/officeDocument/2006/relationships/hyperlink" Target="https://doi.org/10.1038/533437a" TargetMode="External"/>
<Relationship Id="rId96" Type="http://schemas.openxmlformats.org/officeDocument/2006/relationships/hyperlink" Target="https://doi.org/10.1038/sdata.2016.18" TargetMode="External"/>
<Relationship Id="rId78" Type="http://schemas.openxmlformats.org/officeDocument/2006/relationships/hyperlink" Target="https://doi.org/10.1093/biostatistics/kxp014" TargetMode="External"/>
<Relationship Id="rId84" Type="http://schemas.openxmlformats.org/officeDocument/2006/relationships/hyperlink" Target="https://doi.org/10.1094/PDIS-04-11-031" TargetMode="External"/>
<Relationship Id="rId66" Type="http://schemas.openxmlformats.org/officeDocument/2006/relationships/hyperlink" Target="https://doi.org/10.1094/PHYTO-07-15-0165-LE" TargetMode="External"/>
<Relationship Id="rId76" Type="http://schemas.openxmlformats.org/officeDocument/2006/relationships/hyperlink" Target="https://doi.org/10.1101/066803" TargetMode="External"/>
<Relationship Id="rId64" Type="http://schemas.openxmlformats.org/officeDocument/2006/relationships/hyperlink" Target="https://doi.org/10.1111/ppa.12590" TargetMode="External"/>
<Relationship Id="rId54" Type="http://schemas.openxmlformats.org/officeDocument/2006/relationships/hyperlink" Target="https://doi.org/10.1111/rssa.12378" TargetMode="External"/>
<Relationship Id="rId44" Type="http://schemas.openxmlformats.org/officeDocument/2006/relationships/hyperlink" Target="https://doi.org/10.1177/0309132515599625" TargetMode="External"/>
<Relationship Id="rId98" Type="http://schemas.openxmlformats.org/officeDocument/2006/relationships/hyperlink" Target="https://doi.org/10.1186/s13059-016-1044-7" TargetMode="External"/>
<Relationship Id="rId59" Type="http://schemas.openxmlformats.org/officeDocument/2006/relationships/hyperlink" Target="https://doi.org/10.1371/journal.pbio.1002333" TargetMode="External"/>
<Relationship Id="rId57" Type="http://schemas.openxmlformats.org/officeDocument/2006/relationships/hyperlink" Target="https://doi.org/10.1371/journal.pmed.1001747" TargetMode="External"/>
<Relationship Id="rId86" Type="http://schemas.openxmlformats.org/officeDocument/2006/relationships/hyperlink" Target="https://doi.org/10.1371/journal.pone.0067111" TargetMode="External"/>
<Relationship Id="rId71" Type="http://schemas.openxmlformats.org/officeDocument/2006/relationships/hyperlink" Target="https://doi.org/10.17605/OSF.IO/2X7FC" TargetMode="External"/>
<Relationship Id="rId82" Type="http://schemas.openxmlformats.org/officeDocument/2006/relationships/hyperlink" Target="https://doi.org/10.1890/ES11-00128.1" TargetMode="External"/>
<Relationship Id="rId68" Type="http://schemas.openxmlformats.org/officeDocument/2006/relationships/hyperlink" Target="https://doi.org/10.21105/joss.01541" TargetMode="External"/>
<Relationship Id="rId46" Type="http://schemas.openxmlformats.org/officeDocument/2006/relationships/hyperlink" Target="https://doi.org/10.32614/RJ-2018-017" TargetMode="External"/>
<Relationship Id="rId28" Type="http://schemas.openxmlformats.org/officeDocument/2006/relationships/hyperlink" Target="https://emdelponte.github.io/paper-white-mold-meta-analysis/" TargetMode="External"/>
<Relationship Id="rId31" Type="http://schemas.openxmlformats.org/officeDocument/2006/relationships/hyperlink" Target="https://github.com/grunwaldlab/Sudden_Oak_Death_in_Oregon_Forests" TargetMode="External"/>
<Relationship Id="rId33" Type="http://schemas.openxmlformats.org/officeDocument/2006/relationships/hyperlink" Target="https://handle.net/" TargetMode="External"/>
<Relationship Id="rId32" Type="http://schemas.openxmlformats.org/officeDocument/2006/relationships/hyperlink" Target="https://www.doi.org/" TargetMode="External"/>
<Relationship Id="rId34" Type="http://schemas.openxmlformats.org/officeDocument/2006/relationships/hyperlink" Target="https://www.go-fair.org/fair-principles/" TargetMode="External"/>
<Relationship Id="rId20" Type="http://schemas.openxmlformats.org/officeDocument/2006/relationships/hyperlink" Target="mailto:Adam.Sparks@usq.edu.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160</Words>
  <Characters>913</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Insights Into Computational Reproducibility in Plant Pathology and a Way Forward</dc:title>
  <dc:creator>Adam H. Sparks1,✉, Emerson Del Ponte2, Kaique dos Santos Alves2, Zachary Foster3, and Niklaus J Grünwald4</dc:creator>
  <cp:keywords/>
  <dcterms:created xsi:type="dcterms:W3CDTF">2020-12-07T07:56:32Z</dcterms:created>
  <dcterms:modified xsi:type="dcterms:W3CDTF">2020-12-07T17:56:32Z</dcterms:modified>
  <cp:lastModifiedBy>adamsparks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../templates/TPP.csl</vt:lpwstr>
  </property>
  <property fmtid="{D5CDD505-2E9C-101B-9397-08002B2CF9AE}" pid="5" name="highlights">
    <vt:lpwstr>Open research practices are highlighted extensively in the broader scientific community. Our survey of 300 randomly selected articles from 2012 to 2018 indicates that we have work to do in this area as plant pathologists with most articles scoring low in openness and reproducibility.</vt:lpwstr>
  </property>
  <property fmtid="{D5CDD505-2E9C-101B-9397-08002B2CF9AE}" pid="6" name="output">
    <vt:lpwstr/>
  </property>
</Properties>
</file>