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E8" w:rsidRPr="006671E8" w:rsidRDefault="006671E8" w:rsidP="006671E8">
      <w:pPr>
        <w:widowControl/>
        <w:spacing w:line="264" w:lineRule="atLeast"/>
        <w:jc w:val="center"/>
        <w:outlineLvl w:val="2"/>
        <w:rPr>
          <w:rFonts w:ascii="宋体" w:eastAsia="宋体" w:hAnsi="宋体" w:cs="宋体"/>
          <w:b/>
          <w:bCs/>
          <w:color w:val="333333"/>
          <w:kern w:val="0"/>
          <w:sz w:val="27"/>
          <w:szCs w:val="27"/>
        </w:rPr>
      </w:pPr>
      <w:r w:rsidRPr="006671E8">
        <w:rPr>
          <w:rFonts w:ascii="宋体" w:eastAsia="宋体" w:hAnsi="宋体" w:cs="宋体" w:hint="eastAsia"/>
          <w:b/>
          <w:bCs/>
          <w:color w:val="00A9E0"/>
          <w:kern w:val="0"/>
          <w:sz w:val="27"/>
          <w:szCs w:val="27"/>
        </w:rPr>
        <w:t>2016年世界涂料企业100强排行榜将于今年5月发布（附2015年榜单）</w:t>
      </w:r>
    </w:p>
    <w:p w:rsidR="006671E8" w:rsidRPr="006671E8" w:rsidRDefault="006671E8" w:rsidP="006671E8">
      <w:pPr>
        <w:widowControl/>
        <w:spacing w:line="264" w:lineRule="atLeast"/>
        <w:ind w:right="6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71E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时间：2016-02-14来源：网络转载作者：佚名</w:t>
      </w: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90500" cy="152400"/>
            <wp:effectExtent l="19050" t="0" r="0" b="0"/>
            <wp:docPr id="25" name="图片 25" descr="http://www.pv265.com/e/data/images/gongg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pv265.com/e/data/images/gonggao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71E8">
        <w:rPr>
          <w:rFonts w:ascii="宋体" w:eastAsia="宋体" w:hAnsi="宋体" w:cs="宋体" w:hint="eastAsia"/>
          <w:color w:val="333333"/>
          <w:kern w:val="0"/>
          <w:sz w:val="14"/>
        </w:rPr>
        <w:t> </w:t>
      </w:r>
      <w:hyperlink r:id="rId7" w:history="1">
        <w:r w:rsidRPr="006671E8">
          <w:rPr>
            <w:rFonts w:ascii="宋体" w:eastAsia="宋体" w:hAnsi="宋体" w:cs="宋体" w:hint="eastAsia"/>
            <w:color w:val="333366"/>
            <w:kern w:val="0"/>
            <w:sz w:val="14"/>
          </w:rPr>
          <w:t>收藏到我的收藏夹</w:t>
        </w:r>
      </w:hyperlink>
    </w:p>
    <w:p w:rsidR="006671E8" w:rsidRPr="006671E8" w:rsidRDefault="006671E8" w:rsidP="006671E8">
      <w:pPr>
        <w:widowControl/>
        <w:spacing w:line="264" w:lineRule="atLeast"/>
        <w:ind w:right="6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66"/>
          <w:kern w:val="0"/>
          <w:sz w:val="14"/>
          <w:szCs w:val="14"/>
        </w:rPr>
        <w:drawing>
          <wp:inline distT="0" distB="0" distL="0" distR="0">
            <wp:extent cx="160020" cy="160020"/>
            <wp:effectExtent l="19050" t="0" r="0" b="0"/>
            <wp:docPr id="26" name="图片 26" descr="http://www.pv265.com/img/back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pv265.com/img/back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E8" w:rsidRPr="006671E8" w:rsidRDefault="006671E8" w:rsidP="006671E8">
      <w:pPr>
        <w:widowControl/>
        <w:spacing w:line="264" w:lineRule="atLeast"/>
        <w:ind w:right="6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66"/>
          <w:kern w:val="0"/>
          <w:sz w:val="14"/>
          <w:szCs w:val="14"/>
        </w:rPr>
        <w:drawing>
          <wp:inline distT="0" distB="0" distL="0" distR="0">
            <wp:extent cx="160020" cy="160020"/>
            <wp:effectExtent l="19050" t="0" r="0" b="0"/>
            <wp:docPr id="27" name="图片 27" descr="http://www.pv265.com/img/size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pv265.com/img/size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E8" w:rsidRPr="006671E8" w:rsidRDefault="006671E8" w:rsidP="006671E8">
      <w:pPr>
        <w:widowControl/>
        <w:shd w:val="clear" w:color="auto" w:fill="E7F4FD"/>
        <w:spacing w:line="264" w:lineRule="atLeast"/>
        <w:ind w:right="84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71E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小</w:t>
      </w:r>
    </w:p>
    <w:p w:rsidR="006671E8" w:rsidRPr="006671E8" w:rsidRDefault="006671E8" w:rsidP="006671E8">
      <w:pPr>
        <w:widowControl/>
        <w:shd w:val="clear" w:color="auto" w:fill="E7F4FD"/>
        <w:spacing w:line="264" w:lineRule="atLeast"/>
        <w:ind w:right="84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71E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中</w:t>
      </w:r>
    </w:p>
    <w:p w:rsidR="006671E8" w:rsidRPr="006671E8" w:rsidRDefault="006671E8" w:rsidP="006671E8">
      <w:pPr>
        <w:widowControl/>
        <w:shd w:val="clear" w:color="auto" w:fill="E7F4FD"/>
        <w:spacing w:line="264" w:lineRule="atLeast"/>
        <w:ind w:right="6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671E8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6671E8" w:rsidRPr="006671E8" w:rsidTr="006671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</w:pPr>
            <w:r w:rsidRPr="006671E8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国内涂料行业首家财经媒体《涂界》（Coatings Industry）</w:t>
            </w:r>
            <w:r w:rsidRPr="006671E8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7"/>
              </w:rPr>
              <w:t>将于2016年5月发布“2016年世界涂料企业100强排行榜（TOP 100 Companies）”。</w:t>
            </w:r>
            <w:r w:rsidRPr="006671E8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在2015年5月4日，涂界首次发布了“2015年世界涂料企业100强排行榜”。</w:t>
            </w:r>
          </w:p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7"/>
                <w:szCs w:val="17"/>
              </w:rPr>
              <w:lastRenderedPageBreak/>
              <w:drawing>
                <wp:inline distT="0" distB="0" distL="0" distR="0">
                  <wp:extent cx="4933950" cy="18399328"/>
                  <wp:effectExtent l="19050" t="0" r="0" b="0"/>
                  <wp:docPr id="28" name="图片 28" descr="http://www.pv265.com/d/file/2016-02-14/201621420045358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pv265.com/d/file/2016-02-14/201621420045358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4747" cy="1840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1E8" w:rsidRPr="006671E8" w:rsidTr="006671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  <w:lastRenderedPageBreak/>
              <w:drawing>
                <wp:inline distT="0" distB="0" distL="0" distR="0">
                  <wp:extent cx="5715000" cy="18196560"/>
                  <wp:effectExtent l="19050" t="0" r="0" b="0"/>
                  <wp:docPr id="33" name="图片 33" descr="http://www.pv265.com/d/file/2016-02-14/201621420045398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pv265.com/d/file/2016-02-14/201621420045398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8196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</w:pPr>
            <w:r w:rsidRPr="006671E8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2015年5月4日，国内涂料行业首家财经媒体《涂界》（Coatings Industry）杂志联合中国涂界网发布了“2015年世界涂料企业100强排行榜（TOP 100 Companies）”。该排行榜基于根据全球涂料企业2014财年涂料业务的销售业绩的综合排名。</w:t>
            </w:r>
          </w:p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</w:pPr>
            <w:r w:rsidRPr="006671E8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根据榜单来看，上榜企业最低入围门槛为1.62亿美元。美国PPG、荷兰阿克苏诺贝尔、宣伟位居前三甲，都超过100亿美元，艾仕得、威士伯、立帕麦、巴斯夫、关西涂料、立时集团、日涂控股依次列第4-10位。</w:t>
            </w:r>
          </w:p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</w:pPr>
            <w:r w:rsidRPr="006671E8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世界涂料三强或将持续数年</w:t>
            </w:r>
          </w:p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</w:pPr>
            <w:r w:rsidRPr="006671E8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美国PPG工业公司去年销售收入增长8%，达到153.60亿美元，剔除去玻璃业务销售后，PPG实际涂料销售额为142.85亿美元，从而取代了荷兰阿克苏诺贝尔，坐上世界涂料100强的头把交椅。荷兰阿克苏诺贝尔去年实际涂料销售额为114.39亿美元，位居排行榜第二位，美国宣伟以涂料销售额106.85亿美元位居第三位。</w:t>
            </w:r>
          </w:p>
          <w:p w:rsidR="006671E8" w:rsidRPr="006671E8" w:rsidRDefault="006671E8" w:rsidP="006671E8">
            <w:pPr>
              <w:widowControl/>
              <w:spacing w:line="264" w:lineRule="atLeast"/>
              <w:ind w:firstLine="480"/>
              <w:jc w:val="left"/>
              <w:rPr>
                <w:rFonts w:ascii="宋体" w:eastAsia="宋体" w:hAnsi="宋体" w:cs="宋体"/>
                <w:color w:val="333333"/>
                <w:kern w:val="0"/>
                <w:sz w:val="17"/>
                <w:szCs w:val="17"/>
              </w:rPr>
            </w:pPr>
            <w:r w:rsidRPr="006671E8">
              <w:rPr>
                <w:rFonts w:ascii="宋体" w:eastAsia="宋体" w:hAnsi="宋体" w:cs="宋体" w:hint="eastAsia"/>
                <w:color w:val="333333"/>
                <w:kern w:val="0"/>
                <w:sz w:val="17"/>
                <w:szCs w:val="17"/>
              </w:rPr>
              <w:t>预计，在此后的数年内，世界涂料三强将被美国PPG、荷兰阿克苏诺贝尔和美国宣伟所占据，号称世界涂料界的“三巨子”。三巨头2014年累计销售额达364.09亿美元，占世界涂料总销售额的27.52%。</w:t>
            </w:r>
          </w:p>
        </w:tc>
      </w:tr>
    </w:tbl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lastRenderedPageBreak/>
        <w:t>2015年5月4日，国内涂料行业首家财经媒体《涂界》（Coatings Industry）杂志联合中国涂界网发布了“2015年世界涂料企业100强排行榜（TOP 100 Companies）”。该排行榜基于根据全球涂料企业2014财年涂料业务的销售业绩的综合排名。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根据榜单来看，上榜企业最低入围门槛为1.62亿美元。美国PPG、荷兰阿克苏诺贝尔、宣伟位居前三甲，都超过100亿美元，艾仕得、威士伯、立帕麦、巴斯夫、关西涂料、立时集团、日涂控股依次列第4-10位。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Style w:val="a6"/>
          <w:rFonts w:hint="eastAsia"/>
          <w:color w:val="333333"/>
          <w:sz w:val="17"/>
          <w:szCs w:val="17"/>
        </w:rPr>
        <w:t>世界涂料三强或将持续数年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美国PPG工业公司去年销售收入增长8%，达到153.60亿美元，剔除去玻璃业务销售后，PPG实际涂料销售额为142.85亿美元，从而取代了荷兰阿克苏诺贝尔，坐上世界涂料100强的头把交椅。荷兰阿克苏诺贝尔去年实际涂料销售额为114.39亿美元，位居排行榜第二位，美国宣伟以涂料销售额106.85亿美元位居第三位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预计，在此后的数年内，世界涂料三强将被美国PPG、荷兰阿克苏诺贝尔和美国宣伟所占据，号称世界涂料界的“三巨子”。三巨头2014年累计销售额达364.09亿美元，占世界涂料总销售额的27.52%。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2015年世界涂料企业100强，中国上榜企业数量为24家（含港台），美国为16家，日本13家，德国8家，韩国7家，法国3家，印度、丹麦、土耳其、加拿大、瑞士、芬兰各2家，荷兰、新加坡、挪威、意大利、澳大利亚、瑞典、哥伦比亚、泰国、约旦、斯洛文尼亚、菲律宾、奥地利、葡萄牙、以色列、巴西、西班牙、埃及各1家。如下图：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715000" cy="9250680"/>
            <wp:effectExtent l="19050" t="0" r="0" b="0"/>
            <wp:docPr id="35" name="图片 35" descr="http://www.pv265.com/d/file/2016-02-14/201621420045313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pv265.com/d/file/2016-02-14/2016214200453135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25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Style w:val="a6"/>
          <w:rFonts w:hint="eastAsia"/>
          <w:color w:val="333333"/>
          <w:sz w:val="17"/>
          <w:szCs w:val="17"/>
        </w:rPr>
        <w:lastRenderedPageBreak/>
        <w:t>100强企业占世界份额79.41%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根据世界油漆与涂料工业协会发布的年报显示，2014年，全球油漆涂料销售量达到4338万吨，共计销售额850亿英镑，约合1323亿美元。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从经营收入来看，全球涂料100强企业累计销售额为1050.63亿美元，占全球涂料总销售额的79.41%。全球前10强涂料企业累计销售额为615.91亿美元，占全球涂料销售总额的46.55%，占榜单总销售额的58.62%。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Style w:val="a6"/>
          <w:rFonts w:hint="eastAsia"/>
          <w:color w:val="333333"/>
          <w:sz w:val="17"/>
          <w:szCs w:val="17"/>
        </w:rPr>
        <w:t>中国涂料大而不强突出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在2015年世界涂料企业100强中，中国上榜企业数量为24家（含港台），虽说总数量占比近1/3，但累计销售额仅为62.91亿美元，平均每家企业销售额仅为2.62亿美元；而美国上榜企业数量16家，累计销售额就高达459.17亿美元，平均每家企业销售额为28.7亿美元，是中国的12,7倍，远高于中国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此外，日本上榜企业数量13家，累计销售额97.66亿美元，平均每家企业销售额为7.51亿美元，也高于中国；德国上榜企业数量8家，累计销售额为61.87亿美元，与中国上榜企业累计销售额相近，但平均每家企业销售额就达7.73亿美元，是中国的3.4倍。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从整体来看，中国涂料依然处于“大而不强”的尴尬境地，行业集中度十分低，要摆脱这种局面，还有相当长的路要走。不过，这也说明了中国涂料行业在较长时期内，还将处于一个好的发展时期；对于大型的优秀涂料企业而言，未来还将可以获得一个难得的发展机遇，并购扩张的空间依然很大。（涂界）</w:t>
      </w:r>
    </w:p>
    <w:p w:rsidR="006671E8" w:rsidRDefault="006671E8" w:rsidP="006671E8">
      <w:pPr>
        <w:pStyle w:val="a5"/>
        <w:shd w:val="clear" w:color="auto" w:fill="FFFFFF"/>
        <w:spacing w:before="0" w:beforeAutospacing="0" w:after="0" w:afterAutospacing="0" w:line="264" w:lineRule="atLeast"/>
        <w:ind w:firstLine="336"/>
        <w:rPr>
          <w:rFonts w:hint="eastAsia"/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说明：排行基于2014财年涂料业务（不含胶粘剂、油墨、涂料原料及其他专业化学品）的销售业绩，以美元结算；上榜公司的销售额依据该公司本财年结束日期的汇率折算成美元。</w:t>
      </w:r>
    </w:p>
    <w:p w:rsidR="00603F5E" w:rsidRPr="006671E8" w:rsidRDefault="00603F5E" w:rsidP="006671E8"/>
    <w:sectPr w:rsidR="00603F5E" w:rsidRPr="0066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F5E" w:rsidRDefault="00603F5E" w:rsidP="006671E8">
      <w:r>
        <w:separator/>
      </w:r>
    </w:p>
  </w:endnote>
  <w:endnote w:type="continuationSeparator" w:id="1">
    <w:p w:rsidR="00603F5E" w:rsidRDefault="00603F5E" w:rsidP="00667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F5E" w:rsidRDefault="00603F5E" w:rsidP="006671E8">
      <w:r>
        <w:separator/>
      </w:r>
    </w:p>
  </w:footnote>
  <w:footnote w:type="continuationSeparator" w:id="1">
    <w:p w:rsidR="00603F5E" w:rsidRDefault="00603F5E" w:rsidP="006671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1E8"/>
    <w:rsid w:val="00603F5E"/>
    <w:rsid w:val="0066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71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1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1E8"/>
    <w:rPr>
      <w:sz w:val="18"/>
      <w:szCs w:val="18"/>
    </w:rPr>
  </w:style>
  <w:style w:type="paragraph" w:styleId="a5">
    <w:name w:val="Normal (Web)"/>
    <w:basedOn w:val="a"/>
    <w:uiPriority w:val="99"/>
    <w:unhideWhenUsed/>
    <w:rsid w:val="006671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671E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671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71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1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671E8"/>
  </w:style>
  <w:style w:type="character" w:styleId="a8">
    <w:name w:val="Hyperlink"/>
    <w:basedOn w:val="a0"/>
    <w:uiPriority w:val="99"/>
    <w:semiHidden/>
    <w:unhideWhenUsed/>
    <w:rsid w:val="006671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458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7449">
                      <w:marLeft w:val="0"/>
                      <w:marRight w:val="24"/>
                      <w:marTop w:val="0"/>
                      <w:marBottom w:val="0"/>
                      <w:divBdr>
                        <w:top w:val="single" w:sz="4" w:space="0" w:color="CCCCD4"/>
                        <w:left w:val="single" w:sz="4" w:space="0" w:color="CCCCD4"/>
                        <w:bottom w:val="single" w:sz="4" w:space="0" w:color="CCCCD4"/>
                        <w:right w:val="single" w:sz="4" w:space="0" w:color="CCCCD4"/>
                      </w:divBdr>
                    </w:div>
                    <w:div w:id="395712009">
                      <w:marLeft w:val="0"/>
                      <w:marRight w:val="24"/>
                      <w:marTop w:val="0"/>
                      <w:marBottom w:val="0"/>
                      <w:divBdr>
                        <w:top w:val="single" w:sz="4" w:space="0" w:color="CCCCD4"/>
                        <w:left w:val="single" w:sz="4" w:space="0" w:color="CCCCD4"/>
                        <w:bottom w:val="single" w:sz="4" w:space="0" w:color="CCCCD4"/>
                        <w:right w:val="single" w:sz="4" w:space="0" w:color="CCCCD4"/>
                      </w:divBdr>
                    </w:div>
                    <w:div w:id="14190146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D4"/>
                        <w:left w:val="single" w:sz="4" w:space="0" w:color="CCCCD4"/>
                        <w:bottom w:val="single" w:sz="4" w:space="0" w:color="CCCCD4"/>
                        <w:right w:val="single" w:sz="4" w:space="0" w:color="CCCCD4"/>
                      </w:divBdr>
                    </w:div>
                  </w:divsChild>
                </w:div>
              </w:divsChild>
            </w:div>
          </w:divsChild>
        </w:div>
      </w:divsChild>
    </w:div>
    <w:div w:id="913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www.pv265.com/e/member/fava/add/?classid=188&amp;id=2780%20target=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322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陈锦峰〖海工业务二部〗</dc:creator>
  <cp:keywords/>
  <dc:description/>
  <cp:lastModifiedBy>陈锦峰〖海工业务二部〗</cp:lastModifiedBy>
  <cp:revision>2</cp:revision>
  <dcterms:created xsi:type="dcterms:W3CDTF">2016-04-15T15:45:00Z</dcterms:created>
  <dcterms:modified xsi:type="dcterms:W3CDTF">2016-04-15T15:49:00Z</dcterms:modified>
</cp:coreProperties>
</file>