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Agent charter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If it is not in this file, it is not in scope.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Agent ID /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AG-__  /  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Entity × slice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[legal entity] × [channel] × [invoice type]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Human owner (Accountable)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[named person]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Current level / ceiling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L0 / L1  (default)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Purpose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In scope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Explicit exclusions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Inputs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Tools (allow-list)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Outputs and output standard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Decision rights L0–L4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Approvals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Escalation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Controls and audit evidence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Failure handling / kill-switch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Cost envelope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KPIs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First-90-day slice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Instruction skeleton (starting instruction, not a magic prompt)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p>
      <w:pPr>
        <w:spacing w:after="160"/>
      </w:pPr>
      <w:r>
        <w:rPr>
          <w:rFonts w:ascii="Calibri" w:hAnsi="Calibri"/>
          <w:b/>
          <w:i w:val="0"/>
          <w:color w:val="8B6914"/>
          <w:sz w:val="26"/>
        </w:rPr>
        <w:t>Standing exclusions (do not delete)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Payment release, vendor bank-change approval, policy exceptions, and legal disputes remain human. Agent 12 never releases payment. Agent 10 is not a fraud opinion. Agent 05 does not invent a goods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