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8B6914"/>
          <w:sz w:val="20"/>
        </w:rPr>
        <w:t>EVIDENCE ROOM  ·  AP AGENT OS</w:t>
      </w:r>
    </w:p>
    <w:p>
      <w:pPr>
        <w:spacing w:after="80"/>
      </w:pPr>
      <w:r>
        <w:rPr>
          <w:rFonts w:ascii="Calibri" w:hAnsi="Calibri"/>
          <w:b/>
          <w:i w:val="0"/>
          <w:color w:val="1A1C19"/>
          <w:sz w:val="44"/>
        </w:rPr>
        <w:t>Governance standard (summary)</w:t>
      </w:r>
    </w:p>
    <w:p>
      <w:pPr>
        <w:spacing w:after="240"/>
      </w:pPr>
      <w:r>
        <w:rPr>
          <w:rFonts w:ascii="Calibri" w:hAnsi="Calibri"/>
          <w:b w:val="0"/>
          <w:i/>
          <w:color w:val="5C6158"/>
          <w:sz w:val="22"/>
        </w:rPr>
        <w:t>Full text: Governance/00_GOVERNANCE_FRAMEWORK.md. This is the signed one-pager.</w:t>
      </w:r>
    </w:p>
    <w:p>
      <w:pPr>
        <w:spacing w:after="160"/>
      </w:pPr>
      <w:r>
        <w:rPr>
          <w:rFonts w:ascii="Calibri" w:hAnsi="Calibri"/>
          <w:b w:val="0"/>
          <w:i/>
          <w:color w:val="8B6914"/>
          <w:sz w:val="20"/>
        </w:rPr>
        <w:t>Proof before permission. Agents earn responsibility. Evidence decides.</w:t>
      </w:r>
    </w:p>
    <w:p>
      <w:pPr>
        <w:spacing w:after="160"/>
      </w:pPr>
      <w:r>
        <w:rPr>
          <w:rFonts w:ascii="Calibri" w:hAnsi="Calibri"/>
          <w:b w:val="0"/>
          <w:i/>
          <w:color w:val="5C6158"/>
          <w:sz w:val="18"/>
        </w:rPr>
        <w:t>This template is independently authored. Do not paste employer or client confidential data. ACME examples are ILLUSTRATIVE.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6"/>
        </w:rPr>
        <w:t>We will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Name a human Accountable for every agent. Start at L0. Promote with a file. Sample. Log overrides. Pin models. Keep a kill-switch. Retain packets. Terminate access when people leave. Recertify periodically.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6"/>
        </w:rPr>
        <w:t>We will not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Grant L3 in a kickoff. Let an agent release payment or approve a bank-change. Treat Agent 10 as fraud detection. Publish unsigned savings. Send invoice images to a model without a privacy path.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6"/>
        </w:rPr>
        <w:t>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AP Manager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Name / date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Controller / Controls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Name / date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Finance Systems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Name / date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