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8B6914"/>
          <w:sz w:val="20"/>
        </w:rPr>
        <w:t>EVIDENCE ROOM  ·  AP AGENT OS</w:t>
      </w:r>
    </w:p>
    <w:p>
      <w:pPr>
        <w:spacing w:after="80"/>
      </w:pPr>
      <w:r>
        <w:rPr>
          <w:rFonts w:ascii="Calibri" w:hAnsi="Calibri"/>
          <w:b/>
          <w:i w:val="0"/>
          <w:color w:val="1A1C19"/>
          <w:sz w:val="44"/>
        </w:rPr>
        <w:t>Implementation plan (one agent)</w:t>
      </w:r>
    </w:p>
    <w:p>
      <w:pPr>
        <w:spacing w:after="240"/>
      </w:pPr>
      <w:r>
        <w:rPr>
          <w:rFonts w:ascii="Calibri" w:hAnsi="Calibri"/>
          <w:b w:val="0"/>
          <w:i/>
          <w:color w:val="5C6158"/>
          <w:sz w:val="22"/>
        </w:rPr>
        <w:t>4–6 weeks is illustrative for one bounded L0 agent. Dependencies add time.</w:t>
      </w:r>
    </w:p>
    <w:p>
      <w:pPr>
        <w:spacing w:after="160"/>
      </w:pPr>
      <w:r>
        <w:rPr>
          <w:rFonts w:ascii="Calibri" w:hAnsi="Calibri"/>
          <w:b w:val="0"/>
          <w:i/>
          <w:color w:val="8B6914"/>
          <w:sz w:val="20"/>
        </w:rPr>
        <w:t>Proof before permission. Agents earn responsibility. Evidence decides.</w:t>
      </w:r>
    </w:p>
    <w:p>
      <w:pPr>
        <w:spacing w:after="160"/>
      </w:pPr>
      <w:r>
        <w:rPr>
          <w:rFonts w:ascii="Calibri" w:hAnsi="Calibri"/>
          <w:b w:val="0"/>
          <w:i/>
          <w:color w:val="5C6158"/>
          <w:sz w:val="18"/>
        </w:rPr>
        <w:t>This template is independently authored. Do not paste employer or client confidential data. ACME examples are ILLUSTRATIVE.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Agent × slice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[ ]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Human owner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[ ]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Sponsor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[ ]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Target level this increment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L0 (default)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Start / review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[ ] / [ ]</w:t>
            </w:r>
          </w:p>
        </w:tc>
      </w:tr>
    </w:tbl>
    <w:p>
      <w:pPr>
        <w:spacing w:after="160"/>
      </w:pPr>
      <w:r>
        <w:rPr>
          <w:rFonts w:ascii="Calibri" w:hAnsi="Calibri"/>
          <w:b/>
          <w:i w:val="0"/>
          <w:color w:val="1A1C19"/>
          <w:sz w:val="26"/>
        </w:rPr>
        <w:t>Phases 0–10 (tick only with evidence)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☐  0 Baseline — diagnostic + registry row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☐  1 Discovery — as-done observation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☐  2 Specification — signed charter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☐  3 Access — read path + privacy note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☐  4 Prototype — boxed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☐  5 Historical test — gold first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☐  6 Shadow — no action permissions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☐  7 Controlled execution — only if evidence; allow-list; at-most-once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☐  8 Review — vs baseline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☐  9 Progression — one increment or stay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☐  10 Scale — next slice or next agent, not both</w:t>
      </w:r>
    </w:p>
    <w:p>
      <w:pPr>
        <w:spacing w:after="160"/>
      </w:pPr>
      <w:r>
        <w:rPr>
          <w:rFonts w:ascii="Calibri" w:hAnsi="Calibri"/>
          <w:b/>
          <w:i w:val="0"/>
          <w:color w:val="1A1C19"/>
          <w:sz w:val="26"/>
        </w:rPr>
        <w:t>Dependencies that extend the calendar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Integrations, DoA quality, image retrieval, vendor contracts, works-council / privacy, year-end freeze, shared-service shift patterns.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