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8B6914"/>
          <w:sz w:val="20"/>
        </w:rPr>
        <w:t>EVIDENCE ROOM  ·  AP AGENT OS</w:t>
      </w:r>
    </w:p>
    <w:p>
      <w:pPr>
        <w:spacing w:after="80"/>
      </w:pPr>
      <w:r>
        <w:rPr>
          <w:rFonts w:ascii="Calibri" w:hAnsi="Calibri"/>
          <w:b/>
          <w:i w:val="0"/>
          <w:color w:val="1A1C19"/>
          <w:sz w:val="44"/>
        </w:rPr>
        <w:t>Meeting guide</w:t>
      </w:r>
    </w:p>
    <w:p>
      <w:pPr>
        <w:spacing w:after="240"/>
      </w:pPr>
      <w:r>
        <w:rPr>
          <w:rFonts w:ascii="Calibri" w:hAnsi="Calibri"/>
          <w:b w:val="0"/>
          <w:i/>
          <w:color w:val="5C6158"/>
          <w:sz w:val="22"/>
        </w:rPr>
        <w:t>Observation, interview, or steering. One purpose per sitting.</w:t>
      </w:r>
    </w:p>
    <w:p>
      <w:pPr>
        <w:spacing w:after="160"/>
      </w:pPr>
      <w:r>
        <w:rPr>
          <w:rFonts w:ascii="Calibri" w:hAnsi="Calibri"/>
          <w:b w:val="0"/>
          <w:i/>
          <w:color w:val="8B6914"/>
          <w:sz w:val="20"/>
        </w:rPr>
        <w:t>Proof before permission. Agents earn responsibility. Evidence decides.</w:t>
      </w:r>
    </w:p>
    <w:p>
      <w:pPr>
        <w:spacing w:after="160"/>
      </w:pPr>
      <w:r>
        <w:rPr>
          <w:rFonts w:ascii="Calibri" w:hAnsi="Calibri"/>
          <w:b w:val="0"/>
          <w:i/>
          <w:color w:val="5C6158"/>
          <w:sz w:val="18"/>
        </w:rPr>
        <w:t>This template is independently authored. Do not paste employer or client confidential data. ACME examples are ILLUSTRATIVE.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Observe / Interview / Steering / Working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Purpose (one sentence)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Must-leave-with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[artefact]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Do not discuss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Autonomous payments as a success metric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Data rules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No live personal data unless approved</w:t>
            </w:r>
          </w:p>
        </w:tc>
      </w:tr>
    </w:tbl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Opening (5 minutes)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Proof before permission. Today’s artefact. Timebox.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Questions (interview)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1. Show me the last invoice that broke. What did you actually do?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2. Which system is true if they disagree?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3. Who can change a tolerance or a DoA line?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4. What do you still chase by inbox?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5. If a model drafted this email, who would you still want to press send?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Close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Decisions, owners, dates. Parking lot. No unsigned dollars.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