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RACI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Agents may be Consulted or Informed. Agents are never Accountable.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20"/>
        </w:rPr>
        <w:t>R = Responsible (does the work)  A = Accountable (one human)  C = Consulted  I = Informed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AP Manager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Controller</w:t>
            </w:r>
          </w:p>
        </w:tc>
        <w:tc>
          <w:tcPr>
            <w:tcW w:type="dxa" w:w="1440"/>
          </w:tcPr>
          <w:p>
            <w:r>
              <w:t>FinSys</w:t>
            </w:r>
          </w:p>
        </w:tc>
        <w:tc>
          <w:tcPr>
            <w:tcW w:type="dxa" w:w="1440"/>
          </w:tcPr>
          <w:p>
            <w:r>
              <w:t>Agent (C/I only)</w:t>
            </w:r>
          </w:p>
        </w:tc>
      </w:tr>
      <w:tr>
        <w:tc>
          <w:tcPr>
            <w:tcW w:type="dxa" w:w="1440"/>
          </w:tcPr>
          <w:p>
            <w:r>
              <w:t>Approve L0 charter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Classify exception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Release payment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 (prepare)</w:t>
            </w:r>
          </w:p>
        </w:tc>
        <w:tc>
          <w:tcPr>
            <w:tcW w:type="dxa" w:w="1440"/>
          </w:tcPr>
          <w:p>
            <w:r>
              <w:t>A / Treasury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— (forbidden)</w:t>
            </w:r>
          </w:p>
        </w:tc>
      </w:tr>
      <w:tr>
        <w:tc>
          <w:tcPr>
            <w:tcW w:type="dxa" w:w="1440"/>
          </w:tcPr>
          <w:p>
            <w:r>
              <w:t>Approve vendor bank-change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 / Treasury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— (forbidden)</w:t>
            </w:r>
          </w:p>
        </w:tc>
      </w:tr>
      <w:tr>
        <w:tc>
          <w:tcPr>
            <w:tcW w:type="dxa" w:w="1440"/>
          </w:tcPr>
          <w:p>
            <w:r>
              <w:t>Promote autonomy +1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 (L3+)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Pull kill-switch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Blank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AP Manager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Controller</w:t>
            </w:r>
          </w:p>
        </w:tc>
        <w:tc>
          <w:tcPr>
            <w:tcW w:type="dxa" w:w="1440"/>
          </w:tcPr>
          <w:p>
            <w:r>
              <w:t>FinSys</w:t>
            </w:r>
          </w:p>
        </w:tc>
        <w:tc>
          <w:tcPr>
            <w:tcW w:type="dxa" w:w="1440"/>
          </w:tcPr>
          <w:p>
            <w:r>
              <w:t>Agent (C/I only)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