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8B6914"/>
          <w:sz w:val="20"/>
        </w:rPr>
        <w:t>EVIDENCE ROOM  ·  AP AGENT OS</w:t>
      </w:r>
    </w:p>
    <w:p>
      <w:pPr>
        <w:spacing w:after="80"/>
      </w:pPr>
      <w:r>
        <w:rPr>
          <w:rFonts w:ascii="Calibri" w:hAnsi="Calibri"/>
          <w:b/>
          <w:i w:val="0"/>
          <w:color w:val="1A1C19"/>
          <w:sz w:val="44"/>
        </w:rPr>
        <w:t>Risk assessment (agent slice)</w:t>
      </w:r>
    </w:p>
    <w:p>
      <w:pPr>
        <w:spacing w:after="240"/>
      </w:pPr>
      <w:r>
        <w:rPr>
          <w:rFonts w:ascii="Calibri" w:hAnsi="Calibri"/>
          <w:b w:val="0"/>
          <w:i/>
          <w:color w:val="5C6158"/>
          <w:sz w:val="22"/>
        </w:rPr>
        <w:t>Buyer scores. Do not paste a generic AI-risk essay.</w:t>
      </w:r>
    </w:p>
    <w:p>
      <w:pPr>
        <w:spacing w:after="160"/>
      </w:pPr>
      <w:r>
        <w:rPr>
          <w:rFonts w:ascii="Calibri" w:hAnsi="Calibri"/>
          <w:b w:val="0"/>
          <w:i/>
          <w:color w:val="8B6914"/>
          <w:sz w:val="20"/>
        </w:rPr>
        <w:t>Proof before permission. Agents earn responsibility. Evidence decides.</w:t>
      </w:r>
    </w:p>
    <w:p>
      <w:pPr>
        <w:spacing w:after="160"/>
      </w:pPr>
      <w:r>
        <w:rPr>
          <w:rFonts w:ascii="Calibri" w:hAnsi="Calibri"/>
          <w:b w:val="0"/>
          <w:i/>
          <w:color w:val="5C6158"/>
          <w:sz w:val="18"/>
        </w:rPr>
        <w:t>This template is independently authored. Do not paste employer or client confidential data. ACME examples are ILLUSTRATIVE.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Slice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[entity × channel × type]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Agent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AG-__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Assessor / 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 ]</w:t>
            </w:r>
          </w:p>
        </w:tc>
      </w:tr>
    </w:tbl>
    <w:p>
      <w:pPr>
        <w:spacing w:after="160"/>
      </w:pPr>
      <w:r>
        <w:rPr>
          <w:rFonts w:ascii="Calibri" w:hAnsi="Calibri"/>
          <w:b w:val="0"/>
          <w:i/>
          <w:color w:val="5C6158"/>
          <w:sz w:val="20"/>
        </w:rPr>
        <w:t>Score each 1–5 (5 = worse). Likelihood × impact. Treatment owner must be human.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L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Treatment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</w:tr>
      <w:tr>
        <w:tc>
          <w:tcPr>
            <w:tcW w:type="dxa" w:w="1440"/>
          </w:tcPr>
          <w:p>
            <w:r>
              <w:t>Wrong extract treated as fact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[human]</w:t>
            </w:r>
          </w:p>
        </w:tc>
      </w:tr>
      <w:tr>
        <w:tc>
          <w:tcPr>
            <w:tcW w:type="dxa" w:w="1440"/>
          </w:tcPr>
          <w:p>
            <w:r>
              <w:t>False match / false exception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[human]</w:t>
            </w:r>
          </w:p>
        </w:tc>
      </w:tr>
      <w:tr>
        <w:tc>
          <w:tcPr>
            <w:tcW w:type="dxa" w:w="1440"/>
          </w:tcPr>
          <w:p>
            <w:r>
              <w:t>Missed duplicate (FN)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[human]</w:t>
            </w:r>
          </w:p>
        </w:tc>
      </w:tr>
      <w:tr>
        <w:tc>
          <w:tcPr>
            <w:tcW w:type="dxa" w:w="1440"/>
          </w:tcPr>
          <w:p>
            <w:r>
              <w:t>Unauthorised supplier send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[human]</w:t>
            </w:r>
          </w:p>
        </w:tc>
      </w:tr>
      <w:tr>
        <w:tc>
          <w:tcPr>
            <w:tcW w:type="dxa" w:w="1440"/>
          </w:tcPr>
          <w:p>
            <w:r>
              <w:t>Payment verb / tool creep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[human]</w:t>
            </w:r>
          </w:p>
        </w:tc>
      </w:tr>
      <w:tr>
        <w:tc>
          <w:tcPr>
            <w:tcW w:type="dxa" w:w="1440"/>
          </w:tcPr>
          <w:p>
            <w:r>
              <w:t>Bank-change missed on proposal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[human]</w:t>
            </w:r>
          </w:p>
        </w:tc>
      </w:tr>
      <w:tr>
        <w:tc>
          <w:tcPr>
            <w:tcW w:type="dxa" w:w="1440"/>
          </w:tcPr>
          <w:p>
            <w:r>
              <w:t>Prompt injection via invoice text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[human]</w:t>
            </w:r>
          </w:p>
        </w:tc>
      </w:tr>
      <w:tr>
        <w:tc>
          <w:tcPr>
            <w:tcW w:type="dxa" w:w="1440"/>
          </w:tcPr>
          <w:p>
            <w:r>
              <w:t>Privacy (image / personal data to model)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[human]</w:t>
            </w:r>
          </w:p>
        </w:tc>
      </w:tr>
      <w:tr>
        <w:tc>
          <w:tcPr>
            <w:tcW w:type="dxa" w:w="1440"/>
          </w:tcPr>
          <w:p>
            <w:r>
              <w:t>Model swap without pin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[human]</w:t>
            </w:r>
          </w:p>
        </w:tc>
      </w:tr>
      <w:tr>
        <w:tc>
          <w:tcPr>
            <w:tcW w:type="dxa" w:w="1440"/>
          </w:tcPr>
          <w:p>
            <w:r>
              <w:t>Autonomy applied &gt; ceiling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[human]</w:t>
            </w:r>
          </w:p>
        </w:tc>
      </w:tr>
      <w:tr>
        <w:tc>
          <w:tcPr>
            <w:tcW w:type="dxa" w:w="1440"/>
          </w:tcPr>
          <w:p>
            <w:r>
              <w:t>No fallback if vendor dark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[human]</w:t>
            </w:r>
          </w:p>
        </w:tc>
      </w:tr>
      <w:tr>
        <w:tc>
          <w:tcPr>
            <w:tcW w:type="dxa" w:w="1440"/>
          </w:tcPr>
          <w:p>
            <w:r>
              <w:t>Unsigned savings in exec pack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[ ]</w:t>
            </w:r>
          </w:p>
        </w:tc>
        <w:tc>
          <w:tcPr>
            <w:tcW w:type="dxa" w:w="1440"/>
          </w:tcPr>
          <w:p>
            <w:r>
              <w:t>[human]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