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8B6914"/>
          <w:sz w:val="20"/>
        </w:rPr>
        <w:t>EVIDENCE ROOM  ·  AP AGENT OS</w:t>
      </w:r>
    </w:p>
    <w:p>
      <w:pPr>
        <w:spacing w:after="80"/>
      </w:pPr>
      <w:r>
        <w:rPr>
          <w:rFonts w:ascii="Calibri" w:hAnsi="Calibri"/>
          <w:b/>
          <w:i w:val="0"/>
          <w:color w:val="1A1C19"/>
          <w:sz w:val="44"/>
        </w:rPr>
        <w:t>SOP template</w:t>
      </w:r>
    </w:p>
    <w:p>
      <w:pPr>
        <w:spacing w:after="240"/>
      </w:pPr>
      <w:r>
        <w:rPr>
          <w:rFonts w:ascii="Calibri" w:hAnsi="Calibri"/>
          <w:b w:val="0"/>
          <w:i/>
          <w:color w:val="5C6158"/>
          <w:sz w:val="22"/>
        </w:rPr>
        <w:t>Current-state or target-state. One procedure. Named owner.</w:t>
      </w:r>
    </w:p>
    <w:p>
      <w:pPr>
        <w:spacing w:after="160"/>
      </w:pPr>
      <w:r>
        <w:rPr>
          <w:rFonts w:ascii="Calibri" w:hAnsi="Calibri"/>
          <w:b w:val="0"/>
          <w:i/>
          <w:color w:val="8B6914"/>
          <w:sz w:val="20"/>
        </w:rPr>
        <w:t>Proof before permission. Agents earn responsibility. Evidence decides.</w:t>
      </w:r>
    </w:p>
    <w:p>
      <w:pPr>
        <w:spacing w:after="160"/>
      </w:pPr>
      <w:r>
        <w:rPr>
          <w:rFonts w:ascii="Calibri" w:hAnsi="Calibri"/>
          <w:b w:val="0"/>
          <w:i/>
          <w:color w:val="5C6158"/>
          <w:sz w:val="18"/>
        </w:rPr>
        <w:t>This template is independently authored. Do not paste employer or client confidential data. ACME examples are ILLUSTRATIVE.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1.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SOP ID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[BUYER]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[procedure name]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Process owner (human, Accountable)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[name / role]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ERP / channel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[system — agnostic]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Version / date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[ ]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Related agent (if any)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AG-__ at L__  ·  ceiling L__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Kill-switch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1A1C19"/>
                <w:sz w:val="20"/>
              </w:rPr>
              <w:t>Where it lives / who can pull it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2. Purpose — what this procedure exists to do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[ ]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3. Scope / out of scope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In: [ ]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Out: payment release, vendor bank-change, policy exceptions, legal disputes remain human even if an agent drafts.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4. Triggers and inputs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[document types, systems, frequency]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5. Steps (as-done, not as-designed unless this is target-state)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1. [actor] does [action] in [system] using [evidence]. Failure: [what happens].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2. …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6. Decision tree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If [condition] then [route / code / owner]. Else [ ].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7. Controls and evidence to retain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[IDs, retention, who can retrieve]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8. Escalation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[clock, amount, repeat]</w:t>
      </w:r>
    </w:p>
    <w:p>
      <w:pPr>
        <w:spacing w:after="160"/>
      </w:pPr>
      <w:r>
        <w:rPr>
          <w:rFonts w:ascii="Calibri" w:hAnsi="Calibri"/>
          <w:b/>
          <w:i w:val="0"/>
          <w:color w:val="1A1C19"/>
          <w:sz w:val="28"/>
        </w:rPr>
        <w:t>9. Metrics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[KPI IDs from the dictionary — n_min applies]</w:t>
      </w:r>
    </w:p>
    <w:p>
      <w:pPr>
        <w:spacing w:after="160"/>
      </w:pPr>
      <w:r>
        <w:rPr>
          <w:rFonts w:ascii="Calibri" w:hAnsi="Calibri"/>
          <w:b/>
          <w:i w:val="0"/>
          <w:color w:val="8B6914"/>
          <w:sz w:val="28"/>
        </w:rPr>
        <w:t>ILLUSTRATIVE ACME fragment (delete in live SOP)</w:t>
      </w:r>
    </w:p>
    <w:p>
      <w:pPr>
        <w:spacing w:after="160"/>
      </w:pPr>
      <w:r>
        <w:rPr>
          <w:rFonts w:ascii="Calibri" w:hAnsi="Calibri"/>
          <w:b w:val="0"/>
          <w:i w:val="0"/>
          <w:color w:val="1A1C19"/>
          <w:sz w:val="22"/>
        </w:rPr>
        <w:t>SOP-ACME-GR-01 Missing receipt chase. Owner: Plant AP liaison. Agent AG-05 recommends receiver; never posts GR. Channel: email PDF. Entity: ACME-US. Clock: 2 business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