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90-Day Implementation Plan Template</w:t>
      </w:r>
    </w:p>
    <w:p>
      <w:r>
        <w:t>—</w:t>
      </w:r>
    </w:p>
    <w:p>
      <w:r>
        <w:rPr>
          <w:b/>
        </w:rPr>
        <w:t xml:space="preserve">Organisation: </w:t>
      </w:r>
      <w:r>
        <w:t>________________________________________</w:t>
      </w:r>
    </w:p>
    <w:p>
      <w:r>
        <w:rPr>
          <w:b/>
        </w:rPr>
        <w:t xml:space="preserve">First agent: </w:t>
      </w:r>
      <w:r>
        <w:t>________________________________________</w:t>
      </w:r>
    </w:p>
    <w:p>
      <w:r>
        <w:rPr>
          <w:b/>
        </w:rPr>
        <w:t xml:space="preserve">Sponsor: </w:t>
      </w:r>
      <w:r>
        <w:t>________________________________________</w:t>
      </w:r>
    </w:p>
    <w:p>
      <w:pPr>
        <w:pStyle w:val="Heading2"/>
      </w:pPr>
      <w:r>
        <w:t>Days 1–30 — Baseline &amp; design</w:t>
      </w:r>
    </w:p>
    <w:p>
      <w:r>
        <w:t>• Diagnostic</w:t>
        <w:br/>
        <w:t>• Process discovery</w:t>
        <w:br/>
        <w:t>• Charter &amp; controls</w:t>
        <w:br/>
        <w:t>• KPI baseline</w:t>
      </w:r>
    </w:p>
    <w:p>
      <w:pPr>
        <w:pStyle w:val="Heading2"/>
      </w:pPr>
      <w:r>
        <w:t>Days 31–60 — Shadow</w:t>
      </w:r>
    </w:p>
    <w:p>
      <w:r>
        <w:t>• Historical tests</w:t>
        <w:br/>
        <w:t>• Shadow mode</w:t>
        <w:br/>
        <w:t>• Weekly scorecard</w:t>
      </w:r>
    </w:p>
    <w:p>
      <w:pPr>
        <w:pStyle w:val="Heading2"/>
      </w:pPr>
      <w:r>
        <w:t>Days 61–90 — Controlled pilot</w:t>
      </w:r>
    </w:p>
    <w:p>
      <w:r>
        <w:t>• Limited scope execution (L2)</w:t>
        <w:br/>
        <w:t>• Steering review</w:t>
        <w:br/>
        <w:t>• Go/No-go for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