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6F5E"/>
          <w:sz w:val="24"/>
        </w:rPr>
        <w:t>EVIDENCE ROOM</w:t>
      </w:r>
    </w:p>
    <w:p>
      <w:pPr>
        <w:pStyle w:val="Heading1"/>
      </w:pPr>
      <w:r>
        <w:rPr>
          <w:color w:val="1A1F2E"/>
        </w:rPr>
        <w:t>AP Agent Governance Standard (Editable)</w:t>
      </w:r>
    </w:p>
    <w:p>
      <w:r>
        <w:rPr>
          <w:i/>
          <w:color w:val="5C6370"/>
        </w:rPr>
        <w:t>Organisation-specific adoption of Evidence Room framework</w:t>
      </w:r>
    </w:p>
    <w:p>
      <w:r>
        <w:t>—</w:t>
      </w:r>
    </w:p>
    <w:p>
      <w:pPr>
        <w:pStyle w:val="Heading2"/>
      </w:pPr>
      <w:r>
        <w:t>1. Purpose &amp; scope</w:t>
      </w:r>
    </w:p>
    <w:p>
      <w:r>
        <w:t>[Adopt / adapt]</w:t>
      </w:r>
    </w:p>
    <w:p>
      <w:pPr>
        <w:pStyle w:val="Heading2"/>
      </w:pPr>
      <w:r>
        <w:t>2. Accountability</w:t>
      </w:r>
    </w:p>
    <w:p>
      <w:r>
        <w:t>Named human owners for each agent. No orphan agents.</w:t>
      </w:r>
    </w:p>
    <w:p>
      <w:pPr>
        <w:pStyle w:val="Heading2"/>
      </w:pPr>
      <w:r>
        <w:t>3. Autonomy policy</w:t>
      </w:r>
    </w:p>
    <w:p>
      <w:r>
        <w:t>Default L0/L1. L3+ requires certification pack and steering approval. Payment authorisation excluded from agent autonomy.</w:t>
      </w:r>
    </w:p>
    <w:p>
      <w:pPr>
        <w:pStyle w:val="Heading2"/>
      </w:pPr>
      <w:r>
        <w:t>4. Change control</w:t>
      </w:r>
    </w:p>
    <w:p>
      <w:r>
        <w:t>Prompt, model, tool, and workflow changes require tickets and regression tests.</w:t>
      </w:r>
    </w:p>
    <w:p>
      <w:pPr>
        <w:pStyle w:val="Heading2"/>
      </w:pPr>
      <w:r>
        <w:t>5. Monitoring &amp; audit</w:t>
      </w:r>
    </w:p>
    <w:p>
      <w:r>
        <w:t>[Local requirements]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