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F5E"/>
          <w:sz w:val="24"/>
        </w:rPr>
        <w:t>EVIDENCE ROOM</w:t>
      </w:r>
    </w:p>
    <w:p>
      <w:pPr>
        <w:pStyle w:val="Heading1"/>
      </w:pPr>
      <w:r>
        <w:rPr>
          <w:color w:val="1A1F2E"/>
        </w:rPr>
        <w:t>AP Agent RACI Template</w:t>
      </w:r>
    </w:p>
    <w:p>
      <w:r>
        <w:t>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AP Ops</w:t>
            </w:r>
          </w:p>
        </w:tc>
        <w:tc>
          <w:tcPr>
            <w:tcW w:type="dxa" w:w="1440"/>
          </w:tcPr>
          <w:p>
            <w:r>
              <w:t>AP Manager</w:t>
            </w:r>
          </w:p>
        </w:tc>
        <w:tc>
          <w:tcPr>
            <w:tcW w:type="dxa" w:w="1440"/>
          </w:tcPr>
          <w:p>
            <w:r>
              <w:t>Controller</w:t>
            </w:r>
          </w:p>
        </w:tc>
        <w:tc>
          <w:tcPr>
            <w:tcW w:type="dxa" w:w="1440"/>
          </w:tcPr>
          <w:p>
            <w:r>
              <w:t>IT/Systems</w:t>
            </w:r>
          </w:p>
        </w:tc>
        <w:tc>
          <w:tcPr>
            <w:tcW w:type="dxa" w:w="1440"/>
          </w:tcPr>
          <w:p>
            <w:r>
              <w:t>Agent</w:t>
            </w:r>
          </w:p>
        </w:tc>
      </w:tr>
      <w:tr>
        <w:tc>
          <w:tcPr>
            <w:tcW w:type="dxa" w:w="1440"/>
          </w:tcPr>
          <w:p>
            <w:r>
              <w:t>Define agent charter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Approve autonomy change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Day-to-day monitoring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Exception resolution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Payment authorisation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Model/prompt change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Audit evidence pack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Legend: R/A/C/I. Payment authorisation must remain with a human Accountable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