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 w:val="0"/>
          <w:color w:val="12160F"/>
          <w:sz w:val="44"/>
        </w:rPr>
        <w:t>Governance standard (draft)</w:t>
      </w:r>
    </w:p>
    <w:p>
      <w:r>
        <w:rPr>
          <w:rFonts w:ascii="Calibri" w:hAnsi="Calibri" w:eastAsia="Calibri"/>
          <w:b w:val="0"/>
          <w:color w:val="5A6154"/>
          <w:sz w:val="20"/>
        </w:rPr>
        <w:t>Blank fields are for the licensee. Northline examples are fictional.</w:t>
      </w:r>
    </w:p>
    <w:p>
      <w:pPr>
        <w:pStyle w:val="Heading1"/>
      </w:pPr>
      <w:r>
        <w:rPr>
          <w:color w:val="12160F"/>
        </w:rPr>
        <w:t>Governance Standard</w:t>
      </w:r>
    </w:p>
    <w:p>
      <w:r>
        <w:rPr>
          <w:rFonts w:ascii="Calibri" w:hAnsi="Calibri" w:eastAsia="Calibri"/>
          <w:b w:val="0"/>
          <w:sz w:val="22"/>
        </w:rPr>
        <w:t>**Product:** AP Agent OS — Evidence Room</w:t>
      </w:r>
    </w:p>
    <w:p>
      <w:r>
        <w:rPr>
          <w:rFonts w:ascii="Calibri" w:hAnsi="Calibri" w:eastAsia="Calibri"/>
          <w:b w:val="0"/>
          <w:sz w:val="22"/>
        </w:rPr>
        <w:t>**Type:** Binding operating standard for adopters of this pack</w:t>
      </w:r>
    </w:p>
    <w:p>
      <w:r>
        <w:rPr>
          <w:rFonts w:ascii="Calibri" w:hAnsi="Calibri" w:eastAsia="Calibri"/>
          <w:b w:val="0"/>
          <w:sz w:val="22"/>
        </w:rPr>
        <w:t>**Relationship:** Compresses `GOVERNANCE_FRAMEWORK.md` into shall / shall-not statements. If the two conflict, this standard wins until the framework is revised.</w:t>
      </w:r>
    </w:p>
    <w:p>
      <w:r>
        <w:rPr>
          <w:rFonts w:ascii="Calibri" w:hAnsi="Calibri" w:eastAsia="Calibri"/>
          <w:b w:val="0"/>
          <w:sz w:val="22"/>
        </w:rPr>
        <w:t>**Not:** A certification, a legal opinion, or a claim of alignment to NIST AI RMF or ISO/IEC 42001. Those frameworks may be considered separately.</w:t>
      </w:r>
    </w:p>
    <w:p>
      <w:r>
        <w:rPr>
          <w:rFonts w:ascii="Calibri" w:hAnsi="Calibri" w:eastAsia="Calibri"/>
          <w:b w:val="0"/>
          <w:sz w:val="22"/>
        </w:rPr>
        <w:t>**Example:** Northline Industrials applies this standard to all 16 agents.</w:t>
      </w:r>
    </w:p>
    <w:p>
      <w:pPr>
        <w:pStyle w:val="Heading2"/>
      </w:pPr>
      <w:r>
        <w:rPr>
          <w:color w:val="12160F"/>
        </w:rPr>
        <w:t>0. Application</w:t>
      </w:r>
    </w:p>
    <w:p>
      <w:r>
        <w:rPr>
          <w:rFonts w:ascii="Calibri" w:hAnsi="Calibri" w:eastAsia="Calibri"/>
          <w:b w:val="0"/>
          <w:sz w:val="22"/>
        </w:rPr>
        <w:t>This standard applies from the first shadow run. Mapping and historical testing may proceed before full RBAC automation, but **no live proposal** is shown to processors until sections 1–8 are met.</w:t>
      </w:r>
    </w:p>
    <w:p>
      <w:r>
        <w:rPr>
          <w:rFonts w:ascii="Calibri" w:hAnsi="Calibri" w:eastAsia="Calibri"/>
          <w:b w:val="0"/>
          <w:sz w:val="22"/>
        </w:rPr>
        <w:t>Local policies that are stricter prevail. Local policies that are looser require a written waiver from the control owner, with expiry.</w:t>
      </w:r>
    </w:p>
    <w:p>
      <w:pPr>
        <w:pStyle w:val="Heading2"/>
      </w:pPr>
      <w:r>
        <w:rPr>
          <w:color w:val="12160F"/>
        </w:rPr>
        <w:t>1. Accountability</w:t>
      </w:r>
    </w:p>
    <w:p>
      <w:r>
        <w:rPr>
          <w:rFonts w:ascii="Calibri" w:hAnsi="Calibri" w:eastAsia="Calibri"/>
          <w:b w:val="0"/>
          <w:sz w:val="22"/>
        </w:rPr>
        <w:t>1.1 Each process path shall have one human process owner.</w:t>
      </w:r>
    </w:p>
    <w:p>
      <w:r>
        <w:rPr>
          <w:rFonts w:ascii="Calibri" w:hAnsi="Calibri" w:eastAsia="Calibri"/>
          <w:b w:val="0"/>
          <w:sz w:val="22"/>
        </w:rPr>
        <w:t>1.2 Each production agent shall have one human owner named on the control matrix.</w:t>
      </w:r>
    </w:p>
    <w:p>
      <w:r>
        <w:rPr>
          <w:rFonts w:ascii="Calibri" w:hAnsi="Calibri" w:eastAsia="Calibri"/>
          <w:b w:val="0"/>
          <w:sz w:val="22"/>
        </w:rPr>
        <w:t>1.3 Agents shall not be Accountable on the RACI.</w:t>
      </w:r>
    </w:p>
    <w:p>
      <w:r>
        <w:rPr>
          <w:rFonts w:ascii="Calibri" w:hAnsi="Calibri" w:eastAsia="Calibri"/>
          <w:b w:val="0"/>
          <w:sz w:val="22"/>
        </w:rPr>
        <w:t>1.4 Every ERP commit shall name a human performer of record.</w:t>
      </w:r>
    </w:p>
    <w:p>
      <w:r>
        <w:rPr>
          <w:rFonts w:ascii="Calibri" w:hAnsi="Calibri" w:eastAsia="Calibri"/>
          <w:b w:val="0"/>
          <w:sz w:val="22"/>
        </w:rPr>
        <w:t>1.5 Dual approval (process owner and control owner) shall be required to expand agent authority, to change tolerances, or to change allowed tools.</w:t>
      </w:r>
    </w:p>
    <w:p>
      <w:pPr>
        <w:pStyle w:val="Heading2"/>
      </w:pPr>
      <w:r>
        <w:rPr>
          <w:color w:val="12160F"/>
        </w:rPr>
        <w:t>2. Authority boundaries</w:t>
      </w:r>
    </w:p>
    <w:p>
      <w:r>
        <w:rPr>
          <w:rFonts w:ascii="Calibri" w:hAnsi="Calibri" w:eastAsia="Calibri"/>
          <w:b w:val="0"/>
          <w:sz w:val="22"/>
        </w:rPr>
        <w:t>2.1 Agents shall not release payments, lift payment holds, or generate a payment file.</w:t>
      </w:r>
    </w:p>
    <w:p>
      <w:r>
        <w:rPr>
          <w:rFonts w:ascii="Calibri" w:hAnsi="Calibri" w:eastAsia="Calibri"/>
          <w:b w:val="0"/>
          <w:sz w:val="22"/>
        </w:rPr>
        <w:t>2.2 Agents shall not approve spend or amend DOA limits.</w:t>
      </w:r>
    </w:p>
    <w:p>
      <w:r>
        <w:rPr>
          <w:rFonts w:ascii="Calibri" w:hAnsi="Calibri" w:eastAsia="Calibri"/>
          <w:b w:val="0"/>
          <w:sz w:val="22"/>
        </w:rPr>
        <w:t>2.3 Agents shall not create or amend supplier bank details, tax masters, or cost-centre masters.</w:t>
      </w:r>
    </w:p>
    <w:p>
      <w:r>
        <w:rPr>
          <w:rFonts w:ascii="Calibri" w:hAnsi="Calibri" w:eastAsia="Calibri"/>
          <w:b w:val="0"/>
          <w:sz w:val="22"/>
        </w:rPr>
        <w:t>2.4 Agents shall not create GRNs or re-open POs.</w:t>
      </w:r>
    </w:p>
    <w:p>
      <w:r>
        <w:rPr>
          <w:rFonts w:ascii="Calibri" w:hAnsi="Calibri" w:eastAsia="Calibri"/>
          <w:b w:val="0"/>
          <w:sz w:val="22"/>
        </w:rPr>
        <w:t>2.5 Agents shall not construct invoice numbers or payable amounts that are not on the face or in a retrieved system object.</w:t>
      </w:r>
    </w:p>
    <w:p>
      <w:r>
        <w:rPr>
          <w:rFonts w:ascii="Calibri" w:hAnsi="Calibri" w:eastAsia="Calibri"/>
          <w:b w:val="0"/>
          <w:sz w:val="22"/>
        </w:rPr>
        <w:t>2.6 Agents shall not post from a statement line.</w:t>
      </w:r>
    </w:p>
    <w:p>
      <w:r>
        <w:rPr>
          <w:rFonts w:ascii="Calibri" w:hAnsi="Calibri" w:eastAsia="Calibri"/>
          <w:b w:val="0"/>
          <w:sz w:val="22"/>
        </w:rPr>
        <w:t>2.7 First release shall be propose / draft / flag / assemble / route / chase-draft only, unless a signed expansion record exists.</w:t>
      </w:r>
    </w:p>
    <w:p>
      <w:r>
        <w:rPr>
          <w:rFonts w:ascii="Calibri" w:hAnsi="Calibri" w:eastAsia="Calibri"/>
          <w:b w:val="0"/>
          <w:sz w:val="22"/>
        </w:rPr>
        <w:t>2.8 Forbidden-action lists shall be written on the agentisation sheet and the SOP. Implied forbids are non-conformant.</w:t>
      </w:r>
    </w:p>
    <w:p>
      <w:pPr>
        <w:pStyle w:val="Heading2"/>
      </w:pPr>
      <w:r>
        <w:rPr>
          <w:color w:val="12160F"/>
        </w:rPr>
        <w:t>3. Segregation of duties and access</w:t>
      </w:r>
    </w:p>
    <w:p>
      <w:r>
        <w:rPr>
          <w:rFonts w:ascii="Calibri" w:hAnsi="Calibri" w:eastAsia="Calibri"/>
          <w:b w:val="0"/>
          <w:sz w:val="22"/>
        </w:rPr>
        <w:t>3.1 Confirming a duplicate close shall not be performed by the original capturer when another qualified person is available.</w:t>
      </w:r>
    </w:p>
    <w:p>
      <w:r>
        <w:rPr>
          <w:rFonts w:ascii="Calibri" w:hAnsi="Calibri" w:eastAsia="Calibri"/>
          <w:b w:val="0"/>
          <w:sz w:val="22"/>
        </w:rPr>
        <w:t>3.2 Bank-master change and EX-BNK park shall not be performed by the same person in the same episode.</w:t>
      </w:r>
    </w:p>
    <w:p>
      <w:r>
        <w:rPr>
          <w:rFonts w:ascii="Calibri" w:hAnsi="Calibri" w:eastAsia="Calibri"/>
          <w:b w:val="0"/>
          <w:sz w:val="22"/>
        </w:rPr>
        <w:t>3.3 Prompt/config change and production release shall not be performed by the same person.</w:t>
      </w:r>
    </w:p>
    <w:p>
      <w:r>
        <w:rPr>
          <w:rFonts w:ascii="Calibri" w:hAnsi="Calibri" w:eastAsia="Calibri"/>
          <w:b w:val="0"/>
          <w:sz w:val="22"/>
        </w:rPr>
        <w:t>3.4 Agent service principals shall use least privilege. Delete-mail, void, approve, post, and master-write shall be absent unless a current expansion record grants a specific write.</w:t>
      </w:r>
    </w:p>
    <w:p>
      <w:r>
        <w:rPr>
          <w:rFonts w:ascii="Calibri" w:hAnsi="Calibri" w:eastAsia="Calibri"/>
          <w:b w:val="0"/>
          <w:sz w:val="22"/>
        </w:rPr>
        <w:t>3.5 Shared posting accounts shall not be used.</w:t>
      </w:r>
    </w:p>
    <w:p>
      <w:r>
        <w:rPr>
          <w:rFonts w:ascii="Calibri" w:hAnsi="Calibri" w:eastAsia="Calibri"/>
          <w:b w:val="0"/>
          <w:sz w:val="22"/>
        </w:rPr>
        <w:t>3.6 Access shall end the same day a person leaves the role.</w:t>
      </w:r>
    </w:p>
    <w:p>
      <w:r>
        <w:rPr>
          <w:rFonts w:ascii="Calibri" w:hAnsi="Calibri" w:eastAsia="Calibri"/>
          <w:b w:val="0"/>
          <w:sz w:val="22"/>
        </w:rPr>
        <w:t>3.7 Human and agent access shall be certified at least quarterly.</w:t>
      </w:r>
    </w:p>
    <w:p>
      <w:pPr>
        <w:pStyle w:val="Heading2"/>
      </w:pPr>
      <w:r>
        <w:rPr>
          <w:color w:val="12160F"/>
        </w:rPr>
        <w:t>4. Untrusted content, privacy, and output</w:t>
      </w:r>
    </w:p>
    <w:p>
      <w:r>
        <w:rPr>
          <w:rFonts w:ascii="Calibri" w:hAnsi="Calibri" w:eastAsia="Calibri"/>
          <w:b w:val="0"/>
          <w:sz w:val="22"/>
        </w:rPr>
        <w:t>4.1 Invoice images, email bodies, and statements shall be treated as untrusted. They shall not override system instructions or tool policy.</w:t>
      </w:r>
    </w:p>
    <w:p>
      <w:r>
        <w:rPr>
          <w:rFonts w:ascii="Calibri" w:hAnsi="Calibri" w:eastAsia="Calibri"/>
          <w:b w:val="0"/>
          <w:sz w:val="22"/>
        </w:rPr>
        <w:t>4.2 Agents shall call only allow-listed tools.</w:t>
      </w:r>
    </w:p>
    <w:p>
      <w:r>
        <w:rPr>
          <w:rFonts w:ascii="Calibri" w:hAnsi="Calibri" w:eastAsia="Calibri"/>
          <w:b w:val="0"/>
          <w:sz w:val="22"/>
        </w:rPr>
        <w:t>4.3 Agents shall not fetch arbitrary URLs found on documents.</w:t>
      </w:r>
    </w:p>
    <w:p>
      <w:r>
        <w:rPr>
          <w:rFonts w:ascii="Calibri" w:hAnsi="Calibri" w:eastAsia="Calibri"/>
          <w:b w:val="0"/>
          <w:sz w:val="22"/>
        </w:rPr>
        <w:t>4.4 Required output fields shall carry a citation to a retrieved object or a face location.</w:t>
      </w:r>
    </w:p>
    <w:p>
      <w:r>
        <w:rPr>
          <w:rFonts w:ascii="Calibri" w:hAnsi="Calibri" w:eastAsia="Calibri"/>
          <w:b w:val="0"/>
          <w:sz w:val="22"/>
        </w:rPr>
        <w:t>4.5 Output shall pass schema, tree-leaf, authority, and confidence validation before it is marked ready.</w:t>
      </w:r>
    </w:p>
    <w:p>
      <w:r>
        <w:rPr>
          <w:rFonts w:ascii="Calibri" w:hAnsi="Calibri" w:eastAsia="Calibri"/>
          <w:b w:val="0"/>
          <w:sz w:val="22"/>
        </w:rPr>
        <w:t>4.6 Personal data shall be limited to the item in hand. Full-mailbox prompts are non-conformant.</w:t>
      </w:r>
    </w:p>
    <w:p>
      <w:r>
        <w:rPr>
          <w:rFonts w:ascii="Calibri" w:hAnsi="Calibri" w:eastAsia="Calibri"/>
          <w:b w:val="0"/>
          <w:sz w:val="22"/>
        </w:rPr>
        <w:t>4.7 Bank identifiers shall be masked in default displays and in non-EX-BNK prompts.</w:t>
      </w:r>
    </w:p>
    <w:p>
      <w:r>
        <w:rPr>
          <w:rFonts w:ascii="Calibri" w:hAnsi="Calibri" w:eastAsia="Calibri"/>
          <w:b w:val="0"/>
          <w:sz w:val="22"/>
        </w:rPr>
        <w:t>4.8 Production content shall not be used to train a shared external model without a written agreement and a privacy review.</w:t>
      </w:r>
    </w:p>
    <w:p>
      <w:pPr>
        <w:pStyle w:val="Heading2"/>
      </w:pPr>
      <w:r>
        <w:rPr>
          <w:color w:val="12160F"/>
        </w:rPr>
        <w:t>5. Records</w:t>
      </w:r>
    </w:p>
    <w:p>
      <w:r>
        <w:rPr>
          <w:rFonts w:ascii="Calibri" w:hAnsi="Calibri" w:eastAsia="Calibri"/>
          <w:b w:val="0"/>
          <w:sz w:val="22"/>
        </w:rPr>
        <w:t>5.1 Audit logs shall include agent version, config hash, object id, proposal, validation result, human decision, and write attempts.</w:t>
      </w:r>
    </w:p>
    <w:p>
      <w:r>
        <w:rPr>
          <w:rFonts w:ascii="Calibri" w:hAnsi="Calibri" w:eastAsia="Calibri"/>
          <w:b w:val="0"/>
          <w:sz w:val="22"/>
        </w:rPr>
        <w:t>5.2 Logs shall be append-only to business users.</w:t>
      </w:r>
    </w:p>
    <w:p>
      <w:r>
        <w:rPr>
          <w:rFonts w:ascii="Calibri" w:hAnsi="Calibri" w:eastAsia="Calibri"/>
          <w:b w:val="0"/>
          <w:sz w:val="22"/>
        </w:rPr>
        <w:t>5.3 Process maps, trees, SOPs, prompts, model ids, and tolerance tables shall be versioned.</w:t>
      </w:r>
    </w:p>
    <w:p>
      <w:r>
        <w:rPr>
          <w:rFonts w:ascii="Calibri" w:hAnsi="Calibri" w:eastAsia="Calibri"/>
          <w:b w:val="0"/>
          <w:sz w:val="22"/>
        </w:rPr>
        <w:t>5.4 A posted invoice shall be reconstructable against the versions that processed it.</w:t>
      </w:r>
    </w:p>
    <w:p>
      <w:r>
        <w:rPr>
          <w:rFonts w:ascii="Calibri" w:hAnsi="Calibri" w:eastAsia="Calibri"/>
          <w:b w:val="0"/>
          <w:sz w:val="22"/>
        </w:rPr>
        <w:t>5.5 Retention shall follow the organisation’s records schedule and the evidence table in the framework.</w:t>
      </w:r>
    </w:p>
    <w:p>
      <w:r>
        <w:rPr>
          <w:rFonts w:ascii="Calibri" w:hAnsi="Calibri" w:eastAsia="Calibri"/>
          <w:b w:val="0"/>
          <w:sz w:val="22"/>
        </w:rPr>
        <w:t>5.6 Evidence packs shall not be described as certifications.</w:t>
      </w:r>
    </w:p>
    <w:p>
      <w:pPr>
        <w:pStyle w:val="Heading2"/>
      </w:pPr>
      <w:r>
        <w:rPr>
          <w:color w:val="12160F"/>
        </w:rPr>
        <w:t>6. Change, test, and release</w:t>
      </w:r>
    </w:p>
    <w:p>
      <w:r>
        <w:rPr>
          <w:rFonts w:ascii="Calibri" w:hAnsi="Calibri" w:eastAsia="Calibri"/>
          <w:b w:val="0"/>
          <w:sz w:val="22"/>
        </w:rPr>
        <w:t>6.1 Model changes and workflow changes shall follow change request, historical test, comparison against current behaviour, and control-owner release.</w:t>
      </w:r>
    </w:p>
    <w:p>
      <w:r>
        <w:rPr>
          <w:rFonts w:ascii="Calibri" w:hAnsi="Calibri" w:eastAsia="Calibri"/>
          <w:b w:val="0"/>
          <w:sz w:val="22"/>
        </w:rPr>
        <w:t>6.2 The person who tunes shall not score the sealed hold-out pack.</w:t>
      </w:r>
    </w:p>
    <w:p>
      <w:r>
        <w:rPr>
          <w:rFonts w:ascii="Calibri" w:hAnsi="Calibri" w:eastAsia="Calibri"/>
          <w:b w:val="0"/>
          <w:sz w:val="22"/>
        </w:rPr>
        <w:t>6.3 Shadow shall complete before a controlled pilot.</w:t>
      </w:r>
    </w:p>
    <w:p>
      <w:r>
        <w:rPr>
          <w:rFonts w:ascii="Calibri" w:hAnsi="Calibri" w:eastAsia="Calibri"/>
          <w:b w:val="0"/>
          <w:sz w:val="22"/>
        </w:rPr>
        <w:t>6.4 A kill-switch shall name a person, a deputy, an action, and a time to effect, before the first live proposal.</w:t>
      </w:r>
    </w:p>
    <w:p>
      <w:r>
        <w:rPr>
          <w:rFonts w:ascii="Calibri" w:hAnsi="Calibri" w:eastAsia="Calibri"/>
          <w:b w:val="0"/>
          <w:sz w:val="22"/>
        </w:rPr>
        <w:t>6.5 Rollback shall be identified before production release.</w:t>
      </w:r>
    </w:p>
    <w:p>
      <w:r>
        <w:rPr>
          <w:rFonts w:ascii="Calibri" w:hAnsi="Calibri" w:eastAsia="Calibri"/>
          <w:b w:val="0"/>
          <w:sz w:val="22"/>
        </w:rPr>
        <w:t>6.6 Stale evidence (process, ERP, or model changed since the test) shall not support expansion.</w:t>
      </w:r>
    </w:p>
    <w:p>
      <w:pPr>
        <w:pStyle w:val="Heading2"/>
      </w:pPr>
      <w:r>
        <w:rPr>
          <w:color w:val="12160F"/>
        </w:rPr>
        <w:t>7. Exceptions and language</w:t>
      </w:r>
    </w:p>
    <w:p>
      <w:r>
        <w:rPr>
          <w:rFonts w:ascii="Calibri" w:hAnsi="Calibri" w:eastAsia="Calibri"/>
          <w:b w:val="0"/>
          <w:sz w:val="22"/>
        </w:rPr>
        <w:t>7.1 Park reasons shall use the taxonomy. Local codes shall follow the extension rule.</w:t>
      </w:r>
    </w:p>
    <w:p>
      <w:r>
        <w:rPr>
          <w:rFonts w:ascii="Calibri" w:hAnsi="Calibri" w:eastAsia="Calibri"/>
          <w:b w:val="0"/>
          <w:sz w:val="22"/>
        </w:rPr>
        <w:t>7.2 Critical codes (EX-DUP posted-risk, EX-ILE, EX-DOA, EX-BNK) shall route above the processor.</w:t>
      </w:r>
    </w:p>
    <w:p>
      <w:r>
        <w:rPr>
          <w:rFonts w:ascii="Calibri" w:hAnsi="Calibri" w:eastAsia="Calibri"/>
          <w:b w:val="0"/>
          <w:sz w:val="22"/>
        </w:rPr>
        <w:t>7.3 EX-AGE shall be added, not used as the sole original code.</w:t>
      </w:r>
    </w:p>
    <w:p>
      <w:r>
        <w:rPr>
          <w:rFonts w:ascii="Calibri" w:hAnsi="Calibri" w:eastAsia="Calibri"/>
          <w:b w:val="0"/>
          <w:sz w:val="22"/>
        </w:rPr>
        <w:t>7.4 User-facing text shall not claim guaranteed savings, fraud detection, compliance, accounting accuracy, autonomous payments, or ROI.</w:t>
      </w:r>
    </w:p>
    <w:p>
      <w:r>
        <w:rPr>
          <w:rFonts w:ascii="Calibri" w:hAnsi="Calibri" w:eastAsia="Calibri"/>
          <w:b w:val="0"/>
          <w:sz w:val="22"/>
        </w:rPr>
        <w:t>7.5 Duplicate and bank-mismatch controls shall be described as error-reduction controls, not as a fraud programme.</w:t>
      </w:r>
    </w:p>
    <w:p>
      <w:r>
        <w:rPr>
          <w:rFonts w:ascii="Calibri" w:hAnsi="Calibri" w:eastAsia="Calibri"/>
          <w:b w:val="0"/>
          <w:sz w:val="22"/>
        </w:rPr>
        <w:t>7.6 Estimated hours shall not be labelled validated financial savings.</w:t>
      </w:r>
    </w:p>
    <w:p>
      <w:pPr>
        <w:pStyle w:val="Heading2"/>
      </w:pPr>
      <w:r>
        <w:rPr>
          <w:color w:val="12160F"/>
        </w:rPr>
        <w:t>8. Incidents, override, fallback</w:t>
      </w:r>
    </w:p>
    <w:p>
      <w:r>
        <w:rPr>
          <w:rFonts w:ascii="Calibri" w:hAnsi="Calibri" w:eastAsia="Calibri"/>
          <w:b w:val="0"/>
          <w:sz w:val="22"/>
        </w:rPr>
        <w:t>8.1 Unauthorised writes, duplicate posts, entity mis-posts, payee-data incidents, injection successes, privacy spills, and lost logs shall be incidents.</w:t>
      </w:r>
    </w:p>
    <w:p>
      <w:r>
        <w:rPr>
          <w:rFonts w:ascii="Calibri" w:hAnsi="Calibri" w:eastAsia="Calibri"/>
          <w:b w:val="0"/>
          <w:sz w:val="22"/>
        </w:rPr>
        <w:t>8.2 The affected agent or path shall be stopped, logs preserved, and commit-landed checked before retry.</w:t>
      </w:r>
    </w:p>
    <w:p>
      <w:r>
        <w:rPr>
          <w:rFonts w:ascii="Calibri" w:hAnsi="Calibri" w:eastAsia="Calibri"/>
          <w:b w:val="0"/>
          <w:sz w:val="22"/>
        </w:rPr>
        <w:t>8.3 Return to service shall use the release path.</w:t>
      </w:r>
    </w:p>
    <w:p>
      <w:r>
        <w:rPr>
          <w:rFonts w:ascii="Calibri" w:hAnsi="Calibri" w:eastAsia="Calibri"/>
          <w:b w:val="0"/>
          <w:sz w:val="22"/>
        </w:rPr>
        <w:t>8.4 Overrides shall be attributable and sampled.</w:t>
      </w:r>
    </w:p>
    <w:p>
      <w:r>
        <w:rPr>
          <w:rFonts w:ascii="Calibri" w:hAnsi="Calibri" w:eastAsia="Calibri"/>
          <w:b w:val="0"/>
          <w:sz w:val="22"/>
        </w:rPr>
        <w:t>8.5 The human SOP shall remain executable without agents.</w:t>
      </w:r>
    </w:p>
    <w:p>
      <w:r>
        <w:rPr>
          <w:rFonts w:ascii="Calibri" w:hAnsi="Calibri" w:eastAsia="Calibri"/>
          <w:b w:val="0"/>
          <w:sz w:val="22"/>
        </w:rPr>
        <w:t>8.6 Agents shall not be the continuity plan for invoice-to-pay.</w:t>
      </w:r>
    </w:p>
    <w:p>
      <w:pPr>
        <w:pStyle w:val="Heading2"/>
      </w:pPr>
      <w:r>
        <w:rPr>
          <w:color w:val="12160F"/>
        </w:rPr>
        <w:t>9. Measurement</w:t>
      </w:r>
    </w:p>
    <w:p>
      <w:r>
        <w:rPr>
          <w:rFonts w:ascii="Calibri" w:hAnsi="Calibri" w:eastAsia="Calibri"/>
          <w:b w:val="0"/>
          <w:sz w:val="22"/>
        </w:rPr>
        <w:t>9.1 Scorecards shall separate Activity, Operational, Financial, and Risk-control measures as defined in `../KPI_and_Measurement/KPI_FRAMEWORK.md`.</w:t>
      </w:r>
    </w:p>
    <w:p>
      <w:r>
        <w:rPr>
          <w:rFonts w:ascii="Calibri" w:hAnsi="Calibri" w:eastAsia="Calibri"/>
          <w:b w:val="0"/>
          <w:sz w:val="22"/>
        </w:rPr>
        <w:t>9.2 Risk-control breaches may veto expansion regardless of operational measures.</w:t>
      </w:r>
    </w:p>
    <w:p>
      <w:r>
        <w:rPr>
          <w:rFonts w:ascii="Calibri" w:hAnsi="Calibri" w:eastAsia="Calibri"/>
          <w:b w:val="0"/>
          <w:sz w:val="22"/>
        </w:rPr>
        <w:t>9.3 Definitions shall be locked before a pilot window. Mid-window formula changes invalidate the comparison unless the control owner restarts the window.</w:t>
      </w:r>
    </w:p>
    <w:p>
      <w:pPr>
        <w:pStyle w:val="Heading2"/>
      </w:pPr>
      <w:r>
        <w:rPr>
          <w:color w:val="12160F"/>
        </w:rPr>
        <w:t>10. Vendor and model</w:t>
      </w:r>
    </w:p>
    <w:p>
      <w:r>
        <w:rPr>
          <w:rFonts w:ascii="Calibri" w:hAnsi="Calibri" w:eastAsia="Calibri"/>
          <w:b w:val="0"/>
          <w:sz w:val="22"/>
        </w:rPr>
        <w:t>10.1 Model hosting, training-use, deprecation, and incident notice shall be assessed before production data is sent.</w:t>
      </w:r>
    </w:p>
    <w:p>
      <w:r>
        <w:rPr>
          <w:rFonts w:ascii="Calibri" w:hAnsi="Calibri" w:eastAsia="Calibri"/>
          <w:b w:val="0"/>
          <w:sz w:val="22"/>
        </w:rPr>
        <w:t>10.2 Model ids shall be pinned where the vendor allows. Forced swaps are incidents.</w:t>
      </w:r>
    </w:p>
    <w:p>
      <w:r>
        <w:rPr>
          <w:rFonts w:ascii="Calibri" w:hAnsi="Calibri" w:eastAsia="Calibri"/>
          <w:b w:val="0"/>
          <w:sz w:val="22"/>
        </w:rPr>
        <w:t>10.3 A completed vendor questionnaire shall not replace output validation or human posting control.</w:t>
      </w:r>
    </w:p>
    <w:p>
      <w:pPr>
        <w:pStyle w:val="Heading2"/>
      </w:pPr>
      <w:r>
        <w:rPr>
          <w:color w:val="12160F"/>
        </w:rPr>
        <w:t>11. External frameworks</w:t>
      </w:r>
    </w:p>
    <w:p>
      <w:r>
        <w:rPr>
          <w:rFonts w:ascii="Calibri" w:hAnsi="Calibri" w:eastAsia="Calibri"/>
          <w:b w:val="0"/>
          <w:sz w:val="22"/>
        </w:rPr>
        <w:t>11.1 NIST AI RMF and ISO/IEC 42001 may be considered when the organisation already runs an AI or control programme.</w:t>
      </w:r>
    </w:p>
    <w:p>
      <w:r>
        <w:rPr>
          <w:rFonts w:ascii="Calibri" w:hAnsi="Calibri" w:eastAsia="Calibri"/>
          <w:b w:val="0"/>
          <w:sz w:val="22"/>
        </w:rPr>
        <w:t>11.2 No team shall state that this product pack, an implementation, or Northline Industrials is certified to, or officially aligned with, those frameworks on the basis of this standard.</w:t>
      </w:r>
    </w:p>
    <w:p>
      <w:pPr>
        <w:pStyle w:val="Heading2"/>
      </w:pPr>
      <w:r>
        <w:rPr>
          <w:color w:val="12160F"/>
        </w:rPr>
        <w:t>12. Waivers</w:t>
      </w:r>
    </w:p>
    <w:p>
      <w:r>
        <w:rPr>
          <w:rFonts w:ascii="Calibri" w:hAnsi="Calibri" w:eastAsia="Calibri"/>
          <w:b w:val="0"/>
          <w:sz w:val="22"/>
        </w:rPr>
        <w:t>12.1 A waiver shall name the clause, the path, the expiry, the residual risk id, and the control-owner signature.</w:t>
      </w:r>
    </w:p>
    <w:p>
      <w:r>
        <w:rPr>
          <w:rFonts w:ascii="Calibri" w:hAnsi="Calibri" w:eastAsia="Calibri"/>
          <w:b w:val="0"/>
          <w:sz w:val="22"/>
        </w:rPr>
        <w:t>12.2 Waivers shall not cover sections 2.1–2.6 (payment, approve, masters, GRN/PO writes, invented amounts, statement posting).</w:t>
      </w:r>
    </w:p>
    <w:p>
      <w:r>
        <w:rPr>
          <w:rFonts w:ascii="Calibri" w:hAnsi="Calibri" w:eastAsia="Calibri"/>
          <w:b w:val="0"/>
          <w:sz w:val="22"/>
        </w:rPr>
        <w:t>12.3 Expired waivers shall be treated as non-conformant the next working day.</w:t>
      </w:r>
    </w:p>
    <w:p>
      <w:pPr>
        <w:pStyle w:val="Heading2"/>
      </w:pPr>
      <w:r>
        <w:rPr>
          <w:color w:val="12160F"/>
        </w:rPr>
        <w:t>13. Conformity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Review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When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Pre-shadow gate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Process owner + control owner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Before processors see proposals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Pre-pilot gate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Same + test lead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Before first live action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Quarterly certification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Control owner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Access, hashes, samples, kill-switch drill currency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Incident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Controller / privacy as applicable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Per event</w:t>
            </w:r>
          </w:p>
        </w:tc>
      </w:tr>
    </w:tbl>
    <w:p>
      <w:r>
        <w:rPr>
          <w:rFonts w:ascii="Calibri" w:hAnsi="Calibri" w:eastAsia="Calibri"/>
          <w:b w:val="0"/>
          <w:sz w:val="22"/>
        </w:rPr>
        <w:t>Northline pre-shadow gate for NIL PO-goods v03: sections 1–8 initialled by Chen and Shah on 2026-04-17, with R-17 and R-27 listed as open and out of agent scope until closed.</w:t>
      </w:r>
    </w:p>
    <w:p>
      <w:pPr>
        <w:pStyle w:val="Heading2"/>
      </w:pPr>
      <w:r>
        <w:rPr>
          <w:color w:val="12160F"/>
        </w:rPr>
        <w:t>14. Non-conformity examples (for training)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Situation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Clause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Required response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03 Matching posts a “clear” invoice overnight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2.7, 2.4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Incident; stop agent; reverse or leave per controller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08 Supplier Resolution sends “we will pay Friday”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2.1, 7.4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Recall if possible; incident; template lock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Implementer hot-swaps a model on Friday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6.1, 10.2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Incident; rollback; re-test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Dashboard tile “AI fraud score”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7.4, 7.5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Remove before release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Hours × rate shown as “savings delivered”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7.6, 9.1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Relabel as estimated hours; financial tile stays empty until validated</w:t>
            </w:r>
          </w:p>
        </w:tc>
      </w:tr>
    </w:tbl>
    <w:p>
      <w:r>
        <w:rPr>
          <w:rFonts w:ascii="Calibri" w:hAnsi="Calibri" w:eastAsia="Calibri"/>
          <w:b/>
          <w:color w:val="12160F"/>
          <w:sz w:val="20"/>
        </w:rPr>
        <w:t>Hard hold: agents do not approve, release, or transmit payment. Vendor-bank change and close attestation stay human.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 w:eastAsia="Calibri"/>
        <w:b w:val="0"/>
        <w:color w:val="5A6154"/>
        <w:sz w:val="16"/>
      </w:rPr>
      <w:t>Working draft. Not legal advice. Payment authorisation stays human.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Calibri"/>
        <w:b w:val="0"/>
        <w:color w:val="B0893E"/>
        <w:sz w:val="16"/>
      </w:rPr>
      <w:t>EVIDENCE ROOM — AP AGENT OS  ·  Proof before permission.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