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 w:val="0"/>
          <w:color w:val="12160F"/>
          <w:sz w:val="44"/>
        </w:rPr>
        <w:t>Implementation plan</w:t>
      </w:r>
    </w:p>
    <w:p>
      <w:r>
        <w:rPr>
          <w:rFonts w:ascii="Calibri" w:hAnsi="Calibri" w:eastAsia="Calibri"/>
          <w:b w:val="0"/>
          <w:color w:val="5A6154"/>
          <w:sz w:val="20"/>
        </w:rPr>
        <w:t>Blank fields are for the licensee. Northline examples are fictional.</w:t>
      </w:r>
    </w:p>
    <w:p>
      <w:pPr>
        <w:pStyle w:val="Heading1"/>
      </w:pPr>
      <w:r>
        <w:rPr>
          <w:color w:val="12160F"/>
        </w:rPr>
        <w:t>Implementation plan template</w:t>
      </w:r>
    </w:p>
    <w:p>
      <w:r>
        <w:rPr>
          <w:rFonts w:ascii="Calibri" w:hAnsi="Calibri" w:eastAsia="Calibri"/>
          <w:b w:val="0"/>
          <w:sz w:val="22"/>
        </w:rPr>
        <w:t>**Product:** Evidence Room — AP Agent OS · Professional</w:t>
      </w:r>
    </w:p>
    <w:p>
      <w:r>
        <w:rPr>
          <w:rFonts w:ascii="Calibri" w:hAnsi="Calibri" w:eastAsia="Calibri"/>
          <w:b w:val="0"/>
          <w:sz w:val="22"/>
        </w:rPr>
        <w:t>**Use:** Write *this organisation’s* plan. Copy the structure; do not copy Northline’s dates as yours.</w:t>
      </w:r>
    </w:p>
    <w:p>
      <w:r>
        <w:rPr>
          <w:rFonts w:ascii="Calibri" w:hAnsi="Calibri" w:eastAsia="Calibri"/>
          <w:b w:val="0"/>
          <w:sz w:val="22"/>
        </w:rPr>
        <w:t>**Companion:** `Business_Case/IMPLEMENTATION_ROADMAP.md`, `NINETY_DAY_PLAN.md`, Starter checklist.</w:t>
      </w:r>
    </w:p>
    <w:p>
      <w:pPr>
        <w:pStyle w:val="Heading2"/>
      </w:pPr>
      <w:r>
        <w:rPr>
          <w:color w:val="12160F"/>
        </w:rPr>
        <w:t>1. Header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Entry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Organisation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Path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Edition of toolkit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1.0.0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Plan owner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Chair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Start (Phase 0 complete date)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Target shadow start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Target day-90 recertify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Licence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Professional / Team</w:t>
            </w:r>
          </w:p>
        </w:tc>
      </w:tr>
    </w:tbl>
    <w:p>
      <w:r>
        <w:rPr>
          <w:rFonts w:ascii="Calibri" w:hAnsi="Calibri" w:eastAsia="Calibri"/>
          <w:b w:val="0"/>
          <w:sz w:val="22"/>
        </w:rPr>
        <w:t>**Non-goals (print):** No payment autonomy. No guaranteed savings. No fraud product. No compliance certificate. No ERP replacement.</w:t>
      </w:r>
    </w:p>
    <w:p>
      <w:pPr>
        <w:pStyle w:val="Heading2"/>
      </w:pPr>
      <w:r>
        <w:rPr>
          <w:color w:val="12160F"/>
        </w:rPr>
        <w:t>2. Scope</w:t>
      </w:r>
    </w:p>
    <w:p>
      <w:r>
        <w:rPr>
          <w:rFonts w:ascii="Calibri" w:hAnsi="Calibri" w:eastAsia="Calibri"/>
          <w:b w:val="0"/>
          <w:sz w:val="22"/>
        </w:rPr>
        <w:t>**In-scope object types:**</w:t>
      </w:r>
    </w:p>
    <w:p>
      <w:r>
        <w:rPr>
          <w:rFonts w:ascii="Calibri" w:hAnsi="Calibri" w:eastAsia="Calibri"/>
          <w:b w:val="0"/>
          <w:sz w:val="22"/>
        </w:rPr>
        <w:t>**Entities:**</w:t>
      </w:r>
    </w:p>
    <w:p>
      <w:r>
        <w:rPr>
          <w:rFonts w:ascii="Calibri" w:hAnsi="Calibri" w:eastAsia="Calibri"/>
          <w:b w:val="0"/>
          <w:sz w:val="22"/>
        </w:rPr>
        <w:t>**Agents Wave 1:** 01, 02, 03, 04, 10, 16</w:t>
      </w:r>
    </w:p>
    <w:p>
      <w:r>
        <w:rPr>
          <w:rFonts w:ascii="Calibri" w:hAnsi="Calibri" w:eastAsia="Calibri"/>
          <w:b w:val="0"/>
          <w:sz w:val="22"/>
        </w:rPr>
        <w:t>**Agents explicitly out:**</w:t>
      </w:r>
    </w:p>
    <w:p>
      <w:pPr>
        <w:pStyle w:val="Heading2"/>
      </w:pPr>
      <w:r>
        <w:rPr>
          <w:color w:val="12160F"/>
        </w:rPr>
        <w:t>3. Phase schedule</w:t>
      </w:r>
    </w:p>
    <w:p>
      <w:r>
        <w:rPr>
          <w:rFonts w:ascii="Calibri" w:hAnsi="Calibri" w:eastAsia="Calibri"/>
          <w:b w:val="0"/>
          <w:sz w:val="22"/>
        </w:rPr>
        <w:t>Copy phases 0–10. Put *your* dates. Mark illustration vs commitment.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Phase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Start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End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Exit evidence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/>
                <w:sz w:val="18"/>
              </w:rPr>
              <w:t>Named R</w:t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0 Orient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 Map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2 Charter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3 Instrument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4 Shadow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5 Recommend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6 Govern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7 Wave 2 (if any)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8 Measure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9 Recertify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10 Extend</w:t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930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2"/>
      </w:pPr>
      <w:r>
        <w:rPr>
          <w:color w:val="12160F"/>
        </w:rPr>
        <w:t>4. Resource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Name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Role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Hours/week in shadow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Backup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r>
        <w:rPr>
          <w:rFonts w:ascii="Calibri" w:hAnsi="Calibri" w:eastAsia="Calibri"/>
          <w:b w:val="0"/>
          <w:sz w:val="22"/>
        </w:rPr>
        <w:t>If hours are 0, the plan is invalid.</w:t>
      </w:r>
    </w:p>
    <w:p>
      <w:pPr>
        <w:pStyle w:val="Heading2"/>
      </w:pPr>
      <w:r>
        <w:rPr>
          <w:color w:val="12160F"/>
        </w:rPr>
        <w:t>5.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Choice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Work-object store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Sheet / ticket / other (not Evidence Room hosted)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Model / IDR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Service accounts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Prompt repo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2"/>
      </w:pPr>
      <w:r>
        <w:rPr>
          <w:color w:val="12160F"/>
        </w:rPr>
        <w:t>6. Risk and STOP</w:t>
      </w:r>
    </w:p>
    <w:p>
      <w:r>
        <w:rPr>
          <w:rFonts w:ascii="Calibri" w:hAnsi="Calibri" w:eastAsia="Calibri"/>
          <w:b w:val="0"/>
          <w:sz w:val="22"/>
        </w:rPr>
        <w:t>Link `RISK_ASSESSMENT.md`. List STOP conditions from Starter checklist §10.</w:t>
      </w:r>
    </w:p>
    <w:p>
      <w:pPr>
        <w:pStyle w:val="Heading2"/>
      </w:pPr>
      <w:r>
        <w:rPr>
          <w:color w:val="12160F"/>
        </w:rPr>
        <w:t>7. Communications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Audience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Artefact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Operators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Huddle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Sponsor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Board/CFO summary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Audit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Observer invite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2"/>
      </w:pPr>
      <w:r>
        <w:rPr>
          <w:color w:val="12160F"/>
        </w:rPr>
        <w:t>8. Success (90 days)</w:t>
      </w:r>
    </w:p>
    <w:p>
      <w:r>
        <w:rPr>
          <w:rFonts w:ascii="Calibri" w:hAnsi="Calibri" w:eastAsia="Calibri"/>
          <w:b w:val="0"/>
          <w:sz w:val="22"/>
        </w:rPr>
        <w:t>Paste the ten outcome lines from `NINETY_DAY_PLAN.md`. Initial them as the plan’s success list. Do not add ROI.</w:t>
      </w:r>
    </w:p>
    <w:p>
      <w:pPr>
        <w:pStyle w:val="Heading2"/>
      </w:pPr>
      <w:r>
        <w:rPr>
          <w:color w:val="12160F"/>
        </w:rPr>
        <w:t>9.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Role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Name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/>
                <w:sz w:val="18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Plan owner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Process Owner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Controls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Chair</w:t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321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2"/>
      </w:pPr>
      <w:r>
        <w:rPr>
          <w:color w:val="12160F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Toolkit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Evidence Room — AP Agent OS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Object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Implementation plan template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Edition 1.0.0</w:t>
            </w:r>
          </w:p>
        </w:tc>
      </w:tr>
    </w:tbl>
    <w:p>
      <w:r>
        <w:rPr>
          <w:rFonts w:ascii="Calibri" w:hAnsi="Calibri" w:eastAsia="Calibri"/>
          <w:b/>
          <w:color w:val="12160F"/>
          <w:sz w:val="20"/>
        </w:rPr>
        <w:t>Hard hold: agents do not approve, release, or transmit payment. Vendor-bank change and close attestation stay human.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Calibri"/>
        <w:b w:val="0"/>
        <w:color w:val="5A6154"/>
        <w:sz w:val="16"/>
      </w:rPr>
      <w:t>Working draft. Not legal advice. Payment authorisation stays human.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b w:val="0"/>
        <w:color w:val="B0893E"/>
        <w:sz w:val="16"/>
      </w:rPr>
      <w:t>EVIDENCE ROOM — AP AGENT OS  ·  Proof before permission.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