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 w:val="0"/>
          <w:color w:val="12160F"/>
          <w:sz w:val="44"/>
        </w:rPr>
        <w:t>Layer risk assessment</w:t>
      </w:r>
    </w:p>
    <w:p>
      <w:r>
        <w:rPr>
          <w:rFonts w:ascii="Calibri" w:hAnsi="Calibri" w:eastAsia="Calibri"/>
          <w:b w:val="0"/>
          <w:color w:val="5A6154"/>
          <w:sz w:val="20"/>
        </w:rPr>
        <w:t>Blank fields are for the licensee. Northline examples are fictional.</w:t>
      </w:r>
    </w:p>
    <w:p>
      <w:pPr>
        <w:pStyle w:val="Heading1"/>
      </w:pPr>
      <w:r>
        <w:rPr>
          <w:color w:val="12160F"/>
        </w:rPr>
        <w:t>Layer risk assessment</w:t>
      </w:r>
    </w:p>
    <w:p>
      <w:r>
        <w:rPr>
          <w:rFonts w:ascii="Calibri" w:hAnsi="Calibri" w:eastAsia="Calibri"/>
          <w:b w:val="0"/>
          <w:sz w:val="22"/>
        </w:rPr>
        <w:t>**Product:** Evidence Room — AP Agent OS · Professional</w:t>
      </w:r>
    </w:p>
    <w:p>
      <w:r>
        <w:rPr>
          <w:rFonts w:ascii="Calibri" w:hAnsi="Calibri" w:eastAsia="Calibri"/>
          <w:b w:val="0"/>
          <w:sz w:val="22"/>
        </w:rPr>
        <w:t>**Use:** Assess risks of *standing an agent layer*, not residual fraud risk of the company.</w:t>
      </w:r>
    </w:p>
    <w:p>
      <w:r>
        <w:rPr>
          <w:rFonts w:ascii="Calibri" w:hAnsi="Calibri" w:eastAsia="Calibri"/>
          <w:b w:val="0"/>
          <w:sz w:val="22"/>
        </w:rPr>
        <w:t>**Not:** A fraud risk assessment, a SOX opinion, or an ISO/NIST certification.</w:t>
      </w:r>
    </w:p>
    <w:p>
      <w:r>
        <w:rPr>
          <w:rFonts w:ascii="Calibri" w:hAnsi="Calibri" w:eastAsia="Calibri"/>
          <w:b w:val="0"/>
          <w:sz w:val="22"/>
        </w:rPr>
        <w:t>Companion register: `Governance/RISK_REGISTER.md`. This template is the sit-down assessment that feeds the register.</w:t>
      </w:r>
    </w:p>
    <w:p>
      <w:r>
        <w:rPr>
          <w:rFonts w:ascii="Calibri" w:hAnsi="Calibri" w:eastAsia="Calibri"/>
          <w:b w:val="0"/>
          <w:sz w:val="22"/>
        </w:rPr>
        <w:t>Scoring: **Likelihood 1–4** × **Impact 1–4** on process/control outcomes. Do not convert the score into a “risk appetite for AI savings.”</w:t>
      </w:r>
    </w:p>
    <w:p>
      <w:pPr>
        <w:pStyle w:val="Heading2"/>
      </w:pPr>
      <w:r>
        <w:rPr>
          <w:color w:val="12160F"/>
        </w:rPr>
        <w:t>1. Header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Field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Entry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Organisation / path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Date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Facilitator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Attendees (must include Controls)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Toolkit edition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1.0.0</w:t>
            </w:r>
          </w:p>
        </w:tc>
      </w:tr>
    </w:tbl>
    <w:p>
      <w:pPr>
        <w:pStyle w:val="Heading2"/>
      </w:pPr>
      <w:r>
        <w:rPr>
          <w:color w:val="12160F"/>
        </w:rPr>
        <w:t>2. Inherent situations (score each)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</w:tcPr>
          <w:p>
            <w:r>
              <w:rPr>
                <w:rFonts w:ascii="Calibri" w:hAnsi="Calibri" w:eastAsia="Calibri"/>
                <w:b/>
                <w:sz w:val="18"/>
              </w:rPr>
              <w:t>ID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/>
                <w:sz w:val="18"/>
              </w:rPr>
              <w:t>Situation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/>
                <w:sz w:val="18"/>
              </w:rPr>
              <w:t>L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/>
                <w:sz w:val="18"/>
              </w:rPr>
              <w:t>I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/>
                <w:sz w:val="18"/>
              </w:rPr>
              <w:t>Score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/>
                <w:sz w:val="18"/>
              </w:rPr>
              <w:t>Existing hold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/>
                <w:sz w:val="18"/>
              </w:rPr>
              <w:t>Treatment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/>
                <w:sz w:val="18"/>
              </w:rPr>
              <w:t>Owner</w:t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R1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Informal copilot posts or is treated as posted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Off / L0 / charter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R2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Packet incomplete but travels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Orchestrator block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R3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Dummy GR to force match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SOP + language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R4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Agent output used as fraud finding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Language + Agent 10 L0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R5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Payment annotated *and* released by same path without two humans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Do not open 12; C1 test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R6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Vendor bank change from an agent pack without dual control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Pack only; dual human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R7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DOA climb by Orchestrator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Exclusion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R8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Shared login / unlogged service account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IAM gate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R9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Prompt change alters behaviour silently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Change control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R10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Silent scope (new entity, new doc type)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Coverage report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R11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Staffing gap “solved” by autonomy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Queue waits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R12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Savings target drives gate-skipping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Refuse target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R13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Model wrong on tax *position*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Flag fields only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R14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Statement treated as invoice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Agent 11 closed until specified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R15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Evidence URI not reopenable at day 30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Instrument phase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R16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Owner vacant, agent keeps running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Pause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R17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Vendor demo auto-release left on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Refusal minute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  <w:tr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R18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Brand / legal confusion (wrong “Evidence Room”)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Lockup; legal drafts</w:t>
            </w:r>
          </w:p>
        </w:tc>
        <w:tc>
          <w:tcPr>
            <w:tcW w:type="dxa" w:w="1206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r>
        <w:rPr>
          <w:rFonts w:ascii="Calibri" w:hAnsi="Calibri" w:eastAsia="Calibri"/>
          <w:b w:val="0"/>
          <w:sz w:val="22"/>
        </w:rPr>
        <w:t>Add local rows. Do not add “undetected fraud” as an agent-layer KPI.</w:t>
      </w:r>
    </w:p>
    <w:p>
      <w:pPr>
        <w:pStyle w:val="Heading2"/>
      </w:pPr>
      <w:r>
        <w:rPr>
          <w:color w:val="12160F"/>
        </w:rPr>
        <w:t>3. Vetoes</w:t>
      </w:r>
    </w:p>
    <w:p>
      <w:r>
        <w:rPr>
          <w:rFonts w:ascii="Calibri" w:hAnsi="Calibri" w:eastAsia="Calibri"/>
          <w:b w:val="0"/>
          <w:sz w:val="22"/>
        </w:rPr>
        <w:t>Any of R5, R6, R8 at score ≥ 8 with no treatment dated this month → **do not start L1**.</w:t>
      </w:r>
    </w:p>
    <w:p>
      <w:pPr>
        <w:pStyle w:val="Heading2"/>
      </w:pPr>
      <w:r>
        <w:rPr>
          <w:color w:val="12160F"/>
        </w:rPr>
        <w:t>4. Treatment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ID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Action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Due</w:t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/>
                <w:sz w:val="18"/>
              </w:rPr>
              <w:t>Done</w:t>
            </w:r>
          </w:p>
        </w:tc>
      </w:tr>
      <w:tr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  <w:tc>
          <w:tcPr>
            <w:tcW w:type="dxa" w:w="2412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</w:r>
          </w:p>
        </w:tc>
      </w:tr>
    </w:tbl>
    <w:p>
      <w:pPr>
        <w:pStyle w:val="Heading2"/>
      </w:pPr>
      <w:r>
        <w:rPr>
          <w:color w:val="12160F"/>
        </w:rPr>
        <w:t>5. Northline illustration (fictional)</w:t>
      </w:r>
    </w:p>
    <w:p>
      <w:r>
        <w:rPr>
          <w:rFonts w:ascii="Calibri" w:hAnsi="Calibri" w:eastAsia="Calibri"/>
          <w:b w:val="0"/>
          <w:sz w:val="22"/>
        </w:rPr>
        <w:t>R1 scored 12 (matching copilot informal). Treatment: list and L0. R5 scored 4 (payment hold strong). R12 scored 8 (sponsor asked for a savings range). Treatment: Board/CFO summary without a number. These scores are not yours.</w:t>
      </w:r>
    </w:p>
    <w:p>
      <w:pPr>
        <w:pStyle w:val="Heading2"/>
      </w:pPr>
      <w:r>
        <w:rPr>
          <w:color w:val="12160F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Field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/>
                <w:sz w:val="18"/>
              </w:rPr>
              <w:t>Value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Toolkit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Evidence Room — AP Agent OS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Object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Risk assessment template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Related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Governance risk register</w:t>
            </w:r>
          </w:p>
        </w:tc>
      </w:tr>
      <w:tr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rFonts w:ascii="Calibri" w:hAnsi="Calibri" w:eastAsia="Calibri"/>
                <w:b w:val="0"/>
                <w:color w:val="12160F"/>
                <w:sz w:val="18"/>
              </w:rPr>
              <w:t>Edition 1.0.0</w:t>
            </w:r>
          </w:p>
        </w:tc>
      </w:tr>
    </w:tbl>
    <w:p>
      <w:r>
        <w:rPr>
          <w:rFonts w:ascii="Calibri" w:hAnsi="Calibri" w:eastAsia="Calibri"/>
          <w:b/>
          <w:color w:val="12160F"/>
          <w:sz w:val="20"/>
        </w:rPr>
        <w:t>Hard hold: agents do not approve, release, or transmit payment. Vendor-bank change and close attestation stay human.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 w:eastAsia="Calibri"/>
        <w:b w:val="0"/>
        <w:color w:val="5A6154"/>
        <w:sz w:val="16"/>
      </w:rPr>
      <w:t>Working draft. Not legal advice. Payment authorisation stays human.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Calibri"/>
        <w:b w:val="0"/>
        <w:color w:val="B0893E"/>
        <w:sz w:val="16"/>
      </w:rPr>
      <w:t>EVIDENCE ROOM — AP AGENT OS  ·  Proof before permission.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