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Governance standard (editable)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Statement</w:t>
      </w:r>
    </w:p>
    <w:p>
      <w:r>
        <w:t>AI agents in AP operate only with a named owner, a written level, logged evidence, and a fallback SOP. Payment authority is human.</w:t>
      </w:r>
    </w:p>
    <w:p>
      <w:pPr>
        <w:pStyle w:val="Heading1"/>
      </w:pPr>
      <w:r>
        <w:t>Minimum set</w:t>
      </w:r>
    </w:p>
    <w:p>
      <w:r>
        <w:t>Registry, control matrix, incident path, access certification, versioning, untrusted-input rule, SoD, privacy tenant rule.</w:t>
      </w:r>
    </w:p>
    <w:p>
      <w:pPr>
        <w:pStyle w:val="Heading1"/>
      </w:pPr>
      <w:r>
        <w:t>Certification</w:t>
      </w:r>
    </w:p>
    <w:p>
      <w:r>
        <w:t>Quarterly recert of access and levels. Immediate Level 0 after a critical incident.</w:t>
      </w:r>
    </w:p>
    <w:p>
      <w:pPr>
        <w:pStyle w:val="Heading1"/>
      </w:pPr>
      <w:r>
        <w:t>Standards mapping</w:t>
      </w:r>
    </w:p>
    <w:p>
      <w:r>
        <w:t>NIST AI RMF / ISO 42001 themes — mapping, not certification.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