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20"/>
        </w:rPr>
        <w:t>EVIDENCE ROOM  ·  AP AGENT OS</w:t>
      </w:r>
    </w:p>
    <w:p>
      <w:r>
        <w:rPr>
          <w:b/>
          <w:sz w:val="44"/>
        </w:rPr>
        <w:t>RACI — AP agent programme</w:t>
      </w:r>
    </w:p>
    <w:p>
      <w:r>
        <w:t>Editable template. Replace bracketed text. Exclusions and owners are mandatory. Not legal, tax or audit advice.</w:t>
      </w:r>
    </w:p>
    <w:p>
      <w:pPr>
        <w:pStyle w:val="Heading1"/>
      </w:pPr>
      <w:r>
        <w:t>How to use</w:t>
      </w:r>
    </w:p>
    <w:p>
      <w:r>
        <w:t>One row per activity. One Accountable. Agents are never Accountable.</w:t>
      </w:r>
    </w:p>
    <w:p>
      <w:pPr>
        <w:pStyle w:val="Heading1"/>
      </w:pPr>
      <w:r>
        <w:t>Core rows</w:t>
      </w:r>
    </w:p>
    <w:p>
      <w:r>
        <w:t>Charter approval — A: Head of AP. Level change — A: Head of AP. Payment release — A: Treasury authoriser. Bank verify — A: Treasury/MDM. Taxonomy change — A: AP Quality. Model release — A: Finance systems. Incident — A: Controls.</w:t>
      </w:r>
    </w:p>
    <w:p>
      <w:pPr>
        <w:pStyle w:val="Heading1"/>
      </w:pPr>
      <w:r>
        <w:t>Blank grid</w:t>
      </w:r>
    </w:p>
    <w:p>
      <w:r>
        <w:t>Activity | AP Mgr | Controller | P2P | Treasury | Systems | Controls | Agent ID | Notes</w:t>
      </w:r>
    </w:p>
    <w:p>
      <w:r>
        <w:t>— End of template — Document control: version, owner, date,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1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