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20"/>
        </w:rPr>
        <w:t>EVIDENCE ROOM  ·  AP AGENT OS</w:t>
      </w:r>
    </w:p>
    <w:p>
      <w:r>
        <w:rPr>
          <w:b/>
          <w:sz w:val="44"/>
        </w:rPr>
        <w:t>Risk assessment (AI in AP)</w:t>
      </w:r>
    </w:p>
    <w:p>
      <w:r>
        <w:t>Editable template. Replace bracketed text. Exclusions and owners are mandatory. Not legal, tax or audit advice.</w:t>
      </w:r>
    </w:p>
    <w:p>
      <w:pPr>
        <w:pStyle w:val="Heading1"/>
      </w:pPr>
      <w:r>
        <w:t>Scope</w:t>
      </w:r>
    </w:p>
    <w:p>
      <w:r>
        <w:t>Agents [list], data classes [invoices, vendor bank, employee names], processes [match, pay review].</w:t>
      </w:r>
    </w:p>
    <w:p>
      <w:pPr>
        <w:pStyle w:val="Heading1"/>
      </w:pPr>
      <w:r>
        <w:t>Method</w:t>
      </w:r>
    </w:p>
    <w:p>
      <w:r>
        <w:t>Impact 1–5, likelihood 1–5. Residual after control. Escalate ≥12 or any cash-diversion scenario.</w:t>
      </w:r>
    </w:p>
    <w:p>
      <w:pPr>
        <w:pStyle w:val="Heading1"/>
      </w:pPr>
      <w:r>
        <w:t>Mandatory scenarios</w:t>
      </w:r>
    </w:p>
    <w:p>
      <w:r>
        <w:t>Injection, confabulated amount, duplicate pay, bank change, SoD collapse, dummy GR, consumer-LLM leakage.</w:t>
      </w:r>
    </w:p>
    <w:p>
      <w:pPr>
        <w:pStyle w:val="Heading1"/>
      </w:pPr>
      <w:r>
        <w:t>Decision</w:t>
      </w:r>
    </w:p>
    <w:p>
      <w:r>
        <w:t>Go / go-with-conditions / no-go. Conditions become charter exclusions.</w:t>
      </w:r>
    </w:p>
    <w:p>
      <w:r>
        <w:t>— End of template — Document control: version, owner, date, classification.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10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