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Implementation plan narrative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Intent</w:t>
      </w:r>
    </w:p>
    <w:p>
      <w:r>
        <w:t>Stand up one bounded agent with evidence, not sixteen logos on a slide.</w:t>
      </w:r>
    </w:p>
    <w:p>
      <w:pPr>
        <w:pStyle w:val="Heading1"/>
      </w:pPr>
      <w:r>
        <w:t>Scope</w:t>
      </w:r>
    </w:p>
    <w:p>
      <w:r>
        <w:t>Entity [ ], invoice types [ ], first agent [ ], level [0–2], out of scope [payments execution].</w:t>
      </w:r>
    </w:p>
    <w:p>
      <w:pPr>
        <w:pStyle w:val="Heading1"/>
      </w:pPr>
      <w:r>
        <w:t>Plan</w:t>
      </w:r>
    </w:p>
    <w:p>
      <w:r>
        <w:t>Use the roadmap workbook. Critical path is usually data access and labelled tests, not the model.</w:t>
      </w:r>
    </w:p>
    <w:p>
      <w:pPr>
        <w:pStyle w:val="Heading1"/>
      </w:pPr>
      <w:r>
        <w:t>Kill criteria</w:t>
      </w:r>
    </w:p>
    <w:p>
      <w:r>
        <w:t>Critical control breach; false-negative on planted exact duplicate; unauthorised send; inability to log versions.</w:t>
      </w:r>
    </w:p>
    <w:p>
      <w:pPr>
        <w:pStyle w:val="Heading1"/>
      </w:pPr>
      <w:r>
        <w:t>Comms</w:t>
      </w:r>
    </w:p>
    <w:p>
      <w:r>
        <w:t>Staff message: judgement stays; drafts and maths move under supervision.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