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160F"/>
          <w:sz w:val="44"/>
        </w:rPr>
        <w:t>Agent charter</w:t>
      </w:r>
    </w:p>
    <w:p>
      <w:pPr>
        <w:pStyle w:val="Heading2"/>
      </w:pPr>
      <w:r>
        <w:t>Agent name and ID</w:t>
      </w:r>
    </w:p>
    <w:p/>
    <w:p>
      <w:pPr>
        <w:pStyle w:val="Heading2"/>
      </w:pPr>
      <w:r>
        <w:t>Job description</w:t>
      </w:r>
    </w:p>
    <w:p/>
    <w:p>
      <w:pPr>
        <w:pStyle w:val="Heading2"/>
      </w:pPr>
      <w:r>
        <w:t>Inputs</w:t>
      </w:r>
    </w:p>
    <w:p/>
    <w:p>
      <w:pPr>
        <w:pStyle w:val="Heading2"/>
      </w:pPr>
      <w:r>
        <w:t>Tools / data</w:t>
      </w:r>
    </w:p>
    <w:p/>
    <w:p>
      <w:pPr>
        <w:pStyle w:val="Heading2"/>
      </w:pPr>
      <w:r>
        <w:t>Responsibilities</w:t>
      </w:r>
    </w:p>
    <w:p/>
    <w:p>
      <w:pPr>
        <w:pStyle w:val="Heading2"/>
      </w:pPr>
      <w:r>
        <w:t>Explicit exclusions</w:t>
      </w:r>
    </w:p>
    <w:p/>
    <w:p>
      <w:pPr>
        <w:pStyle w:val="Heading2"/>
      </w:pPr>
      <w:r>
        <w:t>Human owner</w:t>
      </w:r>
    </w:p>
    <w:p/>
    <w:p>
      <w:pPr>
        <w:pStyle w:val="Heading2"/>
      </w:pPr>
      <w:r>
        <w:t>Approval requirements</w:t>
      </w:r>
    </w:p>
    <w:p/>
    <w:p>
      <w:pPr>
        <w:pStyle w:val="Heading2"/>
      </w:pPr>
      <w:r>
        <w:t>Escalation</w:t>
      </w:r>
    </w:p>
    <w:p/>
    <w:p>
      <w:pPr>
        <w:pStyle w:val="Heading2"/>
      </w:pPr>
      <w:r>
        <w:t>Output standard / packet</w:t>
      </w:r>
    </w:p>
    <w:p/>
    <w:p>
      <w:pPr>
        <w:pStyle w:val="Heading2"/>
      </w:pPr>
      <w:r>
        <w:t>Controls</w:t>
      </w:r>
    </w:p>
    <w:p/>
    <w:p>
      <w:pPr>
        <w:pStyle w:val="Heading2"/>
      </w:pPr>
      <w:r>
        <w:t>Audit evidence</w:t>
      </w:r>
    </w:p>
    <w:p/>
    <w:p>
      <w:pPr>
        <w:pStyle w:val="Heading2"/>
      </w:pPr>
      <w:r>
        <w:t>KPIs</w:t>
      </w:r>
    </w:p>
    <w:p/>
    <w:p>
      <w:pPr>
        <w:pStyle w:val="Heading2"/>
      </w:pPr>
      <w:r>
        <w:t>Autonomy (default L0/L1)</w:t>
      </w:r>
    </w:p>
    <w:p/>
    <w:p>
      <w:pPr>
        <w:pStyle w:val="Heading2"/>
      </w:pPr>
      <w:r>
        <w:t>Failure handling</w:t>
      </w:r>
    </w:p>
    <w:p/>
    <w:p>
      <w:pPr>
        <w:pStyle w:val="Heading2"/>
      </w:pPr>
      <w:r>
        <w:t>Cost monitoring</w:t>
      </w:r>
    </w:p>
    <w:p/>
    <w:p>
      <w:r>
        <w:t>Payment authorisation is never in scope. Duplicate &amp; Anomaly never issues a fraud verdict.</w:t>
      </w:r>
    </w:p>
    <w:sectPr w:rsidR="00FC693F" w:rsidRPr="0006063C" w:rsidSect="00034616">
      <w:pgSz w:w="12240" w:h="15840"/>
      <w:pgMar w:top="1296" w:right="1800" w:bottom="129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