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 Agent Governance Standard</w:t>
      </w:r>
    </w:p>
    <w:p>
      <w:pPr>
        <w:pStyle w:val="Heading2"/>
      </w:pPr>
      <w:r>
        <w:t>Policy Statement</w:t>
      </w:r>
    </w:p>
    <w:p>
      <w:r>
        <w:t>All AI agents operating in Accounts Payable must comply with this standard.</w:t>
      </w:r>
    </w:p>
    <w:p>
      <w:pPr>
        <w:pStyle w:val="Heading2"/>
      </w:pPr>
      <w:r>
        <w:t>Requirements</w:t>
      </w:r>
    </w:p>
    <w:p>
      <w:pPr>
        <w:pStyle w:val="ListBullet"/>
      </w:pPr>
      <w:r>
        <w:t>Every agent has a named human owner</w:t>
      </w:r>
    </w:p>
    <w:p>
      <w:pPr>
        <w:pStyle w:val="ListBullet"/>
      </w:pPr>
      <w:r>
        <w:t>Autonomy level documented and approved</w:t>
      </w:r>
    </w:p>
    <w:p>
      <w:pPr>
        <w:pStyle w:val="ListBullet"/>
      </w:pPr>
      <w:r>
        <w:t>Controls mapped and tested quarterly</w:t>
      </w:r>
    </w:p>
    <w:p>
      <w:pPr>
        <w:pStyle w:val="ListBullet"/>
      </w:pPr>
      <w:r>
        <w:t>All decisions logged with audit trail</w:t>
      </w:r>
    </w:p>
    <w:p>
      <w:pPr>
        <w:pStyle w:val="ListBullet"/>
      </w:pPr>
      <w:r>
        <w:t>Override procedures documented</w:t>
      </w:r>
    </w:p>
    <w:p>
      <w:pPr>
        <w:pStyle w:val="ListBullet"/>
      </w:pPr>
      <w:r>
        <w:t>Incident response plan in place</w:t>
      </w:r>
    </w:p>
    <w:p>
      <w:pPr>
        <w:pStyle w:val="Heading2"/>
      </w:pPr>
      <w:r>
        <w:t>Review Cycle</w:t>
      </w:r>
    </w:p>
    <w:p>
      <w:r>
        <w:t>This standard reviewed annually or upon material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